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-6350</wp:posOffset>
            </wp:positionV>
            <wp:extent cx="135255" cy="182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82245"/>
                    </a:xfrm>
                    <a:prstGeom prst="rect">
                      <a:avLst/>
                    </a:prstGeom>
                    <a:noFill/>
                  </pic:spPr>
                </pic:pic>
              </a:graphicData>
            </a:graphic>
          </wp:anchor>
        </w:drawing>
      </w:r>
    </w:p>
    <w:p>
      <w:pPr>
        <w:jc w:val="both"/>
        <w:ind w:left="320" w:right="340" w:hanging="247"/>
        <w:spacing w:after="0" w:line="180" w:lineRule="auto"/>
        <w:tabs>
          <w:tab w:leader="none" w:pos="320" w:val="left"/>
        </w:tabs>
        <w:numPr>
          <w:ilvl w:val="0"/>
          <w:numId w:val="1"/>
        </w:numPr>
        <w:rPr>
          <w:rFonts w:ascii="Times New Roman" w:cs="Times New Roman" w:eastAsia="Times New Roman" w:hAnsi="Times New Roman"/>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-598805</wp:posOffset>
            </wp:positionV>
            <wp:extent cx="5651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7049135" cy="4643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643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140" w:space="54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PWP Professional Partners LP</w:t>
        </w:r>
      </w:hyperlink>
    </w:p>
    <w:p>
      <w:pPr>
        <w:spacing w:after="0" w:line="27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(Last)</w:t>
            </w:r>
          </w:p>
        </w:tc>
        <w:tc>
          <w:tcPr>
            <w:tcW w:w="1000" w:type="dxa"/>
            <w:vAlign w:val="bottom"/>
          </w:tcPr>
          <w:p>
            <w:pPr>
              <w:ind w:left="18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767 FIFTH AVENUE</w:t>
            </w:r>
          </w:p>
        </w:tc>
        <w:tc>
          <w:tcPr>
            <w:tcW w:w="162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48"/>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2"/>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100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Perella Weinberg Partners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PWP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9"/>
        </w:trPr>
        <w:tc>
          <w:tcPr>
            <w:tcW w:w="2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12/31/2023</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1" w:lineRule="exact"/>
        <w:rPr>
          <w:sz w:val="24"/>
          <w:szCs w:val="24"/>
          <w:color w:val="auto"/>
        </w:rPr>
      </w:pPr>
    </w:p>
    <w:p>
      <w:pPr>
        <w:ind w:left="320" w:right="400"/>
        <w:spacing w:after="0" w:line="26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B-1</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(2)(3)</w:t>
            </w:r>
          </w:p>
        </w:tc>
        <w:tc>
          <w:tcPr>
            <w:tcW w:w="98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40,467.075</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20" w:type="dxa"/>
            <w:vAlign w:val="bottom"/>
          </w:tcPr>
          <w:p>
            <w:pPr>
              <w:jc w:val="right"/>
              <w:ind w:right="162"/>
              <w:spacing w:after="0" w:line="136" w:lineRule="exact"/>
              <w:rPr>
                <w:sz w:val="20"/>
                <w:szCs w:val="20"/>
                <w:color w:val="auto"/>
              </w:rPr>
            </w:pPr>
            <w:r>
              <w:rPr>
                <w:rFonts w:ascii="Times New Roman" w:cs="Times New Roman" w:eastAsia="Times New Roman" w:hAnsi="Times New Roman"/>
                <w:sz w:val="12"/>
                <w:szCs w:val="12"/>
                <w:color w:val="0000FF"/>
              </w:rPr>
              <w:t>12/31/2023</w:t>
            </w:r>
          </w:p>
        </w:tc>
        <w:tc>
          <w:tcPr>
            <w:tcW w:w="10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tcPr>
          <w:p>
            <w:pPr>
              <w:ind w:left="360"/>
              <w:spacing w:after="0" w:line="136" w:lineRule="exact"/>
              <w:rPr>
                <w:sz w:val="20"/>
                <w:szCs w:val="20"/>
                <w:color w:val="auto"/>
              </w:rPr>
            </w:pPr>
            <w:r>
              <w:rPr>
                <w:rFonts w:ascii="Times New Roman" w:cs="Times New Roman" w:eastAsia="Times New Roman" w:hAnsi="Times New Roman"/>
                <w:sz w:val="12"/>
                <w:szCs w:val="12"/>
                <w:color w:val="0000FF"/>
              </w:rPr>
              <w:t>40,467,075</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PWP</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80"/>
              <w:spacing w:after="0" w:line="272"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(2)(3)</w:t>
            </w:r>
          </w:p>
        </w:tc>
        <w:tc>
          <w:tcPr>
            <w:tcW w:w="98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40,467,075</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LP</w:t>
            </w:r>
          </w:p>
        </w:tc>
        <w:tc>
          <w:tcPr>
            <w:tcW w:w="740" w:type="dxa"/>
            <w:vAlign w:val="bottom"/>
            <w:vMerge w:val="continue"/>
          </w:tcPr>
          <w:p>
            <w:pPr>
              <w:spacing w:after="0"/>
              <w:rPr>
                <w:sz w:val="11"/>
                <w:szCs w:val="11"/>
                <w:color w:val="auto"/>
              </w:rPr>
            </w:pPr>
          </w:p>
        </w:tc>
        <w:tc>
          <w:tcPr>
            <w:tcW w:w="1020" w:type="dxa"/>
            <w:vAlign w:val="bottom"/>
          </w:tcPr>
          <w:p>
            <w:pPr>
              <w:jc w:val="right"/>
              <w:ind w:right="162"/>
              <w:spacing w:after="0" w:line="136" w:lineRule="exact"/>
              <w:rPr>
                <w:sz w:val="20"/>
                <w:szCs w:val="20"/>
                <w:color w:val="auto"/>
              </w:rPr>
            </w:pPr>
            <w:r>
              <w:rPr>
                <w:rFonts w:ascii="Times New Roman" w:cs="Times New Roman" w:eastAsia="Times New Roman" w:hAnsi="Times New Roman"/>
                <w:sz w:val="12"/>
                <w:szCs w:val="12"/>
                <w:color w:val="0000FF"/>
              </w:rPr>
              <w:t>12/31/2023</w:t>
            </w:r>
          </w:p>
        </w:tc>
        <w:tc>
          <w:tcPr>
            <w:tcW w:w="10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tcPr>
          <w:p>
            <w:pPr>
              <w:ind w:left="360"/>
              <w:spacing w:after="0" w:line="136" w:lineRule="exact"/>
              <w:rPr>
                <w:sz w:val="20"/>
                <w:szCs w:val="20"/>
                <w:color w:val="auto"/>
              </w:rPr>
            </w:pPr>
            <w:r>
              <w:rPr>
                <w:rFonts w:ascii="Times New Roman" w:cs="Times New Roman" w:eastAsia="Times New Roman" w:hAnsi="Times New Roman"/>
                <w:sz w:val="12"/>
                <w:szCs w:val="12"/>
                <w:color w:val="0000FF"/>
              </w:rPr>
              <w:t>40,467,075</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0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200" w:hanging="4"/>
        <w:spacing w:after="0" w:line="24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PWP Holdings LP ("PWP OpCo") Common Units (which represent Class A partnership units of PWP OpCo) ("PWP OpCo Units") held by the Reporting Person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VoteCo Professionals will distribute such Class B-1 Shares to the applicable Unitholder immediately prior to any such exchange.</w:t>
      </w:r>
    </w:p>
    <w:p>
      <w:pPr>
        <w:spacing w:after="0" w:line="22" w:lineRule="exact"/>
        <w:rPr>
          <w:rFonts w:ascii="Times New Roman" w:cs="Times New Roman" w:eastAsia="Times New Roman" w:hAnsi="Times New Roman"/>
          <w:sz w:val="12"/>
          <w:szCs w:val="12"/>
          <w:color w:val="008000"/>
        </w:rPr>
      </w:pPr>
    </w:p>
    <w:p>
      <w:pPr>
        <w:ind w:left="40" w:right="38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an aggregator partnership through which certain partners hold interests in PWP OpCo, the entity through which the Issuer holds its advisory business. On December 31, 2023 (the "Effective Date"), as part of an internal reorganization and in accordance with Section 17-220 of the Delaware Revised Uniform Limited Partnership Act (the "Act"), the Reporting Person was divided into: (i) PWP VoteCo Professionals LP ("VoteCo Professionals"), (ii) PWP AdCo Professionals LP ("AdCo Professionals") and (iii) the Reporting Person, which is the "surviving partnership" under the Act (the "Division").</w:t>
      </w:r>
    </w:p>
    <w:p>
      <w:pPr>
        <w:spacing w:after="0" w:line="17" w:lineRule="exact"/>
        <w:rPr>
          <w:rFonts w:ascii="Times New Roman" w:cs="Times New Roman" w:eastAsia="Times New Roman" w:hAnsi="Times New Roman"/>
          <w:sz w:val="12"/>
          <w:szCs w:val="12"/>
          <w:color w:val="008000"/>
        </w:rPr>
      </w:pPr>
    </w:p>
    <w:p>
      <w:pPr>
        <w:ind w:left="40" w:right="36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changed its name to PWP AmCo Professionals LP ("AmCo Professionals") in connection with the Division. In the Division, (i) 40,467,075 Class B-1 Shares previously held by the Reporting Person were allocated to VoteCo Professionals, a Delaware limited partnership, and (ii) 40,467,075 PWP OpCo Units (as defined below) previously held by the Reporting Person were allocated to AdCo Professionals. This Division did not involve any purchase or sale of Issuer securities.</w:t>
      </w:r>
    </w:p>
    <w:p>
      <w:pPr>
        <w:spacing w:after="0" w:line="17" w:lineRule="exact"/>
        <w:rPr>
          <w:rFonts w:ascii="Times New Roman" w:cs="Times New Roman" w:eastAsia="Times New Roman" w:hAnsi="Times New Roman"/>
          <w:sz w:val="12"/>
          <w:szCs w:val="12"/>
          <w:color w:val="008000"/>
        </w:rPr>
      </w:pPr>
    </w:p>
    <w:p>
      <w:pPr>
        <w:ind w:left="40" w:right="460" w:hanging="4"/>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certain lock-up periods, PWP OpCo Units may be exchanged on certain dates for Class A Shares on a one-for-one basis or, at the option of the Issuer, for an equivalent amount of cash. At such time, the applicable Unitholder will be required to surrender an equivalent number of Class B-1 Shares as described in Note (1). PWP OpCo Units do not expire.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Mark Polemeni, as</w:t>
            </w:r>
          </w:p>
        </w:tc>
        <w:tc>
          <w:tcPr>
            <w:tcW w:w="600" w:type="dxa"/>
            <w:vAlign w:val="bottom"/>
          </w:tcPr>
          <w:p>
            <w:pPr>
              <w:spacing w:after="0"/>
              <w:rPr>
                <w:sz w:val="15"/>
                <w:szCs w:val="15"/>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5"/>
              </w:rPr>
              <w:t>01/02/2024</w:t>
            </w:r>
          </w:p>
        </w:tc>
        <w:tc>
          <w:tcPr>
            <w:tcW w:w="0" w:type="dxa"/>
            <w:vAlign w:val="bottom"/>
          </w:tcPr>
          <w:p>
            <w:pPr>
              <w:spacing w:after="0"/>
              <w:rPr>
                <w:sz w:val="1"/>
                <w:szCs w:val="1"/>
                <w:color w:val="auto"/>
              </w:rPr>
            </w:pPr>
          </w:p>
        </w:tc>
      </w:tr>
      <w:tr>
        <w:trPr>
          <w:trHeight w:val="79"/>
        </w:trPr>
        <w:tc>
          <w:tcPr>
            <w:tcW w:w="120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8"/>
              </w:rPr>
              <w:t>Authorized Person</w:t>
            </w:r>
          </w:p>
        </w:tc>
        <w:tc>
          <w:tcPr>
            <w:tcW w:w="800" w:type="dxa"/>
            <w:vAlign w:val="bottom"/>
            <w:gridSpan w:val="2"/>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200" w:type="dxa"/>
            <w:vAlign w:val="bottom"/>
            <w:tcBorders>
              <w:bottom w:val="single" w:sz="8" w:color="auto"/>
            </w:tcBorders>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4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861"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2024-01-02T16:10:04Z</dcterms:created>
  <dcterms:modified xsi:type="dcterms:W3CDTF">2024-01-02T16:10:04Z</dcterms:modified>
</cp:coreProperties>
</file>