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20"/>
          <w:szCs w:val="20"/>
          <w:color w:val="auto"/>
        </w:rPr>
        <w:t>Perella Weinberg Partners</w:t>
      </w:r>
    </w:p>
    <w:p>
      <w:pPr>
        <w:spacing w:after="0" w:line="16" w:lineRule="exact"/>
        <w:rPr>
          <w:sz w:val="24"/>
          <w:szCs w:val="24"/>
          <w:color w:val="auto"/>
        </w:rPr>
      </w:pPr>
    </w:p>
    <w:p>
      <w:pPr>
        <w:jc w:val="center"/>
        <w:ind w:right="-419"/>
        <w:spacing w:after="0"/>
        <w:rPr>
          <w:sz w:val="20"/>
          <w:szCs w:val="20"/>
          <w:color w:val="auto"/>
        </w:rPr>
      </w:pPr>
      <w:r>
        <w:rPr>
          <w:rFonts w:ascii="Arial" w:cs="Arial" w:eastAsia="Arial" w:hAnsi="Arial"/>
          <w:sz w:val="20"/>
          <w:szCs w:val="20"/>
          <w:color w:val="auto"/>
        </w:rPr>
        <w:t>(formerly known as FinTech Acquisition Corp. IV)</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-143510</wp:posOffset>
            </wp:positionV>
            <wp:extent cx="6231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9"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Class A 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8820" w:hanging="6"/>
        <w:spacing w:after="0" w:line="251" w:lineRule="exact"/>
        <w:tabs>
          <w:tab w:leader="none" w:pos="102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10 Pages)</w:t>
      </w:r>
    </w:p>
    <w:p>
      <w:pPr>
        <w:spacing w:after="0" w:line="243" w:lineRule="exact"/>
        <w:rPr>
          <w:sz w:val="24"/>
          <w:szCs w:val="24"/>
          <w:color w:val="auto"/>
        </w:rPr>
      </w:pPr>
    </w:p>
    <w:p>
      <w:pPr>
        <w:jc w:val="both"/>
        <w:ind w:right="80" w:firstLine="648"/>
        <w:spacing w:after="0" w:line="250"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60"/>
          </w:cols>
          <w:pgMar w:left="320" w:top="231" w:right="619" w:bottom="1440" w:gutter="0" w:footer="0" w:header="0"/>
        </w:sectPr>
      </w:pPr>
    </w:p>
    <w:bookmarkStart w:id="1" w:name="page2"/>
    <w:bookmarkEnd w:id="1"/>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4637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98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980" w:type="dxa"/>
            <w:vAlign w:val="bottom"/>
            <w:vMerge w:val="restart"/>
          </w:tcPr>
          <w:p>
            <w:pPr>
              <w:ind w:left="740"/>
              <w:spacing w:after="0"/>
              <w:rPr>
                <w:sz w:val="20"/>
                <w:szCs w:val="20"/>
                <w:color w:val="auto"/>
              </w:rPr>
            </w:pPr>
            <w:r>
              <w:rPr>
                <w:rFonts w:ascii="Arial" w:cs="Arial" w:eastAsia="Arial" w:hAnsi="Arial"/>
                <w:sz w:val="20"/>
                <w:szCs w:val="20"/>
                <w:color w:val="auto"/>
                <w:w w:val="87"/>
              </w:rPr>
              <w:t>Adage Capital Partners,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2"/>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3"/>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jc w:val="right"/>
              <w:ind w:right="434"/>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2,538,768</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60"/>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5.97%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jc w:val="right"/>
              <w:ind w:right="434"/>
              <w:spacing w:after="0"/>
              <w:rPr>
                <w:sz w:val="20"/>
                <w:szCs w:val="20"/>
                <w:color w:val="auto"/>
              </w:rPr>
            </w:pPr>
            <w:r>
              <w:rPr>
                <w:rFonts w:ascii="Arial" w:cs="Arial" w:eastAsia="Arial" w:hAnsi="Arial"/>
                <w:sz w:val="20"/>
                <w:szCs w:val="20"/>
                <w:color w:val="auto"/>
              </w:rPr>
              <w:t>PN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4"/>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2" w:name="page3"/>
    <w:bookmarkEnd w:id="2"/>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4637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4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460" w:type="dxa"/>
            <w:vAlign w:val="bottom"/>
            <w:vMerge w:val="restart"/>
          </w:tcPr>
          <w:p>
            <w:pPr>
              <w:ind w:left="740"/>
              <w:spacing w:after="0"/>
              <w:rPr>
                <w:sz w:val="20"/>
                <w:szCs w:val="20"/>
                <w:color w:val="auto"/>
              </w:rPr>
            </w:pPr>
            <w:r>
              <w:rPr>
                <w:rFonts w:ascii="Arial" w:cs="Arial" w:eastAsia="Arial" w:hAnsi="Arial"/>
                <w:sz w:val="20"/>
                <w:szCs w:val="20"/>
                <w:color w:val="auto"/>
                <w:w w:val="88"/>
              </w:rPr>
              <w:t>Adage Capital Partners GP,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5"/>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6"/>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2,538,768</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5.97%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7"/>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3" w:name="page4"/>
    <w:bookmarkEnd w:id="3"/>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3260" w:type="dxa"/>
            <w:vAlign w:val="bottom"/>
          </w:tcPr>
          <w:p>
            <w:pPr>
              <w:ind w:left="400"/>
              <w:spacing w:after="0"/>
              <w:rPr>
                <w:sz w:val="20"/>
                <w:szCs w:val="20"/>
                <w:color w:val="auto"/>
              </w:rPr>
            </w:pPr>
            <w:r>
              <w:rPr>
                <w:rFonts w:ascii="Arial" w:cs="Arial" w:eastAsia="Arial" w:hAnsi="Arial"/>
                <w:sz w:val="16"/>
                <w:szCs w:val="16"/>
                <w:color w:val="auto"/>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3260" w:type="dxa"/>
            <w:vAlign w:val="bottom"/>
            <w:vMerge w:val="restart"/>
          </w:tcPr>
          <w:p>
            <w:pPr>
              <w:ind w:left="740"/>
              <w:spacing w:after="0"/>
              <w:rPr>
                <w:sz w:val="20"/>
                <w:szCs w:val="20"/>
                <w:color w:val="auto"/>
              </w:rPr>
            </w:pPr>
            <w:r>
              <w:rPr>
                <w:rFonts w:ascii="Arial" w:cs="Arial" w:eastAsia="Arial" w:hAnsi="Arial"/>
                <w:sz w:val="20"/>
                <w:szCs w:val="20"/>
                <w:color w:val="auto"/>
                <w:w w:val="91"/>
              </w:rPr>
              <w:t>Adage Capital Advisors, L.L.C.</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8"/>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9"/>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9"/>
              </w:rPr>
              <w:t>Delaware</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2,538,768</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5.97%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OO</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0"/>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4" w:name="page5"/>
    <w:bookmarkEnd w:id="4"/>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Robert Atchinson</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1"/>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2"/>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2,538,768</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5.97%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3"/>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5" w:name="page6"/>
    <w:bookmarkEnd w:id="5"/>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637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w w:val="74"/>
              </w:rPr>
              <w:t>1</w:t>
            </w:r>
          </w:p>
        </w:tc>
        <w:tc>
          <w:tcPr>
            <w:tcW w:w="2740" w:type="dxa"/>
            <w:vAlign w:val="bottom"/>
          </w:tcPr>
          <w:p>
            <w:pPr>
              <w:ind w:left="400"/>
              <w:spacing w:after="0"/>
              <w:rPr>
                <w:sz w:val="20"/>
                <w:szCs w:val="20"/>
                <w:color w:val="auto"/>
              </w:rPr>
            </w:pPr>
            <w:r>
              <w:rPr>
                <w:rFonts w:ascii="Arial" w:cs="Arial" w:eastAsia="Arial" w:hAnsi="Arial"/>
                <w:sz w:val="16"/>
                <w:szCs w:val="16"/>
                <w:color w:val="auto"/>
                <w:w w:val="94"/>
              </w:rPr>
              <w:t>NAME OF REPORTING PERSON</w:t>
            </w:r>
          </w:p>
        </w:tc>
        <w:tc>
          <w:tcPr>
            <w:tcW w:w="0" w:type="dxa"/>
            <w:vAlign w:val="bottom"/>
          </w:tcPr>
          <w:p>
            <w:pPr>
              <w:spacing w:after="0"/>
              <w:rPr>
                <w:sz w:val="1"/>
                <w:szCs w:val="1"/>
                <w:color w:val="auto"/>
              </w:rPr>
            </w:pPr>
          </w:p>
        </w:tc>
      </w:tr>
      <w:tr>
        <w:trPr>
          <w:trHeight w:val="170"/>
        </w:trPr>
        <w:tc>
          <w:tcPr>
            <w:tcW w:w="560" w:type="dxa"/>
            <w:vAlign w:val="bottom"/>
            <w:vMerge w:val="continue"/>
          </w:tcPr>
          <w:p>
            <w:pPr>
              <w:spacing w:after="0"/>
              <w:rPr>
                <w:sz w:val="14"/>
                <w:szCs w:val="14"/>
                <w:color w:val="auto"/>
              </w:rPr>
            </w:pPr>
          </w:p>
        </w:tc>
        <w:tc>
          <w:tcPr>
            <w:tcW w:w="2740" w:type="dxa"/>
            <w:vAlign w:val="bottom"/>
            <w:vMerge w:val="restart"/>
          </w:tcPr>
          <w:p>
            <w:pPr>
              <w:ind w:left="740"/>
              <w:spacing w:after="0"/>
              <w:rPr>
                <w:sz w:val="20"/>
                <w:szCs w:val="20"/>
                <w:color w:val="auto"/>
              </w:rPr>
            </w:pPr>
            <w:r>
              <w:rPr>
                <w:rFonts w:ascii="Arial" w:cs="Arial" w:eastAsia="Arial" w:hAnsi="Arial"/>
                <w:sz w:val="20"/>
                <w:szCs w:val="20"/>
                <w:color w:val="auto"/>
              </w:rPr>
              <w:t>Phillip Gross</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2" w:lineRule="auto"/>
        <w:tabs>
          <w:tab w:leader="none" w:pos="1700" w:val="left"/>
        </w:tabs>
        <w:numPr>
          <w:ilvl w:val="0"/>
          <w:numId w:val="14"/>
        </w:numPr>
        <w:rPr>
          <w:rFonts w:ascii="Arial" w:cs="Arial" w:eastAsia="Arial" w:hAnsi="Arial"/>
          <w:sz w:val="42"/>
          <w:szCs w:val="42"/>
          <w:b w:val="1"/>
          <w:bCs w:val="1"/>
          <w:color w:val="auto"/>
          <w:vertAlign w:val="subscript"/>
        </w:rPr>
      </w:pPr>
      <w:r>
        <w:rPr>
          <w:rFonts w:ascii="Arial" w:cs="Arial" w:eastAsia="Arial" w:hAnsi="Arial"/>
          <w:sz w:val="14"/>
          <w:szCs w:val="14"/>
          <w:color w:val="auto"/>
        </w:rPr>
        <w:t>CHECK THE APPROPRIATE BOX IF A MEMBER OF A GROUP</w:t>
      </w:r>
    </w:p>
    <w:p>
      <w:pPr>
        <w:spacing w:after="0" w:line="104" w:lineRule="exact"/>
        <w:rPr>
          <w:sz w:val="20"/>
          <w:szCs w:val="20"/>
          <w:color w:val="auto"/>
        </w:rPr>
      </w:pPr>
    </w:p>
    <w:p>
      <w:pPr>
        <w:ind w:left="1700" w:hanging="967"/>
        <w:spacing w:after="0"/>
        <w:tabs>
          <w:tab w:leader="none" w:pos="1700" w:val="left"/>
        </w:tabs>
        <w:numPr>
          <w:ilvl w:val="0"/>
          <w:numId w:val="15"/>
        </w:numPr>
        <w:rPr>
          <w:rFonts w:ascii="Arial" w:cs="Arial" w:eastAsia="Arial" w:hAnsi="Arial"/>
          <w:sz w:val="58"/>
          <w:szCs w:val="58"/>
          <w:b w:val="1"/>
          <w:bCs w:val="1"/>
          <w:color w:val="auto"/>
          <w:vertAlign w:val="subscript"/>
        </w:rPr>
      </w:pPr>
      <w:r>
        <w:rPr>
          <w:rFonts w:ascii="Arial" w:cs="Arial" w:eastAsia="Arial" w:hAnsi="Arial"/>
          <w:sz w:val="16"/>
          <w:szCs w:val="16"/>
          <w:color w:val="auto"/>
        </w:rPr>
        <w:t>SEC USE ONLY</w:t>
      </w:r>
    </w:p>
    <w:p>
      <w:pPr>
        <w:spacing w:after="0" w:line="311"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4</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CITIZENSHIP OR PLACE OF ORGANIZATION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6540" w:type="dxa"/>
            <w:vAlign w:val="bottom"/>
            <w:gridSpan w:val="3"/>
            <w:vMerge w:val="restart"/>
          </w:tcPr>
          <w:p>
            <w:pPr>
              <w:ind w:left="500"/>
              <w:spacing w:after="0"/>
              <w:rPr>
                <w:sz w:val="20"/>
                <w:szCs w:val="20"/>
                <w:color w:val="auto"/>
              </w:rPr>
            </w:pPr>
            <w:r>
              <w:rPr>
                <w:rFonts w:ascii="Arial" w:cs="Arial" w:eastAsia="Arial" w:hAnsi="Arial"/>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300" w:type="dxa"/>
            <w:vAlign w:val="bottom"/>
          </w:tcPr>
          <w:p>
            <w:pPr>
              <w:spacing w:after="0"/>
              <w:rPr>
                <w:sz w:val="9"/>
                <w:szCs w:val="9"/>
                <w:color w:val="auto"/>
              </w:rPr>
            </w:pP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5</w:t>
            </w:r>
          </w:p>
        </w:tc>
        <w:tc>
          <w:tcPr>
            <w:tcW w:w="20" w:type="dxa"/>
            <w:vAlign w:val="bottom"/>
          </w:tcPr>
          <w:p>
            <w:pPr>
              <w:spacing w:after="0"/>
              <w:rPr>
                <w:sz w:val="9"/>
                <w:szCs w:val="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253"/>
        </w:trPr>
        <w:tc>
          <w:tcPr>
            <w:tcW w:w="130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7"/>
              </w:rPr>
              <w:t>NUMBER OF</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53"/>
              <w:spacing w:after="0"/>
              <w:rPr>
                <w:sz w:val="20"/>
                <w:szCs w:val="20"/>
                <w:color w:val="auto"/>
              </w:rPr>
            </w:pPr>
            <w:r>
              <w:rPr>
                <w:rFonts w:ascii="Arial" w:cs="Arial" w:eastAsia="Arial" w:hAnsi="Arial"/>
                <w:sz w:val="16"/>
                <w:szCs w:val="16"/>
                <w:color w:val="auto"/>
                <w:w w:val="94"/>
              </w:rPr>
              <w:t>SHARES</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8"/>
              </w:rPr>
              <w:t>OWNED BY</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28"/>
        </w:trPr>
        <w:tc>
          <w:tcPr>
            <w:tcW w:w="1300" w:type="dxa"/>
            <w:vAlign w:val="bottom"/>
            <w:vMerge w:val="restart"/>
          </w:tcPr>
          <w:p>
            <w:pPr>
              <w:jc w:val="center"/>
              <w:ind w:right="73"/>
              <w:spacing w:after="0"/>
              <w:rPr>
                <w:sz w:val="20"/>
                <w:szCs w:val="20"/>
                <w:color w:val="auto"/>
              </w:rPr>
            </w:pPr>
            <w:r>
              <w:rPr>
                <w:rFonts w:ascii="Arial" w:cs="Arial" w:eastAsia="Arial" w:hAnsi="Arial"/>
                <w:sz w:val="16"/>
                <w:szCs w:val="16"/>
                <w:color w:val="auto"/>
                <w:w w:val="98"/>
              </w:rPr>
              <w:t>EACH</w:t>
            </w:r>
          </w:p>
        </w:tc>
        <w:tc>
          <w:tcPr>
            <w:tcW w:w="1280" w:type="dxa"/>
            <w:vAlign w:val="bottom"/>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5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Arial" w:cs="Arial" w:eastAsia="Arial" w:hAnsi="Arial"/>
                <w:sz w:val="16"/>
                <w:szCs w:val="16"/>
                <w:color w:val="auto"/>
                <w:w w:val="94"/>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jc w:val="center"/>
              <w:ind w:right="73"/>
              <w:spacing w:after="0"/>
              <w:rPr>
                <w:sz w:val="20"/>
                <w:szCs w:val="20"/>
                <w:color w:val="auto"/>
              </w:rPr>
            </w:pPr>
            <w:r>
              <w:rPr>
                <w:rFonts w:ascii="Arial" w:cs="Arial" w:eastAsia="Arial" w:hAnsi="Arial"/>
                <w:sz w:val="16"/>
                <w:szCs w:val="16"/>
                <w:color w:val="auto"/>
                <w:w w:val="95"/>
              </w:rPr>
              <w:t>PERSON WITH:</w:t>
            </w:r>
          </w:p>
        </w:tc>
        <w:tc>
          <w:tcPr>
            <w:tcW w:w="1280" w:type="dxa"/>
            <w:vAlign w:val="bottom"/>
            <w:vMerge w:val="restart"/>
          </w:tcPr>
          <w:p>
            <w:pPr>
              <w:ind w:left="600"/>
              <w:spacing w:after="0"/>
              <w:rPr>
                <w:sz w:val="20"/>
                <w:szCs w:val="20"/>
                <w:color w:val="auto"/>
              </w:rPr>
            </w:pPr>
            <w:r>
              <w:rPr>
                <w:rFonts w:ascii="Arial" w:cs="Arial" w:eastAsia="Arial" w:hAnsi="Arial"/>
                <w:sz w:val="29"/>
                <w:szCs w:val="29"/>
                <w:b w:val="1"/>
                <w:bCs w:val="1"/>
                <w:color w:val="auto"/>
              </w:rPr>
              <w:t>8</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0" w:type="dxa"/>
            <w:vAlign w:val="bottom"/>
          </w:tcPr>
          <w:p>
            <w:pPr>
              <w:spacing w:after="0"/>
              <w:rPr>
                <w:sz w:val="1"/>
                <w:szCs w:val="1"/>
                <w:color w:val="auto"/>
              </w:rPr>
            </w:pPr>
          </w:p>
        </w:tc>
      </w:tr>
      <w:tr>
        <w:trPr>
          <w:trHeight w:val="124"/>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5240" w:type="dxa"/>
            <w:vAlign w:val="bottom"/>
            <w:vMerge w:val="restart"/>
          </w:tcPr>
          <w:p>
            <w:pPr>
              <w:ind w:left="440"/>
              <w:spacing w:after="0"/>
              <w:rPr>
                <w:sz w:val="20"/>
                <w:szCs w:val="20"/>
                <w:color w:val="auto"/>
              </w:rPr>
            </w:pPr>
            <w:r>
              <w:rPr>
                <w:rFonts w:ascii="Arial" w:cs="Arial" w:eastAsia="Arial" w:hAnsi="Arial"/>
                <w:sz w:val="20"/>
                <w:szCs w:val="20"/>
                <w:color w:val="auto"/>
              </w:rPr>
              <w:t>2,538,768</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1300" w:type="dxa"/>
            <w:vAlign w:val="bottom"/>
            <w:vMerge w:val="restart"/>
          </w:tcPr>
          <w:p>
            <w:pPr>
              <w:jc w:val="center"/>
              <w:ind w:right="53"/>
              <w:spacing w:after="0"/>
              <w:rPr>
                <w:sz w:val="20"/>
                <w:szCs w:val="20"/>
                <w:color w:val="auto"/>
              </w:rPr>
            </w:pPr>
            <w:r>
              <w:rPr>
                <w:rFonts w:ascii="Arial" w:cs="Arial" w:eastAsia="Arial" w:hAnsi="Arial"/>
                <w:sz w:val="29"/>
                <w:szCs w:val="29"/>
                <w:b w:val="1"/>
                <w:bCs w:val="1"/>
                <w:color w:val="auto"/>
                <w:w w:val="8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w w:val="85"/>
              </w:rPr>
              <w:t>2,538,768</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10</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0" w:type="dxa"/>
            <w:vAlign w:val="bottom"/>
          </w:tcPr>
          <w:p>
            <w:pPr>
              <w:spacing w:after="0"/>
              <w:rPr>
                <w:sz w:val="1"/>
                <w:szCs w:val="1"/>
                <w:color w:val="auto"/>
              </w:rPr>
            </w:pPr>
          </w:p>
        </w:tc>
      </w:tr>
      <w:tr>
        <w:trPr>
          <w:trHeight w:val="159"/>
        </w:trPr>
        <w:tc>
          <w:tcPr>
            <w:tcW w:w="1300" w:type="dxa"/>
            <w:vAlign w:val="bottom"/>
            <w:vMerge w:val="continue"/>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11</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PERCENT OF CLASS REPRESENTED BY AMOUNT IN ROW (9)</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5.97%</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7"/>
        </w:trPr>
        <w:tc>
          <w:tcPr>
            <w:tcW w:w="1300" w:type="dxa"/>
            <w:vAlign w:val="bottom"/>
            <w:vMerge w:val="restart"/>
          </w:tcPr>
          <w:p>
            <w:pPr>
              <w:jc w:val="center"/>
              <w:ind w:right="73"/>
              <w:spacing w:after="0"/>
              <w:rPr>
                <w:sz w:val="20"/>
                <w:szCs w:val="20"/>
                <w:color w:val="auto"/>
              </w:rPr>
            </w:pPr>
            <w:r>
              <w:rPr>
                <w:rFonts w:ascii="Arial" w:cs="Arial" w:eastAsia="Arial" w:hAnsi="Arial"/>
                <w:sz w:val="29"/>
                <w:szCs w:val="29"/>
                <w:b w:val="1"/>
                <w:bCs w:val="1"/>
                <w:color w:val="auto"/>
                <w:w w:val="86"/>
              </w:rPr>
              <w:t>12</w:t>
            </w:r>
          </w:p>
        </w:tc>
        <w:tc>
          <w:tcPr>
            <w:tcW w:w="6540" w:type="dxa"/>
            <w:vAlign w:val="bottom"/>
            <w:gridSpan w:val="3"/>
          </w:tcPr>
          <w:p>
            <w:pPr>
              <w:ind w:left="160"/>
              <w:spacing w:after="0"/>
              <w:rPr>
                <w:sz w:val="20"/>
                <w:szCs w:val="20"/>
                <w:color w:val="auto"/>
              </w:rPr>
            </w:pPr>
            <w:r>
              <w:rPr>
                <w:rFonts w:ascii="Arial" w:cs="Arial" w:eastAsia="Arial" w:hAnsi="Arial"/>
                <w:sz w:val="16"/>
                <w:szCs w:val="16"/>
                <w:color w:val="auto"/>
              </w:rPr>
              <w:t>TYPE OF REPORTING PERSON</w:t>
            </w:r>
          </w:p>
        </w:tc>
        <w:tc>
          <w:tcPr>
            <w:tcW w:w="0" w:type="dxa"/>
            <w:vAlign w:val="bottom"/>
          </w:tcPr>
          <w:p>
            <w:pPr>
              <w:spacing w:after="0"/>
              <w:rPr>
                <w:sz w:val="1"/>
                <w:szCs w:val="1"/>
                <w:color w:val="auto"/>
              </w:rPr>
            </w:pPr>
          </w:p>
        </w:tc>
      </w:tr>
      <w:tr>
        <w:trPr>
          <w:trHeight w:val="170"/>
        </w:trPr>
        <w:tc>
          <w:tcPr>
            <w:tcW w:w="1300" w:type="dxa"/>
            <w:vAlign w:val="bottom"/>
            <w:vMerge w:val="continue"/>
          </w:tcPr>
          <w:p>
            <w:pPr>
              <w:spacing w:after="0"/>
              <w:rPr>
                <w:sz w:val="14"/>
                <w:szCs w:val="14"/>
                <w:color w:val="auto"/>
              </w:rPr>
            </w:pPr>
          </w:p>
        </w:tc>
        <w:tc>
          <w:tcPr>
            <w:tcW w:w="1280" w:type="dxa"/>
            <w:vAlign w:val="bottom"/>
            <w:vMerge w:val="restart"/>
          </w:tcPr>
          <w:p>
            <w:pPr>
              <w:ind w:left="500"/>
              <w:spacing w:after="0"/>
              <w:rPr>
                <w:sz w:val="20"/>
                <w:szCs w:val="20"/>
                <w:color w:val="auto"/>
              </w:rPr>
            </w:pPr>
            <w:r>
              <w:rPr>
                <w:rFonts w:ascii="Arial" w:cs="Arial" w:eastAsia="Arial" w:hAnsi="Arial"/>
                <w:sz w:val="20"/>
                <w:szCs w:val="20"/>
                <w:color w:val="auto"/>
              </w:rPr>
              <w:t>IN</w:t>
            </w: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73" w:hanging="273"/>
        <w:spacing w:after="0" w:line="262" w:lineRule="exact"/>
        <w:tabs>
          <w:tab w:leader="none" w:pos="27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191" w:lineRule="exact"/>
        <w:rPr>
          <w:rFonts w:ascii="Arial" w:cs="Arial" w:eastAsia="Arial" w:hAnsi="Arial"/>
          <w:sz w:val="18"/>
          <w:szCs w:val="18"/>
          <w:color w:val="auto"/>
        </w:rPr>
      </w:pPr>
    </w:p>
    <w:p>
      <w:pPr>
        <w:ind w:left="273" w:hanging="273"/>
        <w:spacing w:after="0" w:line="262" w:lineRule="exact"/>
        <w:tabs>
          <w:tab w:leader="none" w:pos="273" w:val="left"/>
        </w:tabs>
        <w:numPr>
          <w:ilvl w:val="0"/>
          <w:numId w:val="16"/>
        </w:numPr>
        <w:rPr>
          <w:rFonts w:ascii="Arial" w:cs="Arial" w:eastAsia="Arial" w:hAnsi="Arial"/>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9" w:right="339" w:bottom="1440" w:gutter="0" w:footer="0" w:header="0"/>
          <w:type w:val="continuous"/>
        </w:sectPr>
      </w:pPr>
    </w:p>
    <w:bookmarkStart w:id="6" w:name="page7"/>
    <w:bookmarkEnd w:id="6"/>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NAME OF ISSUER</w:t>
            </w:r>
          </w:p>
        </w:tc>
      </w:tr>
      <w:tr>
        <w:trPr>
          <w:trHeight w:val="229"/>
        </w:trPr>
        <w:tc>
          <w:tcPr>
            <w:tcW w:w="1260" w:type="dxa"/>
            <w:vAlign w:val="bottom"/>
          </w:tcPr>
          <w:p>
            <w:pPr>
              <w:spacing w:after="0"/>
              <w:rPr>
                <w:sz w:val="19"/>
                <w:szCs w:val="19"/>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8"/>
              </w:rPr>
              <w:t>The name of the issuer is Perella Weinberg Partners (formerly known as FinTech Acquisition Corp. IV) (the</w:t>
            </w:r>
          </w:p>
        </w:tc>
      </w:tr>
      <w:tr>
        <w:trPr>
          <w:trHeight w:val="206"/>
        </w:trPr>
        <w:tc>
          <w:tcPr>
            <w:tcW w:w="1260" w:type="dxa"/>
            <w:vAlign w:val="bottom"/>
          </w:tcPr>
          <w:p>
            <w:pPr>
              <w:spacing w:after="0"/>
              <w:rPr>
                <w:sz w:val="17"/>
                <w:szCs w:val="17"/>
                <w:color w:val="auto"/>
              </w:rPr>
            </w:pPr>
          </w:p>
        </w:tc>
        <w:tc>
          <w:tcPr>
            <w:tcW w:w="9720" w:type="dxa"/>
            <w:vAlign w:val="bottom"/>
            <w:gridSpan w:val="16"/>
          </w:tcPr>
          <w:p>
            <w:pPr>
              <w:ind w:left="420"/>
              <w:spacing w:after="0" w:line="206" w:lineRule="exact"/>
              <w:rPr>
                <w:sz w:val="20"/>
                <w:szCs w:val="20"/>
                <w:color w:val="auto"/>
              </w:rPr>
            </w:pPr>
            <w:r>
              <w:rPr>
                <w:rFonts w:ascii="Arial" w:cs="Arial" w:eastAsia="Arial" w:hAnsi="Arial"/>
                <w:sz w:val="20"/>
                <w:szCs w:val="20"/>
                <w:color w:val="auto"/>
              </w:rPr>
              <w:t>"Company").</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3"/>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The Company's principal executive offices are located at 767 Fifth Avenue, New York, NY 10153.</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960" w:type="dxa"/>
            <w:vAlign w:val="bottom"/>
            <w:gridSpan w:val="2"/>
          </w:tcPr>
          <w:p>
            <w:pPr>
              <w:ind w:left="420"/>
              <w:spacing w:after="0"/>
              <w:rPr>
                <w:sz w:val="20"/>
                <w:szCs w:val="20"/>
                <w:color w:val="auto"/>
              </w:rPr>
            </w:pPr>
            <w:r>
              <w:rPr>
                <w:rFonts w:ascii="Arial" w:cs="Arial" w:eastAsia="Arial" w:hAnsi="Arial"/>
                <w:sz w:val="20"/>
                <w:szCs w:val="20"/>
                <w:color w:val="auto"/>
              </w:rPr>
              <w:t>(i)</w:t>
            </w: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w w:val="90"/>
              </w:rPr>
              <w:t>Adage Capital Partners, L.P., a Delaware limited partnership ("ACP") with respect to the shares of Class A</w:t>
            </w:r>
          </w:p>
        </w:tc>
      </w:tr>
      <w:tr>
        <w:trPr>
          <w:trHeight w:val="254"/>
        </w:trPr>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120" w:type="dxa"/>
            <w:vAlign w:val="bottom"/>
            <w:gridSpan w:val="9"/>
          </w:tcPr>
          <w:p>
            <w:pPr>
              <w:ind w:left="260"/>
              <w:spacing w:after="0"/>
              <w:rPr>
                <w:sz w:val="20"/>
                <w:szCs w:val="20"/>
                <w:color w:val="auto"/>
              </w:rPr>
            </w:pPr>
            <w:r>
              <w:rPr>
                <w:rFonts w:ascii="Arial" w:cs="Arial" w:eastAsia="Arial" w:hAnsi="Arial"/>
                <w:sz w:val="20"/>
                <w:szCs w:val="20"/>
                <w:color w:val="auto"/>
              </w:rPr>
              <w:t>Common Stock directly owned by it;</w:t>
            </w:r>
          </w:p>
        </w:tc>
        <w:tc>
          <w:tcPr>
            <w:tcW w:w="380" w:type="dxa"/>
            <w:vAlign w:val="bottom"/>
            <w:tcBorders>
              <w:top w:val="single" w:sz="8" w:color="auto"/>
            </w:tcBorders>
          </w:tcPr>
          <w:p>
            <w:pPr>
              <w:spacing w:after="0"/>
              <w:rPr>
                <w:sz w:val="22"/>
                <w:szCs w:val="22"/>
                <w:color w:val="auto"/>
              </w:rPr>
            </w:pPr>
          </w:p>
        </w:tc>
        <w:tc>
          <w:tcPr>
            <w:tcW w:w="3260" w:type="dxa"/>
            <w:vAlign w:val="bottom"/>
            <w:gridSpan w:val="4"/>
          </w:tcPr>
          <w:p>
            <w:pPr>
              <w:spacing w:after="0"/>
              <w:rPr>
                <w:sz w:val="22"/>
                <w:szCs w:val="22"/>
                <w:color w:val="auto"/>
              </w:rPr>
            </w:pPr>
          </w:p>
        </w:tc>
      </w:tr>
      <w:tr>
        <w:trPr>
          <w:trHeight w:val="438"/>
        </w:trPr>
        <w:tc>
          <w:tcPr>
            <w:tcW w:w="1260" w:type="dxa"/>
            <w:vAlign w:val="bottom"/>
          </w:tcPr>
          <w:p>
            <w:pPr>
              <w:spacing w:after="0"/>
              <w:rPr>
                <w:sz w:val="24"/>
                <w:szCs w:val="24"/>
                <w:color w:val="auto"/>
              </w:rPr>
            </w:pPr>
          </w:p>
        </w:tc>
        <w:tc>
          <w:tcPr>
            <w:tcW w:w="960" w:type="dxa"/>
            <w:vAlign w:val="bottom"/>
            <w:gridSpan w:val="2"/>
          </w:tcPr>
          <w:p>
            <w:pPr>
              <w:ind w:left="420"/>
              <w:spacing w:after="0"/>
              <w:rPr>
                <w:sz w:val="20"/>
                <w:szCs w:val="20"/>
                <w:color w:val="auto"/>
              </w:rPr>
            </w:pPr>
            <w:r>
              <w:rPr>
                <w:rFonts w:ascii="Arial" w:cs="Arial" w:eastAsia="Arial" w:hAnsi="Arial"/>
                <w:sz w:val="20"/>
                <w:szCs w:val="20"/>
                <w:color w:val="auto"/>
              </w:rPr>
              <w:t>(ii)</w:t>
            </w: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w w:val="93"/>
              </w:rPr>
              <w:t>Adage Capital Partners GP,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60" w:type="dxa"/>
            <w:vAlign w:val="bottom"/>
            <w:gridSpan w:val="14"/>
          </w:tcPr>
          <w:p>
            <w:pPr>
              <w:ind w:left="260"/>
              <w:spacing w:after="0" w:line="206" w:lineRule="exact"/>
              <w:rPr>
                <w:sz w:val="20"/>
                <w:szCs w:val="20"/>
                <w:color w:val="auto"/>
              </w:rPr>
            </w:pPr>
            <w:r>
              <w:rPr>
                <w:rFonts w:ascii="Arial" w:cs="Arial" w:eastAsia="Arial" w:hAnsi="Arial"/>
                <w:sz w:val="20"/>
                <w:szCs w:val="20"/>
                <w:color w:val="auto"/>
                <w:w w:val="93"/>
              </w:rPr>
              <w:t>Delaware ("ACPGP"), as general partner of ACP with respect to the shares of Class A Common Stock</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rPr>
              <w:t>directly owned by ACP;</w:t>
            </w:r>
          </w:p>
        </w:tc>
      </w:tr>
      <w:tr>
        <w:trPr>
          <w:trHeight w:val="438"/>
        </w:trPr>
        <w:tc>
          <w:tcPr>
            <w:tcW w:w="1260" w:type="dxa"/>
            <w:vAlign w:val="bottom"/>
          </w:tcPr>
          <w:p>
            <w:pPr>
              <w:spacing w:after="0"/>
              <w:rPr>
                <w:sz w:val="24"/>
                <w:szCs w:val="24"/>
                <w:color w:val="auto"/>
              </w:rPr>
            </w:pPr>
          </w:p>
        </w:tc>
        <w:tc>
          <w:tcPr>
            <w:tcW w:w="960" w:type="dxa"/>
            <w:vAlign w:val="bottom"/>
            <w:gridSpan w:val="2"/>
          </w:tcPr>
          <w:p>
            <w:pPr>
              <w:ind w:left="420"/>
              <w:spacing w:after="0"/>
              <w:rPr>
                <w:sz w:val="20"/>
                <w:szCs w:val="20"/>
                <w:color w:val="auto"/>
              </w:rPr>
            </w:pPr>
            <w:r>
              <w:rPr>
                <w:rFonts w:ascii="Arial" w:cs="Arial" w:eastAsia="Arial" w:hAnsi="Arial"/>
                <w:sz w:val="20"/>
                <w:szCs w:val="20"/>
                <w:color w:val="auto"/>
              </w:rPr>
              <w:t>(iii)</w:t>
            </w: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w w:val="97"/>
              </w:rPr>
              <w:t>Adage Capital Advisors,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760" w:type="dxa"/>
            <w:vAlign w:val="bottom"/>
            <w:gridSpan w:val="14"/>
          </w:tcPr>
          <w:p>
            <w:pPr>
              <w:ind w:left="260"/>
              <w:spacing w:after="0" w:line="206" w:lineRule="exact"/>
              <w:rPr>
                <w:sz w:val="20"/>
                <w:szCs w:val="20"/>
                <w:color w:val="auto"/>
              </w:rPr>
            </w:pPr>
            <w:r>
              <w:rPr>
                <w:rFonts w:ascii="Arial" w:cs="Arial" w:eastAsia="Arial" w:hAnsi="Arial"/>
                <w:sz w:val="20"/>
                <w:szCs w:val="20"/>
                <w:color w:val="auto"/>
                <w:w w:val="90"/>
              </w:rPr>
              <w:t>Delaware ("ACA"), as managing member of ACPGP, general partner of ACP, with respect to the shares of</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rPr>
              <w:t>Class A Common Stock directly owned by ACP;</w:t>
            </w:r>
          </w:p>
        </w:tc>
      </w:tr>
      <w:tr>
        <w:trPr>
          <w:trHeight w:val="414"/>
        </w:trPr>
        <w:tc>
          <w:tcPr>
            <w:tcW w:w="1260" w:type="dxa"/>
            <w:vAlign w:val="bottom"/>
          </w:tcPr>
          <w:p>
            <w:pPr>
              <w:spacing w:after="0"/>
              <w:rPr>
                <w:sz w:val="24"/>
                <w:szCs w:val="24"/>
                <w:color w:val="auto"/>
              </w:rPr>
            </w:pPr>
          </w:p>
        </w:tc>
        <w:tc>
          <w:tcPr>
            <w:tcW w:w="960" w:type="dxa"/>
            <w:vAlign w:val="bottom"/>
            <w:gridSpan w:val="2"/>
          </w:tcPr>
          <w:p>
            <w:pPr>
              <w:ind w:left="420"/>
              <w:spacing w:after="0"/>
              <w:rPr>
                <w:sz w:val="20"/>
                <w:szCs w:val="20"/>
                <w:color w:val="auto"/>
              </w:rPr>
            </w:pPr>
            <w:r>
              <w:rPr>
                <w:rFonts w:ascii="Arial" w:cs="Arial" w:eastAsia="Arial" w:hAnsi="Arial"/>
                <w:sz w:val="20"/>
                <w:szCs w:val="20"/>
                <w:color w:val="auto"/>
              </w:rPr>
              <w:t>(iv)</w:t>
            </w: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w w:val="90"/>
              </w:rPr>
              <w:t>Robert Atchinson ("Mr. Atchinson"), as managing member of ACA, managing member of ACPGP, general</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w w:val="99"/>
              </w:rPr>
              <w:t>partner of ACP with respect to the shares of Class A Common Stock directly owned by ACP; and</w:t>
            </w:r>
          </w:p>
        </w:tc>
      </w:tr>
      <w:tr>
        <w:trPr>
          <w:trHeight w:val="414"/>
        </w:trPr>
        <w:tc>
          <w:tcPr>
            <w:tcW w:w="1260" w:type="dxa"/>
            <w:vAlign w:val="bottom"/>
          </w:tcPr>
          <w:p>
            <w:pPr>
              <w:spacing w:after="0"/>
              <w:rPr>
                <w:sz w:val="24"/>
                <w:szCs w:val="24"/>
                <w:color w:val="auto"/>
              </w:rPr>
            </w:pPr>
          </w:p>
        </w:tc>
        <w:tc>
          <w:tcPr>
            <w:tcW w:w="960" w:type="dxa"/>
            <w:vAlign w:val="bottom"/>
            <w:gridSpan w:val="2"/>
          </w:tcPr>
          <w:p>
            <w:pPr>
              <w:ind w:left="420"/>
              <w:spacing w:after="0"/>
              <w:rPr>
                <w:sz w:val="20"/>
                <w:szCs w:val="20"/>
                <w:color w:val="auto"/>
              </w:rPr>
            </w:pPr>
            <w:r>
              <w:rPr>
                <w:rFonts w:ascii="Arial" w:cs="Arial" w:eastAsia="Arial" w:hAnsi="Arial"/>
                <w:sz w:val="20"/>
                <w:szCs w:val="20"/>
                <w:color w:val="auto"/>
              </w:rPr>
              <w:t>(v)</w:t>
            </w: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w w:val="89"/>
              </w:rPr>
              <w:t>Phillip Gross ("Mr. Gross"), as managing member of ACA, managing member of ACPGP, general partner of</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760" w:type="dxa"/>
            <w:vAlign w:val="bottom"/>
            <w:gridSpan w:val="14"/>
          </w:tcPr>
          <w:p>
            <w:pPr>
              <w:ind w:left="260"/>
              <w:spacing w:after="0"/>
              <w:rPr>
                <w:sz w:val="20"/>
                <w:szCs w:val="20"/>
                <w:color w:val="auto"/>
              </w:rPr>
            </w:pPr>
            <w:r>
              <w:rPr>
                <w:rFonts w:ascii="Arial" w:cs="Arial" w:eastAsia="Arial" w:hAnsi="Arial"/>
                <w:sz w:val="20"/>
                <w:szCs w:val="20"/>
                <w:color w:val="auto"/>
              </w:rPr>
              <w:t>ACP with respect to the shares of Class A Common Stock directly owned by ACP.</w:t>
            </w:r>
          </w:p>
        </w:tc>
      </w:tr>
      <w:tr>
        <w:trPr>
          <w:trHeight w:val="415"/>
        </w:trPr>
        <w:tc>
          <w:tcPr>
            <w:tcW w:w="1260" w:type="dxa"/>
            <w:vAlign w:val="bottom"/>
          </w:tcPr>
          <w:p>
            <w:pPr>
              <w:spacing w:after="0"/>
              <w:rPr>
                <w:sz w:val="24"/>
                <w:szCs w:val="24"/>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8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260" w:type="dxa"/>
            <w:vAlign w:val="bottom"/>
          </w:tcPr>
          <w:p>
            <w:pPr>
              <w:spacing w:after="0"/>
              <w:rPr>
                <w:sz w:val="24"/>
                <w:szCs w:val="24"/>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2"/>
              </w:rPr>
              <w:t>The address of the business office of each of the Reporting Persons is 200 Clarendon Street, 52nd Floor, Boston,</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Massachusetts 02116.</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6"/>
              </w:rPr>
              <w:t>ACP is a limited partnership organized under the laws of the State of Delaware. ACPGP and ACA are limited</w:t>
            </w:r>
          </w:p>
        </w:tc>
      </w:tr>
      <w:tr>
        <w:trPr>
          <w:trHeight w:val="230"/>
        </w:trPr>
        <w:tc>
          <w:tcPr>
            <w:tcW w:w="1260" w:type="dxa"/>
            <w:vAlign w:val="bottom"/>
          </w:tcPr>
          <w:p>
            <w:pPr>
              <w:spacing w:after="0"/>
              <w:rPr>
                <w:sz w:val="19"/>
                <w:szCs w:val="19"/>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w w:val="91"/>
              </w:rPr>
              <w:t>liability companies organized under the laws of the State of Delaware. Messrs. Gross and Atchinson are citizens of</w:t>
            </w:r>
          </w:p>
        </w:tc>
      </w:tr>
      <w:tr>
        <w:trPr>
          <w:trHeight w:val="250"/>
        </w:trPr>
        <w:tc>
          <w:tcPr>
            <w:tcW w:w="1260" w:type="dxa"/>
            <w:vAlign w:val="bottom"/>
          </w:tcPr>
          <w:p>
            <w:pPr>
              <w:spacing w:after="0"/>
              <w:rPr>
                <w:sz w:val="21"/>
                <w:szCs w:val="21"/>
                <w:color w:val="auto"/>
              </w:rPr>
            </w:pPr>
          </w:p>
        </w:tc>
        <w:tc>
          <w:tcPr>
            <w:tcW w:w="9720" w:type="dxa"/>
            <w:vAlign w:val="bottom"/>
            <w:gridSpan w:val="16"/>
          </w:tcPr>
          <w:p>
            <w:pPr>
              <w:ind w:left="420"/>
              <w:spacing w:after="0"/>
              <w:rPr>
                <w:sz w:val="20"/>
                <w:szCs w:val="20"/>
                <w:color w:val="auto"/>
              </w:rPr>
            </w:pPr>
            <w:r>
              <w:rPr>
                <w:rFonts w:ascii="Arial" w:cs="Arial" w:eastAsia="Arial" w:hAnsi="Arial"/>
                <w:sz w:val="20"/>
                <w:szCs w:val="20"/>
                <w:color w:val="auto"/>
              </w:rPr>
              <w:t>the United States.</w:t>
            </w:r>
          </w:p>
        </w:tc>
      </w:tr>
      <w:tr>
        <w:trPr>
          <w:trHeight w:val="438"/>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20" w:type="dxa"/>
            <w:vAlign w:val="bottom"/>
            <w:gridSpan w:val="16"/>
          </w:tcPr>
          <w:p>
            <w:pPr>
              <w:ind w:left="42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720" w:type="dxa"/>
            <w:vAlign w:val="bottom"/>
            <w:gridSpan w:val="16"/>
          </w:tcPr>
          <w:p>
            <w:pPr>
              <w:ind w:left="420"/>
              <w:spacing w:after="0" w:line="206" w:lineRule="exact"/>
              <w:rPr>
                <w:sz w:val="20"/>
                <w:szCs w:val="20"/>
                <w:color w:val="auto"/>
              </w:rPr>
            </w:pPr>
            <w:r>
              <w:rPr>
                <w:rFonts w:ascii="Arial" w:cs="Arial" w:eastAsia="Arial" w:hAnsi="Arial"/>
                <w:sz w:val="20"/>
                <w:szCs w:val="20"/>
                <w:color w:val="auto"/>
              </w:rPr>
              <w:t>Class A Common Stock, $0.0001 par value per share (the "Class A Common Stock").</w:t>
            </w:r>
          </w:p>
        </w:tc>
      </w:tr>
      <w:tr>
        <w:trPr>
          <w:trHeight w:val="20"/>
        </w:trPr>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76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250"/>
        </w:trPr>
        <w:tc>
          <w:tcPr>
            <w:tcW w:w="1240" w:type="dxa"/>
            <w:vAlign w:val="bottom"/>
          </w:tcPr>
          <w:p>
            <w:pPr>
              <w:spacing w:after="0"/>
              <w:rPr>
                <w:sz w:val="21"/>
                <w:szCs w:val="21"/>
                <w:color w:val="auto"/>
              </w:rPr>
            </w:pPr>
          </w:p>
        </w:tc>
        <w:tc>
          <w:tcPr>
            <w:tcW w:w="1620" w:type="dxa"/>
            <w:vAlign w:val="bottom"/>
            <w:gridSpan w:val="2"/>
          </w:tcPr>
          <w:p>
            <w:pPr>
              <w:ind w:left="440"/>
              <w:spacing w:after="0"/>
              <w:rPr>
                <w:sz w:val="20"/>
                <w:szCs w:val="20"/>
                <w:color w:val="auto"/>
              </w:rPr>
            </w:pPr>
            <w:r>
              <w:rPr>
                <w:rFonts w:ascii="Arial" w:cs="Arial" w:eastAsia="Arial" w:hAnsi="Arial"/>
                <w:sz w:val="20"/>
                <w:szCs w:val="20"/>
                <w:color w:val="auto"/>
              </w:rPr>
              <w:t>71367G102</w:t>
            </w:r>
          </w:p>
        </w:tc>
        <w:tc>
          <w:tcPr>
            <w:tcW w:w="8140" w:type="dxa"/>
            <w:vAlign w:val="bottom"/>
          </w:tcPr>
          <w:p>
            <w:pPr>
              <w:spacing w:after="0"/>
              <w:rPr>
                <w:sz w:val="21"/>
                <w:szCs w:val="21"/>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60" w:type="dxa"/>
            <w:vAlign w:val="bottom"/>
            <w:gridSpan w:val="3"/>
          </w:tcPr>
          <w:p>
            <w:pPr>
              <w:ind w:left="440"/>
              <w:spacing w:after="0"/>
              <w:rPr>
                <w:sz w:val="20"/>
                <w:szCs w:val="20"/>
                <w:color w:val="auto"/>
              </w:rPr>
            </w:pPr>
            <w:r>
              <w:rPr>
                <w:rFonts w:ascii="Arial" w:cs="Arial" w:eastAsia="Arial" w:hAnsi="Arial"/>
                <w:sz w:val="20"/>
                <w:szCs w:val="20"/>
                <w:b w:val="1"/>
                <w:bCs w:val="1"/>
                <w:color w:val="auto"/>
                <w:w w:val="97"/>
              </w:rPr>
              <w:t>IF THIS STATEMENT IS FILED PURSUANT TO Rules 13d-1(b), OR 13d-2(b) OR (c), CHECK WHETHER</w:t>
            </w:r>
          </w:p>
        </w:tc>
      </w:tr>
      <w:tr>
        <w:trPr>
          <w:trHeight w:val="212"/>
        </w:trPr>
        <w:tc>
          <w:tcPr>
            <w:tcW w:w="1240" w:type="dxa"/>
            <w:vAlign w:val="bottom"/>
          </w:tcPr>
          <w:p>
            <w:pPr>
              <w:spacing w:after="0"/>
              <w:rPr>
                <w:sz w:val="18"/>
                <w:szCs w:val="18"/>
                <w:color w:val="auto"/>
              </w:rPr>
            </w:pPr>
          </w:p>
        </w:tc>
        <w:tc>
          <w:tcPr>
            <w:tcW w:w="9760" w:type="dxa"/>
            <w:vAlign w:val="bottom"/>
            <w:gridSpan w:val="3"/>
          </w:tcPr>
          <w:p>
            <w:pPr>
              <w:ind w:left="440"/>
              <w:spacing w:after="0" w:line="211" w:lineRule="exact"/>
              <w:rPr>
                <w:sz w:val="20"/>
                <w:szCs w:val="20"/>
                <w:color w:val="auto"/>
              </w:rPr>
            </w:pPr>
            <w:r>
              <w:rPr>
                <w:rFonts w:ascii="Arial" w:cs="Arial" w:eastAsia="Arial" w:hAnsi="Arial"/>
                <w:sz w:val="20"/>
                <w:szCs w:val="20"/>
                <w:b w:val="1"/>
                <w:bCs w:val="1"/>
                <w:color w:val="auto"/>
              </w:rPr>
              <w:t>THE PERSON FILING IS A:</w:t>
            </w:r>
          </w:p>
        </w:tc>
      </w:tr>
      <w:tr>
        <w:trPr>
          <w:trHeight w:val="310"/>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(a)</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(b)</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(c)</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(d)</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(e)</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(f)</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22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(g)</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22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(h)</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03"/>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(i)</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w w:val="90"/>
              </w:rPr>
              <w:t>A church plan that is excluded from the definition of an investment company under Section 3(c)(14)</w:t>
            </w:r>
          </w:p>
        </w:tc>
      </w:tr>
      <w:tr>
        <w:trPr>
          <w:trHeight w:val="250"/>
        </w:trPr>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40" w:type="dxa"/>
            <w:vAlign w:val="bottom"/>
          </w:tcPr>
          <w:p>
            <w:pPr>
              <w:ind w:left="160"/>
              <w:spacing w:after="0"/>
              <w:rPr>
                <w:sz w:val="20"/>
                <w:szCs w:val="20"/>
                <w:color w:val="auto"/>
              </w:rPr>
            </w:pPr>
            <w:r>
              <w:rPr>
                <w:rFonts w:ascii="Arial" w:cs="Arial" w:eastAsia="Arial" w:hAnsi="Arial"/>
                <w:sz w:val="20"/>
                <w:szCs w:val="20"/>
                <w:color w:val="auto"/>
              </w:rPr>
              <w:t>of the Investment Company Act;</w:t>
            </w:r>
          </w:p>
        </w:tc>
      </w:tr>
      <w:tr>
        <w:trPr>
          <w:trHeight w:val="494"/>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(j)</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4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(k)</w:t>
            </w:r>
          </w:p>
        </w:tc>
        <w:tc>
          <w:tcPr>
            <w:tcW w:w="660" w:type="dxa"/>
            <w:vAlign w:val="bottom"/>
          </w:tcPr>
          <w:p>
            <w:pPr>
              <w:ind w:left="300"/>
              <w:spacing w:after="0" w:line="201" w:lineRule="exact"/>
              <w:rPr>
                <w:sz w:val="20"/>
                <w:szCs w:val="20"/>
                <w:color w:val="auto"/>
              </w:rPr>
            </w:pPr>
            <w:r>
              <w:rPr>
                <w:rFonts w:ascii="MS PGothic" w:cs="MS PGothic" w:eastAsia="MS PGothic" w:hAnsi="MS PGothic"/>
                <w:sz w:val="20"/>
                <w:szCs w:val="20"/>
                <w:color w:val="auto"/>
              </w:rPr>
              <w:t>☐</w:t>
            </w:r>
          </w:p>
        </w:tc>
        <w:tc>
          <w:tcPr>
            <w:tcW w:w="8140" w:type="dxa"/>
            <w:vAlign w:val="bottom"/>
          </w:tcPr>
          <w:p>
            <w:pPr>
              <w:ind w:left="160"/>
              <w:spacing w:after="0"/>
              <w:rPr>
                <w:sz w:val="20"/>
                <w:szCs w:val="20"/>
                <w:color w:val="auto"/>
              </w:rPr>
            </w:pPr>
            <w:r>
              <w:rPr>
                <w:rFonts w:ascii="Arial" w:cs="Arial" w:eastAsia="Arial" w:hAnsi="Arial"/>
                <w:sz w:val="20"/>
                <w:szCs w:val="20"/>
                <w:color w:val="auto"/>
              </w:rPr>
              <w:t>Group, in accordance with Rule 13d-1(b)(1)(ii)(K).</w:t>
            </w:r>
          </w:p>
        </w:tc>
      </w:tr>
    </w:tbl>
    <w:p>
      <w:pPr>
        <w:spacing w:after="0" w:line="187"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pacing w:after="0" w:line="184"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235" w:lineRule="exact"/>
        <w:rPr>
          <w:sz w:val="20"/>
          <w:szCs w:val="20"/>
          <w:color w:val="auto"/>
        </w:rPr>
      </w:pPr>
    </w:p>
    <w:p>
      <w:pPr>
        <w:ind w:left="1700" w:hanging="792"/>
        <w:spacing w:after="0"/>
        <w:tabs>
          <w:tab w:leader="none" w:pos="17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spacing w:after="0" w:line="15" w:lineRule="exact"/>
        <w:rPr>
          <w:rFonts w:ascii="Arial" w:cs="Arial" w:eastAsia="Arial" w:hAnsi="Arial"/>
          <w:sz w:val="20"/>
          <w:szCs w:val="20"/>
          <w:color w:val="auto"/>
        </w:rPr>
      </w:pPr>
    </w:p>
    <w:p>
      <w:pPr>
        <w:ind w:left="2260" w:hanging="556"/>
        <w:spacing w:after="0"/>
        <w:tabs>
          <w:tab w:leader="none" w:pos="22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Amount beneficially owned: 2,538,768. .</w:t>
      </w:r>
    </w:p>
    <w:p>
      <w:pPr>
        <w:ind w:left="2260" w:right="140" w:hanging="556"/>
        <w:spacing w:after="0" w:line="239" w:lineRule="auto"/>
        <w:tabs>
          <w:tab w:leader="none" w:pos="22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Percent of class: 5.97%. The percentage set forth in this Schedule 13G/A is calculated based upon a total of 42,492,628 shares of Class A Common Stock outstanding as of November 2, 2021, as reported in the Company's Quarterly Report on Form 10-Q for the quarterly period ended September 30, 2021 filed with the Securities and Exchange Commission on November 5, 2021.</w:t>
      </w:r>
    </w:p>
    <w:p>
      <w:pPr>
        <w:spacing w:after="0" w:line="1" w:lineRule="exact"/>
        <w:rPr>
          <w:rFonts w:ascii="Arial" w:cs="Arial" w:eastAsia="Arial" w:hAnsi="Arial"/>
          <w:sz w:val="20"/>
          <w:szCs w:val="20"/>
          <w:color w:val="auto"/>
        </w:rPr>
      </w:pPr>
    </w:p>
    <w:p>
      <w:pPr>
        <w:ind w:left="2260" w:hanging="556"/>
        <w:spacing w:after="0"/>
        <w:tabs>
          <w:tab w:leader="none" w:pos="2260" w:val="left"/>
        </w:tabs>
        <w:numPr>
          <w:ilvl w:val="1"/>
          <w:numId w:val="17"/>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20" w:hanging="662"/>
        <w:spacing w:after="0"/>
        <w:tabs>
          <w:tab w:leader="none" w:pos="292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Shared power to vote or direct the vote: 2,538,768</w:t>
      </w:r>
    </w:p>
    <w:p>
      <w:pPr>
        <w:ind w:left="2920" w:hanging="662"/>
        <w:spacing w:after="0"/>
        <w:tabs>
          <w:tab w:leader="none" w:pos="292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20" w:hanging="662"/>
        <w:spacing w:after="0"/>
        <w:tabs>
          <w:tab w:leader="none" w:pos="2920" w:val="left"/>
        </w:tabs>
        <w:numPr>
          <w:ilvl w:val="2"/>
          <w:numId w:val="1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2,538,768</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10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120" w:right="200"/>
        <w:spacing w:after="0" w:line="246" w:lineRule="auto"/>
        <w:rPr>
          <w:sz w:val="20"/>
          <w:szCs w:val="20"/>
          <w:color w:val="auto"/>
        </w:rPr>
      </w:pPr>
      <w:r>
        <w:rPr>
          <w:rFonts w:ascii="Arial" w:cs="Arial" w:eastAsia="Arial" w:hAnsi="Arial"/>
          <w:sz w:val="20"/>
          <w:szCs w:val="20"/>
          <w:color w:val="auto"/>
        </w:rPr>
        <w:t>ACP has the power to dispose of and the power to vote the shares of Class A Common Stock beneficially owned by it, which power may be exercised by its general partner, ACPGP. ACA, as managing member of ACPGP, directs ACPGP's operations. Neither ACPGP nor ACA directly own any shares of Class A Common Stock. By reason of the provisions of Rule 13d-3 of the Act, ACPGP and ACA may be deemed to beneficially own the shares owned by ACP.</w:t>
      </w:r>
    </w:p>
    <w:p>
      <w:pPr>
        <w:spacing w:after="0" w:line="205" w:lineRule="exact"/>
        <w:rPr>
          <w:sz w:val="20"/>
          <w:szCs w:val="20"/>
          <w:color w:val="auto"/>
        </w:rPr>
      </w:pPr>
    </w:p>
    <w:p>
      <w:pPr>
        <w:ind w:left="1700" w:hanging="792"/>
        <w:spacing w:after="0"/>
        <w:tabs>
          <w:tab w:leader="none" w:pos="17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260" w:hanging="556"/>
        <w:spacing w:after="0"/>
        <w:tabs>
          <w:tab w:leader="none" w:pos="22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Amount beneficially owned: 2,538,768</w:t>
      </w:r>
    </w:p>
    <w:p>
      <w:pPr>
        <w:ind w:left="2260" w:hanging="556"/>
        <w:spacing w:after="0"/>
        <w:tabs>
          <w:tab w:leader="none" w:pos="22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Percent of class: 5.97%</w:t>
      </w:r>
    </w:p>
    <w:p>
      <w:pPr>
        <w:ind w:left="2260" w:hanging="556"/>
        <w:spacing w:after="0"/>
        <w:tabs>
          <w:tab w:leader="none" w:pos="2260" w:val="left"/>
        </w:tabs>
        <w:numPr>
          <w:ilvl w:val="1"/>
          <w:numId w:val="18"/>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2920" w:hanging="668"/>
        <w:spacing w:after="0"/>
        <w:tabs>
          <w:tab w:leader="none" w:pos="2920" w:val="left"/>
        </w:tabs>
        <w:numPr>
          <w:ilvl w:val="2"/>
          <w:numId w:val="18"/>
        </w:numPr>
        <w:rPr>
          <w:rFonts w:ascii="Arial" w:cs="Arial" w:eastAsia="Arial" w:hAnsi="Arial"/>
          <w:sz w:val="20"/>
          <w:szCs w:val="20"/>
          <w:color w:val="auto"/>
        </w:rPr>
      </w:pPr>
      <w:r>
        <w:rPr>
          <w:rFonts w:ascii="Arial" w:cs="Arial" w:eastAsia="Arial" w:hAnsi="Arial"/>
          <w:sz w:val="20"/>
          <w:szCs w:val="20"/>
          <w:color w:val="auto"/>
        </w:rPr>
        <w:t>Shared power to vote or direct the vote: 2,538,768</w:t>
      </w:r>
    </w:p>
    <w:p>
      <w:pPr>
        <w:ind w:left="2920" w:hanging="668"/>
        <w:spacing w:after="0"/>
        <w:tabs>
          <w:tab w:leader="none" w:pos="2920" w:val="left"/>
        </w:tabs>
        <w:numPr>
          <w:ilvl w:val="2"/>
          <w:numId w:val="18"/>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2920" w:hanging="668"/>
        <w:spacing w:after="0"/>
        <w:tabs>
          <w:tab w:leader="none" w:pos="2920" w:val="left"/>
        </w:tabs>
        <w:numPr>
          <w:ilvl w:val="2"/>
          <w:numId w:val="1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2,538,768</w:t>
      </w:r>
    </w:p>
    <w:p>
      <w:pPr>
        <w:spacing w:after="0" w:line="213" w:lineRule="exact"/>
        <w:rPr>
          <w:sz w:val="20"/>
          <w:szCs w:val="20"/>
          <w:color w:val="auto"/>
        </w:rPr>
      </w:pPr>
    </w:p>
    <w:p>
      <w:pPr>
        <w:ind w:left="120" w:right="320"/>
        <w:spacing w:after="0" w:line="269" w:lineRule="auto"/>
        <w:rPr>
          <w:sz w:val="20"/>
          <w:szCs w:val="20"/>
          <w:color w:val="auto"/>
        </w:rPr>
      </w:pPr>
      <w:r>
        <w:rPr>
          <w:rFonts w:ascii="Arial" w:cs="Arial" w:eastAsia="Arial" w:hAnsi="Arial"/>
          <w:sz w:val="19"/>
          <w:szCs w:val="19"/>
          <w:color w:val="auto"/>
        </w:rPr>
        <w:t>Messrs. Atchinson and Gross, as managing members of ACA, have shared power to vote the shares of Class A Common Stock beneficially owned by ACP. Neither Mr. Atchinson nor Mr. Gross directly own any shares of Class A Common Stock. By reason of the provisions of Rule 13d-3 of the Act, each may be deemed to beneficially own the shares beneficially owned by ACP.</w:t>
      </w:r>
    </w:p>
    <w:p>
      <w:pPr>
        <w:spacing w:after="0" w:line="17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right="280"/>
        <w:spacing w:after="0" w:line="244" w:lineRule="auto"/>
        <w:rPr>
          <w:sz w:val="20"/>
          <w:szCs w:val="20"/>
          <w:color w:val="auto"/>
        </w:rPr>
      </w:pPr>
      <w:r>
        <w:rPr>
          <w:rFonts w:ascii="Arial" w:cs="Arial" w:eastAsia="Arial" w:hAnsi="Arial"/>
          <w:sz w:val="20"/>
          <w:szCs w:val="20"/>
          <w:b w:val="1"/>
          <w:bCs w:val="1"/>
          <w:color w:val="auto"/>
        </w:rPr>
        <w:t xml:space="preserve">SECURITY 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0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tabs>
          <w:tab w:leader="none" w:pos="5360" w:val="left"/>
          <w:tab w:leader="none" w:pos="9720" w:val="left"/>
        </w:tabs>
        <w:rPr>
          <w:sz w:val="20"/>
          <w:szCs w:val="20"/>
          <w:color w:val="auto"/>
        </w:rPr>
      </w:pPr>
      <w:r>
        <w:rPr>
          <w:rFonts w:ascii="Arial" w:cs="Arial" w:eastAsia="Arial" w:hAnsi="Arial"/>
          <w:sz w:val="18"/>
          <w:szCs w:val="18"/>
          <w:b w:val="1"/>
          <w:bCs w:val="1"/>
          <w:color w:val="auto"/>
        </w:rPr>
        <w:t>CUSIP No. 71367G102</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10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10, 2022</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Robert Atchinson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Robert Atchinson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ROBERT ATCHINSON, individually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Phillip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2"/>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2"/>
      <w:numFmt w:val="bullet"/>
      <w:start w:val="1"/>
    </w:lvl>
  </w:abstractNum>
  <w:abstractNum w:abstractNumId="8">
    <w:nsid w:val="109CF92E"/>
    <w:multiLevelType w:val="hybridMultilevel"/>
    <w:lvl w:ilvl="0">
      <w:lvlJc w:val="left"/>
      <w:lvlText w:val="3"/>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2"/>
      <w:numFmt w:val="bullet"/>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2"/>
      <w:numFmt w:val="bullet"/>
      <w:start w:val="1"/>
    </w:lvl>
  </w:abstractNum>
  <w:abstractNum w:abstractNumId="14">
    <w:nsid w:val="4E6AFB66"/>
    <w:multiLevelType w:val="hybridMultilevel"/>
    <w:lvl w:ilvl="0">
      <w:lvlJc w:val="left"/>
      <w:lvlText w:val="3"/>
      <w:numFmt w:val="bullet"/>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7">
    <w:nsid w:val="431BD7B7"/>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2022-02-10T09:42:22Z</dcterms:created>
  <dcterms:modified xsi:type="dcterms:W3CDTF">2022-02-10T09:42:22Z</dcterms:modified>
</cp:coreProperties>
</file>