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January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3" w:lineRule="auto"/>
        <w:rPr>
          <w:rFonts w:ascii="Arial" w:cs="Arial" w:eastAsia="Arial" w:hAnsi="Arial"/>
          <w:sz w:val="22"/>
          <w:szCs w:val="22"/>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Bay Pond Partners, 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2,419,407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2,419,407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2,419,407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PN</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Perella Weinberg Partners</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 Columbus Circle 24th Floor</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NY 10019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760" w:right="722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Bay Pond Partners, L.P.</w:t>
      </w:r>
    </w:p>
    <w:p>
      <w:pPr>
        <w:spacing w:after="0" w:line="12" w:lineRule="exact"/>
        <w:rPr>
          <w:rFonts w:ascii="Arial" w:cs="Arial" w:eastAsia="Arial" w:hAnsi="Arial"/>
          <w:sz w:val="19"/>
          <w:szCs w:val="19"/>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right="824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71367G102</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right="6720" w:hanging="401"/>
        <w:spacing w:after="0" w:line="358" w:lineRule="auto"/>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2,419,407</w:t>
      </w:r>
    </w:p>
    <w:p>
      <w:pPr>
        <w:spacing w:after="0" w:line="1"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5.22%</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274"/>
        </w:trPr>
        <w:tc>
          <w:tcPr>
            <w:tcW w:w="400" w:type="dxa"/>
            <w:vAlign w:val="bottom"/>
          </w:tcPr>
          <w:p>
            <w:pPr>
              <w:spacing w:after="0"/>
              <w:rPr>
                <w:sz w:val="20"/>
                <w:szCs w:val="20"/>
                <w:color w:val="auto"/>
              </w:rPr>
            </w:pPr>
            <w:r>
              <w:rPr>
                <w:rFonts w:ascii="Arial" w:cs="Arial" w:eastAsia="Arial" w:hAnsi="Arial"/>
                <w:sz w:val="22"/>
                <w:szCs w:val="22"/>
                <w:color w:val="auto"/>
              </w:rPr>
              <w:t>(i)</w:t>
            </w:r>
          </w:p>
        </w:tc>
        <w:tc>
          <w:tcPr>
            <w:tcW w:w="6100" w:type="dxa"/>
            <w:vAlign w:val="bottom"/>
          </w:tcPr>
          <w:p>
            <w:pPr>
              <w:ind w:left="60"/>
              <w:spacing w:after="0"/>
              <w:rPr>
                <w:sz w:val="20"/>
                <w:szCs w:val="20"/>
                <w:color w:val="auto"/>
              </w:rPr>
            </w:pPr>
            <w:r>
              <w:rPr>
                <w:rFonts w:ascii="Arial" w:cs="Arial" w:eastAsia="Arial" w:hAnsi="Arial"/>
                <w:sz w:val="22"/>
                <w:szCs w:val="22"/>
                <w:color w:val="auto"/>
              </w:rPr>
              <w:t>sole power to vote or to direct the vote</w:t>
            </w:r>
          </w:p>
        </w:tc>
        <w:tc>
          <w:tcPr>
            <w:tcW w:w="2260" w:type="dxa"/>
            <w:vAlign w:val="bottom"/>
          </w:tcPr>
          <w:p>
            <w:pPr>
              <w:ind w:left="1400"/>
              <w:spacing w:after="0"/>
              <w:rPr>
                <w:sz w:val="20"/>
                <w:szCs w:val="20"/>
                <w:color w:val="auto"/>
              </w:rPr>
            </w:pPr>
            <w:r>
              <w:rPr>
                <w:rFonts w:ascii="Arial" w:cs="Arial" w:eastAsia="Arial" w:hAnsi="Arial"/>
                <w:sz w:val="22"/>
                <w:szCs w:val="22"/>
                <w:color w:val="auto"/>
              </w:rPr>
              <w:t>0</w:t>
            </w:r>
          </w:p>
        </w:tc>
      </w:tr>
      <w:tr>
        <w:trPr>
          <w:trHeight w:val="378"/>
        </w:trPr>
        <w:tc>
          <w:tcPr>
            <w:tcW w:w="400" w:type="dxa"/>
            <w:vAlign w:val="bottom"/>
          </w:tcPr>
          <w:p>
            <w:pPr>
              <w:spacing w:after="0"/>
              <w:rPr>
                <w:sz w:val="20"/>
                <w:szCs w:val="20"/>
                <w:color w:val="auto"/>
              </w:rPr>
            </w:pPr>
            <w:r>
              <w:rPr>
                <w:rFonts w:ascii="Arial" w:cs="Arial" w:eastAsia="Arial" w:hAnsi="Arial"/>
                <w:sz w:val="22"/>
                <w:szCs w:val="22"/>
                <w:color w:val="auto"/>
              </w:rPr>
              <w:t>(ii)</w:t>
            </w:r>
          </w:p>
        </w:tc>
        <w:tc>
          <w:tcPr>
            <w:tcW w:w="6100" w:type="dxa"/>
            <w:vAlign w:val="bottom"/>
          </w:tcPr>
          <w:p>
            <w:pPr>
              <w:ind w:left="60"/>
              <w:spacing w:after="0"/>
              <w:rPr>
                <w:sz w:val="20"/>
                <w:szCs w:val="20"/>
                <w:color w:val="auto"/>
              </w:rPr>
            </w:pPr>
            <w:r>
              <w:rPr>
                <w:rFonts w:ascii="Arial" w:cs="Arial" w:eastAsia="Arial" w:hAnsi="Arial"/>
                <w:sz w:val="22"/>
                <w:szCs w:val="22"/>
                <w:color w:val="auto"/>
              </w:rPr>
              <w:t>shared power to vote or to direct the vote</w:t>
            </w:r>
          </w:p>
        </w:tc>
        <w:tc>
          <w:tcPr>
            <w:tcW w:w="2260" w:type="dxa"/>
            <w:vAlign w:val="bottom"/>
          </w:tcPr>
          <w:p>
            <w:pPr>
              <w:ind w:left="1400"/>
              <w:spacing w:after="0"/>
              <w:rPr>
                <w:sz w:val="20"/>
                <w:szCs w:val="20"/>
                <w:color w:val="auto"/>
              </w:rPr>
            </w:pPr>
            <w:r>
              <w:rPr>
                <w:rFonts w:ascii="Arial" w:cs="Arial" w:eastAsia="Arial" w:hAnsi="Arial"/>
                <w:sz w:val="22"/>
                <w:szCs w:val="22"/>
                <w:color w:val="auto"/>
                <w:w w:val="85"/>
              </w:rPr>
              <w:t>2,419,407</w:t>
            </w:r>
          </w:p>
        </w:tc>
      </w:tr>
      <w:tr>
        <w:trPr>
          <w:trHeight w:val="378"/>
        </w:trPr>
        <w:tc>
          <w:tcPr>
            <w:tcW w:w="400" w:type="dxa"/>
            <w:vAlign w:val="bottom"/>
          </w:tcPr>
          <w:p>
            <w:pPr>
              <w:spacing w:after="0"/>
              <w:rPr>
                <w:sz w:val="20"/>
                <w:szCs w:val="20"/>
                <w:color w:val="auto"/>
              </w:rPr>
            </w:pPr>
            <w:r>
              <w:rPr>
                <w:rFonts w:ascii="Arial" w:cs="Arial" w:eastAsia="Arial" w:hAnsi="Arial"/>
                <w:sz w:val="22"/>
                <w:szCs w:val="22"/>
                <w:color w:val="auto"/>
              </w:rPr>
              <w:t>(iii)</w:t>
            </w:r>
          </w:p>
        </w:tc>
        <w:tc>
          <w:tcPr>
            <w:tcW w:w="6100" w:type="dxa"/>
            <w:vAlign w:val="bottom"/>
          </w:tcPr>
          <w:p>
            <w:pPr>
              <w:ind w:left="60"/>
              <w:spacing w:after="0"/>
              <w:rPr>
                <w:sz w:val="20"/>
                <w:szCs w:val="20"/>
                <w:color w:val="auto"/>
              </w:rPr>
            </w:pPr>
            <w:r>
              <w:rPr>
                <w:rFonts w:ascii="Arial" w:cs="Arial" w:eastAsia="Arial" w:hAnsi="Arial"/>
                <w:sz w:val="22"/>
                <w:szCs w:val="22"/>
                <w:color w:val="auto"/>
              </w:rPr>
              <w:t>sole power to dispose or to direct the disposition of</w:t>
            </w:r>
          </w:p>
        </w:tc>
        <w:tc>
          <w:tcPr>
            <w:tcW w:w="2260" w:type="dxa"/>
            <w:vAlign w:val="bottom"/>
          </w:tcPr>
          <w:p>
            <w:pPr>
              <w:ind w:left="1400"/>
              <w:spacing w:after="0"/>
              <w:rPr>
                <w:sz w:val="20"/>
                <w:szCs w:val="20"/>
                <w:color w:val="auto"/>
              </w:rPr>
            </w:pPr>
            <w:r>
              <w:rPr>
                <w:rFonts w:ascii="Arial" w:cs="Arial" w:eastAsia="Arial" w:hAnsi="Arial"/>
                <w:sz w:val="22"/>
                <w:szCs w:val="22"/>
                <w:color w:val="auto"/>
              </w:rPr>
              <w:t>0</w:t>
            </w:r>
          </w:p>
        </w:tc>
      </w:tr>
      <w:tr>
        <w:trPr>
          <w:trHeight w:val="378"/>
        </w:trPr>
        <w:tc>
          <w:tcPr>
            <w:tcW w:w="400" w:type="dxa"/>
            <w:vAlign w:val="bottom"/>
          </w:tcPr>
          <w:p>
            <w:pPr>
              <w:spacing w:after="0"/>
              <w:rPr>
                <w:sz w:val="20"/>
                <w:szCs w:val="20"/>
                <w:color w:val="auto"/>
              </w:rPr>
            </w:pPr>
            <w:r>
              <w:rPr>
                <w:rFonts w:ascii="Arial" w:cs="Arial" w:eastAsia="Arial" w:hAnsi="Arial"/>
                <w:sz w:val="22"/>
                <w:szCs w:val="22"/>
                <w:color w:val="auto"/>
              </w:rPr>
              <w:t>(iv)</w:t>
            </w:r>
          </w:p>
        </w:tc>
        <w:tc>
          <w:tcPr>
            <w:tcW w:w="6100" w:type="dxa"/>
            <w:vAlign w:val="bottom"/>
          </w:tcPr>
          <w:p>
            <w:pPr>
              <w:ind w:left="60"/>
              <w:spacing w:after="0"/>
              <w:rPr>
                <w:sz w:val="20"/>
                <w:szCs w:val="20"/>
                <w:color w:val="auto"/>
              </w:rPr>
            </w:pPr>
            <w:r>
              <w:rPr>
                <w:rFonts w:ascii="Arial" w:cs="Arial" w:eastAsia="Arial" w:hAnsi="Arial"/>
                <w:sz w:val="22"/>
                <w:szCs w:val="22"/>
                <w:color w:val="auto"/>
              </w:rPr>
              <w:t>shared power to dispose or to direct the disposition of</w:t>
            </w:r>
          </w:p>
        </w:tc>
        <w:tc>
          <w:tcPr>
            <w:tcW w:w="2260" w:type="dxa"/>
            <w:vAlign w:val="bottom"/>
          </w:tcPr>
          <w:p>
            <w:pPr>
              <w:ind w:left="1400"/>
              <w:spacing w:after="0"/>
              <w:rPr>
                <w:sz w:val="20"/>
                <w:szCs w:val="20"/>
                <w:color w:val="auto"/>
              </w:rPr>
            </w:pPr>
            <w:r>
              <w:rPr>
                <w:rFonts w:ascii="Arial" w:cs="Arial" w:eastAsia="Arial" w:hAnsi="Arial"/>
                <w:sz w:val="22"/>
                <w:szCs w:val="22"/>
                <w:color w:val="auto"/>
                <w:w w:val="85"/>
              </w:rPr>
              <w:t>2,419,407</w:t>
            </w:r>
          </w:p>
        </w:tc>
      </w:tr>
    </w:tbl>
    <w:p>
      <w:pPr>
        <w:spacing w:after="0" w:line="9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040"/>
          </w:cols>
          <w:pgMar w:left="400" w:top="409" w:right="4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w w:val="91"/>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12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w w:val="89"/>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acquired and are not held for the purpose of or with the effect of changing or influencing the control of the</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3"/>
              </w:rPr>
              <w:t>issuer of the securities and were not acquired and are not held in connection with or as a participant in any</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420"/>
              <w:spacing w:after="0"/>
              <w:rPr>
                <w:sz w:val="20"/>
                <w:szCs w:val="20"/>
                <w:color w:val="auto"/>
              </w:rPr>
            </w:pPr>
            <w:r>
              <w:rPr>
                <w:rFonts w:ascii="Arial" w:cs="Arial" w:eastAsia="Arial" w:hAnsi="Arial"/>
                <w:sz w:val="22"/>
                <w:szCs w:val="22"/>
                <w:color w:val="auto"/>
              </w:rPr>
              <w:t>transaction having that purpose or effect.</w:t>
            </w:r>
          </w:p>
        </w:tc>
      </w:tr>
      <w:tr>
        <w:trPr>
          <w:trHeight w:val="608"/>
        </w:trPr>
        <w:tc>
          <w:tcPr>
            <w:tcW w:w="940" w:type="dxa"/>
            <w:vAlign w:val="bottom"/>
          </w:tcPr>
          <w:p>
            <w:pPr>
              <w:spacing w:after="0"/>
              <w:rPr>
                <w:sz w:val="24"/>
                <w:szCs w:val="24"/>
                <w:color w:val="auto"/>
              </w:rPr>
            </w:pPr>
          </w:p>
        </w:tc>
        <w:tc>
          <w:tcPr>
            <w:tcW w:w="10120" w:type="dxa"/>
            <w:vAlign w:val="bottom"/>
            <w:gridSpan w:val="3"/>
          </w:tcPr>
          <w:p>
            <w:pPr>
              <w:ind w:left="39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Arial" w:cs="Arial" w:eastAsia="Arial" w:hAnsi="Arial"/>
                <w:sz w:val="22"/>
                <w:szCs w:val="22"/>
                <w:color w:val="auto"/>
              </w:rPr>
              <w:t>By: Bay Pond Partners, L.P.</w:t>
            </w:r>
          </w:p>
        </w:tc>
      </w:tr>
      <w:tr>
        <w:trPr>
          <w:trHeight w:val="563"/>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Arial" w:cs="Arial" w:eastAsia="Arial" w:hAnsi="Arial"/>
                <w:sz w:val="22"/>
                <w:szCs w:val="22"/>
                <w:color w:val="auto"/>
              </w:rPr>
              <w:t>By: Wellington Alternative Investments LLC</w:t>
            </w:r>
          </w:p>
        </w:tc>
      </w:tr>
      <w:tr>
        <w:trPr>
          <w:trHeight w:val="274"/>
        </w:trPr>
        <w:tc>
          <w:tcPr>
            <w:tcW w:w="940" w:type="dxa"/>
            <w:vAlign w:val="bottom"/>
          </w:tcPr>
          <w:p>
            <w:pPr>
              <w:spacing w:after="0"/>
              <w:rPr>
                <w:sz w:val="23"/>
                <w:szCs w:val="23"/>
                <w:color w:val="auto"/>
              </w:rPr>
            </w:pPr>
          </w:p>
        </w:tc>
        <w:tc>
          <w:tcPr>
            <w:tcW w:w="10120" w:type="dxa"/>
            <w:vAlign w:val="bottom"/>
            <w:gridSpan w:val="3"/>
          </w:tcPr>
          <w:p>
            <w:pPr>
              <w:ind w:left="4960"/>
              <w:spacing w:after="0"/>
              <w:rPr>
                <w:sz w:val="20"/>
                <w:szCs w:val="20"/>
                <w:color w:val="auto"/>
              </w:rPr>
            </w:pPr>
            <w:r>
              <w:rPr>
                <w:rFonts w:ascii="Arial" w:cs="Arial" w:eastAsia="Arial" w:hAnsi="Arial"/>
                <w:sz w:val="22"/>
                <w:szCs w:val="22"/>
                <w:color w:val="auto"/>
              </w:rPr>
              <w:t>Its General Partner</w:t>
            </w:r>
          </w:p>
        </w:tc>
      </w:tr>
      <w:tr>
        <w:trPr>
          <w:trHeight w:val="246"/>
        </w:trPr>
        <w:tc>
          <w:tcPr>
            <w:tcW w:w="940" w:type="dxa"/>
            <w:vAlign w:val="bottom"/>
          </w:tcPr>
          <w:p>
            <w:pPr>
              <w:spacing w:after="0"/>
              <w:rPr>
                <w:sz w:val="21"/>
                <w:szCs w:val="21"/>
                <w:color w:val="auto"/>
              </w:rPr>
            </w:pPr>
          </w:p>
        </w:tc>
        <w:tc>
          <w:tcPr>
            <w:tcW w:w="10120" w:type="dxa"/>
            <w:vAlign w:val="bottom"/>
            <w:gridSpan w:val="3"/>
          </w:tcPr>
          <w:p>
            <w:pPr>
              <w:ind w:left="4960"/>
              <w:spacing w:after="0" w:line="246" w:lineRule="exact"/>
              <w:rPr>
                <w:sz w:val="20"/>
                <w:szCs w:val="20"/>
                <w:color w:val="auto"/>
              </w:rPr>
            </w:pPr>
            <w:r>
              <w:rPr>
                <w:rFonts w:ascii="Arial" w:cs="Arial" w:eastAsia="Arial" w:hAnsi="Arial"/>
                <w:sz w:val="22"/>
                <w:szCs w:val="22"/>
                <w:color w:val="auto"/>
              </w:rPr>
              <w:t>By: /s/ Matthew N. Shea</w:t>
            </w:r>
          </w:p>
        </w:tc>
      </w:tr>
      <w:tr>
        <w:trPr>
          <w:trHeight w:val="20"/>
        </w:trPr>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Arial" w:cs="Arial" w:eastAsia="Arial" w:hAnsi="Arial"/>
                <w:sz w:val="22"/>
                <w:szCs w:val="22"/>
                <w:color w:val="auto"/>
              </w:rPr>
              <w:t>Name: Matthew N. Shea</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Arial" w:cs="Arial" w:eastAsia="Arial" w:hAnsi="Arial"/>
                <w:sz w:val="22"/>
                <w:szCs w:val="22"/>
                <w:color w:val="auto"/>
              </w:rPr>
              <w:t>Date: January 31, 2022</w:t>
            </w:r>
          </w:p>
        </w:tc>
      </w:tr>
    </w:tbl>
    <w:p>
      <w:pPr>
        <w:spacing w:after="0" w:line="1" w:lineRule="exact"/>
        <w:rPr>
          <w:sz w:val="20"/>
          <w:szCs w:val="20"/>
          <w:color w:val="auto"/>
        </w:rPr>
      </w:pPr>
    </w:p>
    <w:sectPr>
      <w:pgSz w:w="11900" w:h="16838" w:orient="portrait"/>
      <w:cols w:equalWidth="0" w:num="1">
        <w:col w:w="11060"/>
      </w:cols>
      <w:pgMar w:left="400" w:top="1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2022-01-31T09:00:02Z</dcterms:created>
  <dcterms:modified xsi:type="dcterms:W3CDTF">2022-01-31T09:00:02Z</dcterms:modified>
</cp:coreProperties>
</file>