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4"/>
        </w:trPr>
        <w:tc>
          <w:tcPr>
            <w:tcW w:w="124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3"/>
          </w:tcPr>
          <w:p>
            <w:pPr>
              <w:ind w:left="640"/>
              <w:spacing w:after="0"/>
              <w:rPr>
                <w:sz w:val="20"/>
                <w:szCs w:val="20"/>
                <w:color w:val="auto"/>
              </w:rPr>
            </w:pPr>
            <w:r>
              <w:rPr>
                <w:rFonts w:ascii="Arial" w:cs="Arial" w:eastAsia="Arial" w:hAnsi="Arial"/>
                <w:sz w:val="22"/>
                <w:szCs w:val="22"/>
                <w:b w:val="1"/>
                <w:bCs w:val="1"/>
                <w:color w:val="auto"/>
              </w:rPr>
              <w:t>FORM 4</w:t>
            </w:r>
          </w:p>
        </w:tc>
        <w:tc>
          <w:tcPr>
            <w:tcW w:w="6420" w:type="dxa"/>
            <w:vAlign w:val="bottom"/>
            <w:gridSpan w:val="10"/>
          </w:tcPr>
          <w:p>
            <w:pPr>
              <w:jc w:val="center"/>
              <w:ind w:right="300"/>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80" w:type="dxa"/>
            <w:vAlign w:val="bottom"/>
            <w:gridSpan w:val="2"/>
            <w:vMerge w:val="restart"/>
          </w:tcPr>
          <w:p>
            <w:pPr>
              <w:jc w:val="center"/>
              <w:ind w:right="420"/>
              <w:spacing w:after="0" w:line="136" w:lineRule="exact"/>
              <w:rPr>
                <w:sz w:val="20"/>
                <w:szCs w:val="20"/>
                <w:color w:val="auto"/>
              </w:rPr>
            </w:pPr>
            <w:r>
              <w:rPr>
                <w:rFonts w:ascii="Arial" w:cs="Arial" w:eastAsia="Arial" w:hAnsi="Arial"/>
                <w:sz w:val="12"/>
                <w:szCs w:val="12"/>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Borders>
              <w:top w:val="single" w:sz="8" w:color="808080"/>
              <w:bottom w:val="single" w:sz="8" w:color="2C2C2C"/>
            </w:tcBorders>
          </w:tcPr>
          <w:p>
            <w:pPr>
              <w:spacing w:after="0"/>
              <w:rPr>
                <w:sz w:val="2"/>
                <w:szCs w:val="2"/>
                <w:color w:val="auto"/>
              </w:rPr>
            </w:pPr>
          </w:p>
        </w:tc>
        <w:tc>
          <w:tcPr>
            <w:tcW w:w="820" w:type="dxa"/>
            <w:vAlign w:val="bottom"/>
            <w:tcBorders>
              <w:top w:val="single" w:sz="8" w:color="808080"/>
              <w:bottom w:val="single" w:sz="8" w:color="2C2C2C"/>
            </w:tcBorders>
          </w:tcPr>
          <w:p>
            <w:pPr>
              <w:spacing w:after="0"/>
              <w:rPr>
                <w:sz w:val="2"/>
                <w:szCs w:val="2"/>
                <w:color w:val="auto"/>
              </w:rPr>
            </w:pPr>
          </w:p>
        </w:tc>
        <w:tc>
          <w:tcPr>
            <w:tcW w:w="880" w:type="dxa"/>
            <w:vAlign w:val="bottom"/>
            <w:tcBorders>
              <w:top w:val="single" w:sz="8" w:color="808080"/>
              <w:bottom w:val="single" w:sz="8" w:color="2C2C2C"/>
            </w:tcBorders>
          </w:tcPr>
          <w:p>
            <w:pPr>
              <w:spacing w:after="0"/>
              <w:rPr>
                <w:sz w:val="2"/>
                <w:szCs w:val="2"/>
                <w:color w:val="auto"/>
              </w:rPr>
            </w:pPr>
          </w:p>
        </w:tc>
        <w:tc>
          <w:tcPr>
            <w:tcW w:w="26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00" w:type="dxa"/>
            <w:vAlign w:val="bottom"/>
            <w:gridSpan w:val="2"/>
            <w:vMerge w:val="restart"/>
          </w:tcPr>
          <w:p>
            <w:pPr>
              <w:ind w:left="320"/>
              <w:spacing w:after="0"/>
              <w:rPr>
                <w:sz w:val="20"/>
                <w:szCs w:val="20"/>
                <w:color w:val="auto"/>
              </w:rPr>
            </w:pPr>
            <w:r>
              <w:rPr>
                <w:rFonts w:ascii="Arial" w:cs="Arial" w:eastAsia="Arial" w:hAnsi="Arial"/>
                <w:sz w:val="16"/>
                <w:szCs w:val="16"/>
                <w:color w:val="auto"/>
              </w:rPr>
              <w:t>OMB APPROVAL</w:t>
            </w: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gridSpan w:val="2"/>
            <w:vMerge w:val="continue"/>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ind w:left="220"/>
              <w:spacing w:after="0"/>
              <w:rPr>
                <w:sz w:val="20"/>
                <w:szCs w:val="20"/>
                <w:color w:val="auto"/>
              </w:rPr>
            </w:pPr>
            <w:r>
              <w:rPr>
                <w:rFonts w:ascii="Arial" w:cs="Arial" w:eastAsia="Arial" w:hAnsi="Arial"/>
                <w:sz w:val="11"/>
                <w:szCs w:val="11"/>
                <w:color w:val="auto"/>
              </w:rPr>
              <w:t>Check this box if no longer subject to</w:t>
            </w:r>
          </w:p>
        </w:tc>
        <w:tc>
          <w:tcPr>
            <w:tcW w:w="6420" w:type="dxa"/>
            <w:vAlign w:val="bottom"/>
            <w:gridSpan w:val="10"/>
            <w:vMerge w:val="restart"/>
          </w:tcPr>
          <w:p>
            <w:pPr>
              <w:jc w:val="center"/>
              <w:ind w:right="300"/>
              <w:spacing w:after="0"/>
              <w:rPr>
                <w:sz w:val="20"/>
                <w:szCs w:val="20"/>
                <w:color w:val="auto"/>
              </w:rPr>
            </w:pPr>
            <w:r>
              <w:rPr>
                <w:rFonts w:ascii="Arial" w:cs="Arial" w:eastAsia="Arial" w:hAnsi="Arial"/>
                <w:sz w:val="20"/>
                <w:szCs w:val="20"/>
                <w:b w:val="1"/>
                <w:bCs w:val="1"/>
                <w:color w:val="auto"/>
                <w:w w:val="99"/>
              </w:rPr>
              <w:t>STATEMENT OF CHANGES IN BENEFICIAL OWNERSHIP</w:t>
            </w:r>
          </w:p>
        </w:tc>
        <w:tc>
          <w:tcPr>
            <w:tcW w:w="820" w:type="dxa"/>
            <w:vAlign w:val="bottom"/>
          </w:tcPr>
          <w:p>
            <w:pPr>
              <w:ind w:left="20"/>
              <w:spacing w:after="0"/>
              <w:rPr>
                <w:sz w:val="20"/>
                <w:szCs w:val="20"/>
                <w:color w:val="auto"/>
              </w:rPr>
            </w:pPr>
            <w:r>
              <w:rPr>
                <w:rFonts w:ascii="Arial" w:cs="Arial" w:eastAsia="Arial" w:hAnsi="Arial"/>
                <w:sz w:val="11"/>
                <w:szCs w:val="11"/>
                <w:color w:val="auto"/>
              </w:rPr>
              <w:t>OMB Number:</w:t>
            </w:r>
          </w:p>
        </w:tc>
        <w:tc>
          <w:tcPr>
            <w:tcW w:w="1140" w:type="dxa"/>
            <w:vAlign w:val="bottom"/>
            <w:gridSpan w:val="2"/>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6420" w:type="dxa"/>
            <w:vAlign w:val="bottom"/>
            <w:gridSpan w:val="10"/>
            <w:vMerge w:val="continue"/>
          </w:tcPr>
          <w:p>
            <w:pPr>
              <w:spacing w:after="0"/>
              <w:rPr>
                <w:sz w:val="6"/>
                <w:szCs w:val="6"/>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1"/>
                <w:szCs w:val="11"/>
                <w:color w:val="auto"/>
              </w:rPr>
              <w:t>Estimated average burden</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tcPr>
          <w:p>
            <w:pPr>
              <w:ind w:left="220"/>
              <w:spacing w:after="0" w:line="121" w:lineRule="exact"/>
              <w:rPr>
                <w:sz w:val="20"/>
                <w:szCs w:val="20"/>
                <w:color w:val="auto"/>
              </w:rPr>
            </w:pPr>
            <w:r>
              <w:rPr>
                <w:rFonts w:ascii="Arial" w:cs="Arial" w:eastAsia="Arial" w:hAnsi="Arial"/>
                <w:sz w:val="11"/>
                <w:szCs w:val="11"/>
                <w:color w:val="auto"/>
              </w:rPr>
              <w:t>Section 16. Form 4 or Form 5</w:t>
            </w: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3"/>
          </w:tcPr>
          <w:p>
            <w:pPr>
              <w:ind w:left="22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800" w:type="dxa"/>
            <w:vAlign w:val="bottom"/>
          </w:tcPr>
          <w:p>
            <w:pPr>
              <w:spacing w:after="0"/>
              <w:rPr>
                <w:sz w:val="11"/>
                <w:szCs w:val="11"/>
                <w:color w:val="auto"/>
              </w:rPr>
            </w:pPr>
          </w:p>
        </w:tc>
        <w:tc>
          <w:tcPr>
            <w:tcW w:w="4360" w:type="dxa"/>
            <w:vAlign w:val="bottom"/>
            <w:gridSpan w:val="5"/>
            <w:vMerge w:val="restart"/>
          </w:tcPr>
          <w:p>
            <w:pPr>
              <w:jc w:val="center"/>
              <w:ind w:left="93"/>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gridSpan w:val="2"/>
          </w:tcPr>
          <w:p>
            <w:pPr>
              <w:ind w:left="20"/>
              <w:spacing w:after="0"/>
              <w:rPr>
                <w:sz w:val="20"/>
                <w:szCs w:val="20"/>
                <w:color w:val="auto"/>
              </w:rPr>
            </w:pPr>
            <w:r>
              <w:rPr>
                <w:rFonts w:ascii="Arial" w:cs="Arial" w:eastAsia="Arial" w:hAnsi="Arial"/>
                <w:sz w:val="11"/>
                <w:szCs w:val="11"/>
                <w:color w:val="auto"/>
              </w:rPr>
              <w:t>hours per response:</w:t>
            </w:r>
          </w:p>
        </w:tc>
        <w:tc>
          <w:tcPr>
            <w:tcW w:w="2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20" w:type="dxa"/>
            <w:vAlign w:val="bottom"/>
            <w:vMerge w:val="restart"/>
          </w:tcPr>
          <w:p>
            <w:pPr>
              <w:ind w:left="220"/>
              <w:spacing w:after="0" w:line="90" w:lineRule="exact"/>
              <w:rPr>
                <w:sz w:val="20"/>
                <w:szCs w:val="20"/>
                <w:color w:val="auto"/>
              </w:rPr>
            </w:pPr>
            <w:r>
              <w:rPr>
                <w:rFonts w:ascii="Arial" w:cs="Arial" w:eastAsia="Arial" w:hAnsi="Arial"/>
                <w:sz w:val="10"/>
                <w:szCs w:val="10"/>
                <w:color w:val="auto"/>
              </w:rPr>
              <w:t>Instruction 1(b).</w:t>
            </w: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36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6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gridSpan w:val="2"/>
          </w:tcPr>
          <w:p>
            <w:pPr>
              <w:jc w:val="center"/>
              <w:ind w:right="420"/>
              <w:spacing w:after="0"/>
              <w:rPr>
                <w:sz w:val="20"/>
                <w:szCs w:val="20"/>
                <w:color w:val="auto"/>
              </w:rPr>
            </w:pPr>
            <w:r>
              <w:rPr>
                <w:rFonts w:ascii="Arial" w:cs="Arial" w:eastAsia="Arial" w:hAnsi="Arial"/>
                <w:sz w:val="12"/>
                <w:szCs w:val="12"/>
                <w:color w:val="auto"/>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6"/>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5"/>
          </w:tcPr>
          <w:p>
            <w:pPr>
              <w:ind w:left="60"/>
              <w:spacing w:after="0" w:line="20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296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3"/>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Weinberg Peter A</w:t>
              </w:r>
            </w:hyperlink>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3"/>
          </w:tcPr>
          <w:p>
            <w:pPr>
              <w:ind w:left="60"/>
              <w:spacing w:after="0" w:line="166" w:lineRule="exact"/>
              <w:rPr>
                <w:rFonts w:ascii="Arial" w:cs="Arial" w:eastAsia="Arial" w:hAnsi="Arial"/>
                <w:sz w:val="19"/>
                <w:szCs w:val="19"/>
                <w:color w:val="0000EE"/>
              </w:rPr>
            </w:pPr>
            <w:hyperlink r:id="rId9">
              <w:r>
                <w:rPr>
                  <w:rFonts w:ascii="Arial" w:cs="Arial" w:eastAsia="Arial" w:hAnsi="Arial"/>
                  <w:sz w:val="19"/>
                  <w:szCs w:val="19"/>
                  <w:color w:val="0000EE"/>
                </w:rPr>
                <w:t xml:space="preserve">Perella Weinberg Partners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2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260" w:type="dxa"/>
            <w:vAlign w:val="bottom"/>
            <w:gridSpan w:val="4"/>
            <w:vMerge w:val="restart"/>
          </w:tcPr>
          <w:p>
            <w:pPr>
              <w:ind w:left="260"/>
              <w:spacing w:after="0" w:line="177"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820" w:type="dxa"/>
            <w:vAlign w:val="bottom"/>
          </w:tcPr>
          <w:p>
            <w:pPr>
              <w:spacing w:after="0"/>
              <w:rPr>
                <w:sz w:val="5"/>
                <w:szCs w:val="5"/>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600" w:type="dxa"/>
            <w:vAlign w:val="bottom"/>
            <w:gridSpan w:val="4"/>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20" w:type="dxa"/>
            <w:vAlign w:val="bottom"/>
            <w:tcBorders>
              <w:top w:val="single" w:sz="8" w:color="EEEEEE"/>
            </w:tcBorders>
          </w:tcPr>
          <w:p>
            <w:pPr>
              <w:spacing w:after="0"/>
              <w:rPr>
                <w:sz w:val="7"/>
                <w:szCs w:val="7"/>
                <w:color w:val="auto"/>
              </w:rPr>
            </w:pPr>
          </w:p>
        </w:tc>
        <w:tc>
          <w:tcPr>
            <w:tcW w:w="280" w:type="dxa"/>
            <w:vAlign w:val="bottom"/>
            <w:tcBorders>
              <w:top w:val="single" w:sz="8" w:color="EEEEEE"/>
            </w:tcBorders>
          </w:tcPr>
          <w:p>
            <w:pPr>
              <w:spacing w:after="0"/>
              <w:rPr>
                <w:sz w:val="7"/>
                <w:szCs w:val="7"/>
                <w:color w:val="auto"/>
              </w:rPr>
            </w:pPr>
          </w:p>
        </w:tc>
        <w:tc>
          <w:tcPr>
            <w:tcW w:w="1000" w:type="dxa"/>
            <w:vAlign w:val="bottom"/>
            <w:tcBorders>
              <w:top w:val="single" w:sz="8" w:color="EEEEEE"/>
            </w:tcBorders>
          </w:tcPr>
          <w:p>
            <w:pPr>
              <w:spacing w:after="0"/>
              <w:rPr>
                <w:sz w:val="7"/>
                <w:szCs w:val="7"/>
                <w:color w:val="auto"/>
              </w:rPr>
            </w:pPr>
          </w:p>
        </w:tc>
        <w:tc>
          <w:tcPr>
            <w:tcW w:w="80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280" w:type="dxa"/>
            <w:vAlign w:val="bottom"/>
            <w:gridSpan w:val="2"/>
            <w:vMerge w:val="restart"/>
          </w:tcPr>
          <w:p>
            <w:pPr>
              <w:ind w:left="100"/>
              <w:spacing w:after="0"/>
              <w:rPr>
                <w:sz w:val="20"/>
                <w:szCs w:val="20"/>
                <w:color w:val="auto"/>
              </w:rPr>
            </w:pPr>
            <w:r>
              <w:rPr>
                <w:rFonts w:ascii="Arial" w:cs="Arial" w:eastAsia="Arial" w:hAnsi="Arial"/>
                <w:sz w:val="12"/>
                <w:szCs w:val="12"/>
                <w:color w:val="auto"/>
              </w:rPr>
              <w:t>(First)</w:t>
            </w:r>
          </w:p>
        </w:tc>
        <w:tc>
          <w:tcPr>
            <w:tcW w:w="800" w:type="dxa"/>
            <w:vAlign w:val="bottom"/>
            <w:vMerge w:val="restart"/>
          </w:tcPr>
          <w:p>
            <w:pPr>
              <w:ind w:left="4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2"/>
                <w:szCs w:val="12"/>
                <w:color w:val="auto"/>
              </w:rPr>
              <w:t>below)</w:t>
            </w:r>
          </w:p>
        </w:tc>
        <w:tc>
          <w:tcPr>
            <w:tcW w:w="82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660" w:type="dxa"/>
            <w:vAlign w:val="bottom"/>
            <w:gridSpan w:val="4"/>
          </w:tcPr>
          <w:p>
            <w:pPr>
              <w:ind w:left="580"/>
              <w:spacing w:after="0" w:line="127" w:lineRule="exact"/>
              <w:rPr>
                <w:sz w:val="20"/>
                <w:szCs w:val="20"/>
                <w:color w:val="auto"/>
              </w:rPr>
            </w:pPr>
            <w:r>
              <w:rPr>
                <w:rFonts w:ascii="Arial" w:cs="Arial" w:eastAsia="Arial" w:hAnsi="Arial"/>
                <w:sz w:val="14"/>
                <w:szCs w:val="14"/>
                <w:color w:val="0000FF"/>
              </w:rPr>
              <w:t>08/02/2023</w:t>
            </w: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-1348105</wp:posOffset>
            </wp:positionV>
            <wp:extent cx="6997700" cy="5332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7700" cy="533209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7"/>
        </w:trPr>
        <w:tc>
          <w:tcPr>
            <w:tcW w:w="5140" w:type="dxa"/>
            <w:vAlign w:val="bottom"/>
            <w:vMerge w:val="restart"/>
          </w:tcPr>
          <w:p>
            <w:pPr>
              <w:spacing w:after="0"/>
              <w:rPr>
                <w:sz w:val="20"/>
                <w:szCs w:val="20"/>
                <w:color w:val="auto"/>
              </w:rPr>
            </w:pPr>
            <w:r>
              <w:rPr>
                <w:rFonts w:ascii="Arial" w:cs="Arial" w:eastAsia="Arial" w:hAnsi="Arial"/>
                <w:sz w:val="16"/>
                <w:szCs w:val="16"/>
                <w:color w:val="0000FF"/>
              </w:rPr>
              <w:t>767 FIFTH AVENUE</w:t>
            </w:r>
          </w:p>
        </w:tc>
        <w:tc>
          <w:tcPr>
            <w:tcW w:w="4380" w:type="dxa"/>
            <w:vAlign w:val="bottom"/>
          </w:tcPr>
          <w:p>
            <w:pPr>
              <w:ind w:left="3740"/>
              <w:spacing w:after="0"/>
              <w:rPr>
                <w:sz w:val="20"/>
                <w:szCs w:val="20"/>
                <w:color w:val="auto"/>
              </w:rPr>
            </w:pPr>
            <w:r>
              <w:rPr>
                <w:rFonts w:ascii="Arial" w:cs="Arial" w:eastAsia="Arial" w:hAnsi="Arial"/>
                <w:sz w:val="16"/>
                <w:szCs w:val="16"/>
                <w:color w:val="0000FF"/>
                <w:w w:val="89"/>
              </w:rPr>
              <w:t>Chairman</w:t>
            </w:r>
          </w:p>
        </w:tc>
        <w:tc>
          <w:tcPr>
            <w:tcW w:w="0" w:type="dxa"/>
            <w:vAlign w:val="bottom"/>
          </w:tcPr>
          <w:p>
            <w:pPr>
              <w:spacing w:after="0"/>
              <w:rPr>
                <w:sz w:val="1"/>
                <w:szCs w:val="1"/>
                <w:color w:val="auto"/>
              </w:rPr>
            </w:pPr>
          </w:p>
        </w:tc>
      </w:tr>
      <w:tr>
        <w:trPr>
          <w:trHeight w:val="48"/>
        </w:trPr>
        <w:tc>
          <w:tcPr>
            <w:tcW w:w="5140" w:type="dxa"/>
            <w:vAlign w:val="bottom"/>
            <w:vMerge w:val="continue"/>
          </w:tcPr>
          <w:p>
            <w:pPr>
              <w:spacing w:after="0"/>
              <w:rPr>
                <w:sz w:val="4"/>
                <w:szCs w:val="4"/>
                <w:color w:val="auto"/>
              </w:rPr>
            </w:pPr>
          </w:p>
        </w:tc>
        <w:tc>
          <w:tcPr>
            <w:tcW w:w="4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ectPr>
          <w:pgSz w:w="11900" w:h="16838" w:orient="portrait"/>
          <w:cols w:equalWidth="0" w:num="1">
            <w:col w:w="11080"/>
          </w:cols>
          <w:pgMar w:left="460" w:top="220" w:right="359" w:bottom="1440" w:gutter="0" w:footer="0" w:header="0"/>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980" w:type="dxa"/>
            <w:vAlign w:val="bottom"/>
          </w:tcPr>
          <w:p>
            <w:pPr>
              <w:ind w:left="180"/>
              <w:spacing w:after="0"/>
              <w:rPr>
                <w:sz w:val="20"/>
                <w:szCs w:val="20"/>
                <w:color w:val="auto"/>
              </w:rPr>
            </w:pPr>
            <w:r>
              <w:rPr>
                <w:rFonts w:ascii="Arial" w:cs="Arial" w:eastAsia="Arial" w:hAnsi="Arial"/>
                <w:sz w:val="16"/>
                <w:szCs w:val="16"/>
                <w:color w:val="0000FF"/>
              </w:rPr>
              <w:t>NY</w:t>
            </w:r>
          </w:p>
        </w:tc>
        <w:tc>
          <w:tcPr>
            <w:tcW w:w="1620" w:type="dxa"/>
            <w:vAlign w:val="bottom"/>
          </w:tcPr>
          <w:p>
            <w:pPr>
              <w:ind w:left="420"/>
              <w:spacing w:after="0"/>
              <w:rPr>
                <w:sz w:val="20"/>
                <w:szCs w:val="20"/>
                <w:color w:val="auto"/>
              </w:rPr>
            </w:pPr>
            <w:r>
              <w:rPr>
                <w:rFonts w:ascii="Arial" w:cs="Arial" w:eastAsia="Arial" w:hAnsi="Arial"/>
                <w:sz w:val="16"/>
                <w:szCs w:val="16"/>
                <w:color w:val="0000FF"/>
              </w:rPr>
              <w:t>10153</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2"/>
                <w:szCs w:val="12"/>
                <w:color w:val="auto"/>
              </w:rPr>
              <w:t>(City)</w:t>
            </w: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0"/>
          <w:szCs w:val="20"/>
          <w:color w:val="auto"/>
        </w:rPr>
      </w:pPr>
    </w:p>
    <w:p>
      <w:pPr>
        <w:ind w:left="3840"/>
        <w:spacing w:after="0"/>
        <w:rPr>
          <w:sz w:val="20"/>
          <w:szCs w:val="20"/>
          <w:color w:val="auto"/>
        </w:rPr>
      </w:pPr>
      <w:r>
        <w:rPr>
          <w:rFonts w:ascii="Arial" w:cs="Arial" w:eastAsia="Arial" w:hAnsi="Arial"/>
          <w:sz w:val="12"/>
          <w:szCs w:val="12"/>
          <w:color w:val="auto"/>
        </w:rPr>
        <w:t>Line)</w:t>
      </w:r>
    </w:p>
    <w:p>
      <w:pPr>
        <w:spacing w:after="0" w:line="2" w:lineRule="exact"/>
        <w:rPr>
          <w:sz w:val="20"/>
          <w:szCs w:val="20"/>
          <w:color w:val="auto"/>
        </w:rPr>
      </w:pPr>
    </w:p>
    <w:p>
      <w:pPr>
        <w:ind w:left="4040"/>
        <w:spacing w:after="0"/>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93"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Form filed by More than One Reporting Person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spacing w:after="0" w:line="5" w:lineRule="exact"/>
        <w:rPr>
          <w:sz w:val="20"/>
          <w:szCs w:val="20"/>
          <w:color w:val="auto"/>
        </w:rPr>
      </w:pPr>
    </w:p>
    <w:p>
      <w:pPr>
        <w:ind w:left="4160" w:right="320"/>
        <w:spacing w:after="0" w:line="26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ind w:left="78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6"/>
          </w:tcPr>
          <w:p>
            <w:pPr>
              <w:ind w:left="1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0" w:type="dxa"/>
            <w:vAlign w:val="bottom"/>
            <w:gridSpan w:val="2"/>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w w:val="89"/>
              </w:rPr>
              <w:t>Class A Common Stock</w:t>
            </w:r>
          </w:p>
        </w:tc>
        <w:tc>
          <w:tcPr>
            <w:tcW w:w="9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6"/>
                <w:szCs w:val="16"/>
                <w:color w:val="0000FF"/>
              </w:rPr>
              <w:t>08/02/2023</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(1)(2)</w:t>
            </w:r>
          </w:p>
        </w:tc>
        <w:tc>
          <w:tcPr>
            <w:tcW w:w="96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0000FF"/>
              </w:rPr>
              <w:t>1,650,000</w:t>
            </w:r>
          </w:p>
        </w:tc>
        <w:tc>
          <w:tcPr>
            <w:tcW w:w="3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w w:val="93"/>
              </w:rPr>
              <w:t>A</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2,058,926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6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(1)(2)</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color w:val="0000FF"/>
              </w:rPr>
              <w:t>Class A</w:t>
            </w:r>
          </w:p>
        </w:tc>
        <w:tc>
          <w:tcPr>
            <w:tcW w:w="740" w:type="dxa"/>
            <w:vAlign w:val="bottom"/>
            <w:gridSpan w:val="2"/>
            <w:vMerge w:val="restart"/>
          </w:tcPr>
          <w:p>
            <w:pPr>
              <w:ind w:left="20"/>
              <w:spacing w:after="0"/>
              <w:rPr>
                <w:sz w:val="20"/>
                <w:szCs w:val="20"/>
                <w:color w:val="auto"/>
              </w:rPr>
            </w:pPr>
            <w:r>
              <w:rPr>
                <w:rFonts w:ascii="Arial" w:cs="Arial" w:eastAsia="Arial" w:hAnsi="Arial"/>
                <w:sz w:val="16"/>
                <w:szCs w:val="16"/>
                <w:color w:val="0000FF"/>
                <w:w w:val="98"/>
              </w:rPr>
              <w:t>1,650,000</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rPr>
              <w:t>Based Stock</w:t>
            </w:r>
          </w:p>
        </w:tc>
        <w:tc>
          <w:tcPr>
            <w:tcW w:w="800" w:type="dxa"/>
            <w:vAlign w:val="bottom"/>
          </w:tcPr>
          <w:p>
            <w:pPr>
              <w:ind w:left="300"/>
              <w:spacing w:after="0"/>
              <w:rPr>
                <w:sz w:val="20"/>
                <w:szCs w:val="20"/>
                <w:color w:val="auto"/>
              </w:rPr>
            </w:pPr>
            <w:r>
              <w:rPr>
                <w:rFonts w:ascii="Arial" w:cs="Arial" w:eastAsia="Arial" w:hAnsi="Arial"/>
                <w:sz w:val="10"/>
                <w:szCs w:val="10"/>
                <w:color w:val="008000"/>
              </w:rPr>
              <w:t>(3)</w:t>
            </w:r>
          </w:p>
        </w:tc>
        <w:tc>
          <w:tcPr>
            <w:tcW w:w="960" w:type="dxa"/>
            <w:vAlign w:val="bottom"/>
          </w:tcPr>
          <w:p>
            <w:pPr>
              <w:jc w:val="right"/>
              <w:ind w:right="162"/>
              <w:spacing w:after="0"/>
              <w:rPr>
                <w:sz w:val="20"/>
                <w:szCs w:val="20"/>
                <w:color w:val="auto"/>
              </w:rPr>
            </w:pPr>
            <w:r>
              <w:rPr>
                <w:rFonts w:ascii="Arial" w:cs="Arial" w:eastAsia="Arial" w:hAnsi="Arial"/>
                <w:sz w:val="12"/>
                <w:szCs w:val="12"/>
                <w:color w:val="0000FF"/>
              </w:rPr>
              <w:t>08/02/2023</w:t>
            </w:r>
          </w:p>
        </w:tc>
        <w:tc>
          <w:tcPr>
            <w:tcW w:w="10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2"/>
                <w:szCs w:val="12"/>
                <w:color w:val="0000FF"/>
              </w:rPr>
              <w:t>1,650,000</w:t>
            </w:r>
          </w:p>
        </w:tc>
        <w:tc>
          <w:tcPr>
            <w:tcW w:w="760" w:type="dxa"/>
            <w:vAlign w:val="bottom"/>
            <w:gridSpan w:val="2"/>
          </w:tcPr>
          <w:p>
            <w:pPr>
              <w:ind w:left="280"/>
              <w:spacing w:after="0"/>
              <w:rPr>
                <w:sz w:val="20"/>
                <w:szCs w:val="20"/>
                <w:color w:val="auto"/>
              </w:rPr>
            </w:pPr>
            <w:r>
              <w:rPr>
                <w:rFonts w:ascii="Arial" w:cs="Arial" w:eastAsia="Arial" w:hAnsi="Arial"/>
                <w:sz w:val="10"/>
                <w:szCs w:val="10"/>
                <w:color w:val="008000"/>
              </w:rPr>
              <w:t>(3)</w:t>
            </w:r>
          </w:p>
        </w:tc>
        <w:tc>
          <w:tcPr>
            <w:tcW w:w="640" w:type="dxa"/>
            <w:vAlign w:val="bottom"/>
          </w:tcPr>
          <w:p>
            <w:pPr>
              <w:ind w:left="240"/>
              <w:spacing w:after="0"/>
              <w:rPr>
                <w:sz w:val="20"/>
                <w:szCs w:val="20"/>
                <w:color w:val="auto"/>
              </w:rPr>
            </w:pPr>
            <w:r>
              <w:rPr>
                <w:rFonts w:ascii="Arial" w:cs="Arial" w:eastAsia="Arial" w:hAnsi="Arial"/>
                <w:sz w:val="10"/>
                <w:szCs w:val="10"/>
                <w:color w:val="008000"/>
              </w:rPr>
              <w:t>(3)</w:t>
            </w:r>
          </w:p>
        </w:tc>
        <w:tc>
          <w:tcPr>
            <w:tcW w:w="62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80"/>
              <w:spacing w:after="0"/>
              <w:rPr>
                <w:sz w:val="20"/>
                <w:szCs w:val="20"/>
                <w:color w:val="auto"/>
              </w:rPr>
            </w:pPr>
            <w:r>
              <w:rPr>
                <w:rFonts w:ascii="Arial" w:cs="Arial" w:eastAsia="Arial" w:hAnsi="Arial"/>
                <w:sz w:val="12"/>
                <w:szCs w:val="12"/>
                <w:color w:val="0000FF"/>
              </w:rPr>
              <w:t>1,650,000</w:t>
            </w:r>
          </w:p>
        </w:tc>
        <w:tc>
          <w:tcPr>
            <w:tcW w:w="640" w:type="dxa"/>
            <w:vAlign w:val="bottom"/>
          </w:tcPr>
          <w:p>
            <w:pPr>
              <w:ind w:left="320"/>
              <w:spacing w:after="0"/>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color w:val="0000FF"/>
              </w:rPr>
              <w:t>Units</w:t>
            </w: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color w:val="0000FF"/>
              </w:rPr>
              <w:t>Stock</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-1630045</wp:posOffset>
            </wp:positionV>
            <wp:extent cx="28575" cy="1635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8575" cy="163576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140" w:hanging="3"/>
        <w:spacing w:after="0" w:line="250"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August 2, 2023, in connection with the reporting person's transition from CEO to Chairman, the Compensation Committee of the Board of Directors of the Issuer approved a modification of the award of 3,300,000 performance-based stock units ("PSUs") previously granted to the reporting person on August 31, 2021. The modification is intended to further align the Chairman to long-term shareholder value creation and place less emphasis on prospective annual compensation. As modified, 1,650,000 of these PSUs will vest solely based on the achievement of service-based vesting conditions that are satisfied in three equal installments on the third, fourth and fifth anniversaries of the grant date. The remaining 1,650,000 PSUs are subject to the original vesting conditions as explained in footnote 3 below.</w:t>
      </w:r>
    </w:p>
    <w:p>
      <w:pPr>
        <w:spacing w:after="0" w:line="24" w:lineRule="exact"/>
        <w:rPr>
          <w:rFonts w:ascii="Arial" w:cs="Arial" w:eastAsia="Arial" w:hAnsi="Arial"/>
          <w:sz w:val="12"/>
          <w:szCs w:val="12"/>
          <w:color w:val="008000"/>
        </w:rPr>
      </w:pPr>
    </w:p>
    <w:p>
      <w:pPr>
        <w:ind w:left="40" w:right="20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For Section 16 purposes, the modification explained in footnote 1 above may be deemed to be a disposition of 1,650,000 PSUs and an acquisition of 1,650,000 time-based restricted stock units subject to the service-based vesting conditions described above.</w:t>
      </w:r>
    </w:p>
    <w:p>
      <w:pPr>
        <w:spacing w:after="0" w:line="12" w:lineRule="exact"/>
        <w:rPr>
          <w:rFonts w:ascii="Arial" w:cs="Arial" w:eastAsia="Arial" w:hAnsi="Arial"/>
          <w:sz w:val="12"/>
          <w:szCs w:val="12"/>
          <w:color w:val="008000"/>
        </w:rPr>
      </w:pPr>
    </w:p>
    <w:p>
      <w:pPr>
        <w:ind w:left="40" w:right="300" w:hanging="3"/>
        <w:spacing w:after="0" w:line="250"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PSU represents a contingent right to receive one share of Class A common stock. PSUs vest based on the achievement of (i) service-based vesting conditions that are satisfied in two equal installments on the third and fifth anniversaries of the grant date, subject to a 50% holdback after the first vesting date, and (ii) performance-based vesting conditions that are satisfied upon the achievement, as measured on the last calendar day of each month, of closing stock prices equal to $15, $20, $25 and $30 (subject to linear interpolation) for 20 out of any 30 consecutive trading days, in each case prior to the fifth anniversary of the grant date.</w:t>
      </w:r>
    </w:p>
    <w:p>
      <w:pPr>
        <w:sectPr>
          <w:pgSz w:w="11900" w:h="16838" w:orient="portrait"/>
          <w:cols w:equalWidth="0" w:num="1">
            <w:col w:w="11080"/>
          </w:cols>
          <w:pgMar w:left="460" w:top="220"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Mark Polemeni,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6350</wp:posOffset>
            </wp:positionV>
            <wp:extent cx="1320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-12065</wp:posOffset>
            </wp:positionV>
            <wp:extent cx="2921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2100" cy="7620"/>
                    </a:xfrm>
                    <a:prstGeom prst="rect">
                      <a:avLst/>
                    </a:prstGeom>
                    <a:noFill/>
                  </pic:spPr>
                </pic:pic>
              </a:graphicData>
            </a:graphic>
          </wp:anchor>
        </w:drawing>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142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0000FF"/>
        </w:rPr>
        <w:t>08/04/2023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699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93" w:lineRule="exact"/>
        <w:rPr>
          <w:sz w:val="20"/>
          <w:szCs w:val="20"/>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416779" TargetMode="External"/><Relationship Id="rId9"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2023-08-04T08:12:58Z</dcterms:created>
  <dcterms:modified xsi:type="dcterms:W3CDTF">2023-08-04T08:12:58Z</dcterms:modified>
</cp:coreProperties>
</file>