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74295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23, 2022</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92075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444"/>
              <w:spacing w:after="0"/>
              <w:rPr>
                <w:sz w:val="20"/>
                <w:szCs w:val="20"/>
                <w:color w:val="auto"/>
              </w:rPr>
            </w:pPr>
            <w:r>
              <w:rPr>
                <w:rFonts w:ascii="Arial" w:cs="Arial" w:eastAsia="Arial" w:hAnsi="Arial"/>
                <w:sz w:val="18"/>
                <w:szCs w:val="18"/>
                <w:b w:val="1"/>
                <w:bCs w:val="1"/>
                <w:color w:val="auto"/>
              </w:rPr>
              <w:t>84-1770732</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342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45"/>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767 Fifth Avenue</w:t>
            </w:r>
          </w:p>
        </w:tc>
        <w:tc>
          <w:tcPr>
            <w:tcW w:w="3420" w:type="dxa"/>
            <w:vAlign w:val="bottom"/>
          </w:tcPr>
          <w:p>
            <w:pPr>
              <w:spacing w:after="0"/>
              <w:rPr>
                <w:sz w:val="21"/>
                <w:szCs w:val="21"/>
                <w:color w:val="auto"/>
              </w:rPr>
            </w:pPr>
          </w:p>
        </w:tc>
      </w:tr>
      <w:tr>
        <w:trPr>
          <w:trHeight w:val="238"/>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New York, NY</w:t>
            </w:r>
          </w:p>
        </w:tc>
        <w:tc>
          <w:tcPr>
            <w:tcW w:w="3420" w:type="dxa"/>
            <w:vAlign w:val="bottom"/>
          </w:tcPr>
          <w:p>
            <w:pPr>
              <w:jc w:val="right"/>
              <w:ind w:right="664"/>
              <w:spacing w:after="0"/>
              <w:rPr>
                <w:sz w:val="20"/>
                <w:szCs w:val="20"/>
                <w:color w:val="auto"/>
              </w:rPr>
            </w:pPr>
            <w:r>
              <w:rPr>
                <w:rFonts w:ascii="Arial" w:cs="Arial" w:eastAsia="Arial" w:hAnsi="Arial"/>
                <w:sz w:val="18"/>
                <w:szCs w:val="18"/>
                <w:b w:val="1"/>
                <w:bCs w:val="1"/>
                <w:color w:val="auto"/>
              </w:rPr>
              <w:t>10153</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20" w:type="dxa"/>
            <w:vAlign w:val="bottom"/>
          </w:tcPr>
          <w:p>
            <w:pPr>
              <w:jc w:val="center"/>
              <w:ind w:left="1444"/>
              <w:spacing w:after="0"/>
              <w:rPr>
                <w:sz w:val="20"/>
                <w:szCs w:val="20"/>
                <w:color w:val="auto"/>
              </w:rPr>
            </w:pPr>
            <w:r>
              <w:rPr>
                <w:rFonts w:ascii="Arial" w:cs="Arial" w:eastAsia="Arial" w:hAnsi="Arial"/>
                <w:sz w:val="13"/>
                <w:szCs w:val="13"/>
                <w:b w:val="1"/>
                <w:bCs w:val="1"/>
                <w:color w:val="auto"/>
                <w:w w:val="90"/>
              </w:rPr>
              <w:t>(Zip Code)</w:t>
            </w:r>
          </w:p>
        </w:tc>
      </w:tr>
    </w:tbl>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4020" w:type="dxa"/>
            <w:vAlign w:val="bottom"/>
            <w:gridSpan w:val="4"/>
          </w:tcPr>
          <w:p>
            <w:pPr>
              <w:ind w:left="140"/>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600" w:type="dxa"/>
            <w:vAlign w:val="bottom"/>
          </w:tcPr>
          <w:p>
            <w:pPr>
              <w:spacing w:after="0"/>
              <w:rPr>
                <w:sz w:val="17"/>
                <w:szCs w:val="17"/>
                <w:color w:val="auto"/>
              </w:rPr>
            </w:pPr>
          </w:p>
        </w:tc>
      </w:tr>
      <w:tr>
        <w:trPr>
          <w:trHeight w:val="46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w w:val="94"/>
              </w:rPr>
              <w:t>Class A Common Stock, par value $0.0001 per share</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16" w:lineRule="exact"/>
        <w:rPr>
          <w:sz w:val="24"/>
          <w:szCs w:val="24"/>
          <w:color w:val="auto"/>
        </w:rPr>
      </w:pPr>
    </w:p>
    <w:p>
      <w:pPr>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80"/>
        <w:spacing w:after="0" w:line="207" w:lineRule="exact"/>
        <w:tabs>
          <w:tab w:leader="none" w:pos="3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9"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On September 23, 2022, Peter A. Weinberg, Chairman of the Board of Directors (the “Board”) of Perella Weinberg Partners (“PWP” or the “Company”) and Chief Executive Officer of the Company, informed the Board of his intention to step down from his role as Chief Executive Officer of the Company, effective January 1, 2023. Mr. Weinberg will continue to serve as Chairman of the Board, and will serve as a full-time officer and employee of the Company in this role.</w:t>
      </w:r>
    </w:p>
    <w:p>
      <w:pPr>
        <w:spacing w:after="0" w:line="215"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Andrew Bednar, Co-President of the Company, has been appointed Chief Executive Officer of the Company, effective January 1, 2023. Mr. Bednar will report directly to the Board in his new role.</w:t>
      </w:r>
    </w:p>
    <w:p>
      <w:pPr>
        <w:spacing w:after="0" w:line="184"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6"/>
          <w:szCs w:val="16"/>
          <w:color w:val="auto"/>
        </w:rPr>
        <w:t>Mr. Bednar, 54, a founding partner of PWP, has served as Co-President with Dietrich Becker since March 2020, and as a member of the Company’s board of directors since June 2021. Mr. Bednar is a seasoned banker, with over 25 years of investment banking experience. Prior to joining PWP in 2006, Mr. Bednar was Head of U.S. Mergers &amp; Acquisition at Bank of America.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 Mr. Bednar has extensive investment banking and investment advisory experience.</w:t>
      </w:r>
    </w:p>
    <w:p>
      <w:pPr>
        <w:spacing w:after="0" w:line="186"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The appointment of Mr. Bednar was not pursuant to any arrangement or understanding between him and any person, other than a director or executive officer of the Company acting in his or her official capacity. Executive officers are elected by, and serve at the discretion of, the Board. Further, with regard to Mr. Bednar, there are no transactions since the beginning of the Company’s last fiscal year, or any currently proposed transaction, in which the Company is a participant that would require disclosure under Item 404(a) of Regulation S-K promulgated by the Securities and Exchange Commission.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announcing these changes is attached hereto as Exhibit 99.1 and is incorporated by reference herein.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0"/>
                <w:szCs w:val="20"/>
                <w:color w:val="auto"/>
              </w:rPr>
            </w:pPr>
          </w:p>
        </w:tc>
        <w:tc>
          <w:tcPr>
            <w:tcW w:w="902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940" w:type="dxa"/>
            <w:vAlign w:val="bottom"/>
            <w:gridSpan w:val="2"/>
          </w:tcPr>
          <w:p>
            <w:pPr>
              <w:spacing w:after="0"/>
              <w:rPr>
                <w:sz w:val="2"/>
                <w:szCs w:val="2"/>
                <w:color w:val="auto"/>
              </w:rPr>
            </w:pPr>
          </w:p>
        </w:tc>
      </w:tr>
      <w:tr>
        <w:trPr>
          <w:trHeight w:val="183"/>
        </w:trPr>
        <w:tc>
          <w:tcPr>
            <w:tcW w:w="580" w:type="dxa"/>
            <w:vAlign w:val="bottom"/>
          </w:tcPr>
          <w:p>
            <w:pPr>
              <w:spacing w:after="0"/>
              <w:rPr>
                <w:sz w:val="15"/>
                <w:szCs w:val="15"/>
                <w:color w:val="auto"/>
              </w:rPr>
            </w:pPr>
          </w:p>
        </w:tc>
        <w:tc>
          <w:tcPr>
            <w:tcW w:w="10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99.1</w:t>
            </w:r>
          </w:p>
        </w:tc>
        <w:tc>
          <w:tcPr>
            <w:tcW w:w="560" w:type="dxa"/>
            <w:vAlign w:val="bottom"/>
          </w:tcPr>
          <w:p>
            <w:pPr>
              <w:spacing w:after="0"/>
              <w:rPr>
                <w:sz w:val="15"/>
                <w:szCs w:val="15"/>
                <w:color w:val="auto"/>
              </w:rPr>
            </w:pPr>
          </w:p>
        </w:tc>
        <w:tc>
          <w:tcPr>
            <w:tcW w:w="82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0000FF"/>
              </w:rPr>
              <w:t>Press Release of Perella Weinberg Partners, dated September 26, 2022.</w:t>
            </w:r>
          </w:p>
        </w:tc>
        <w:tc>
          <w:tcPr>
            <w:tcW w:w="820" w:type="dxa"/>
            <w:vAlign w:val="bottom"/>
          </w:tcPr>
          <w:p>
            <w:pPr>
              <w:spacing w:after="0"/>
              <w:rPr>
                <w:sz w:val="15"/>
                <w:szCs w:val="15"/>
                <w:color w:val="auto"/>
              </w:rPr>
            </w:pPr>
          </w:p>
        </w:tc>
      </w:tr>
      <w:tr>
        <w:trPr>
          <w:trHeight w:val="20"/>
        </w:trPr>
        <w:tc>
          <w:tcPr>
            <w:tcW w:w="1660" w:type="dxa"/>
            <w:vAlign w:val="bottom"/>
            <w:gridSpan w:val="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r>
      <w:tr>
        <w:trPr>
          <w:trHeight w:val="277"/>
        </w:trPr>
        <w:tc>
          <w:tcPr>
            <w:tcW w:w="1660" w:type="dxa"/>
            <w:vAlign w:val="bottom"/>
            <w:gridSpan w:val="2"/>
          </w:tcPr>
          <w:p>
            <w:pPr>
              <w:ind w:left="60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02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005"/>
        </w:trPr>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340" w:type="dxa"/>
            <w:vAlign w:val="bottom"/>
            <w:gridSpan w:val="2"/>
          </w:tcPr>
          <w:p>
            <w:pPr>
              <w:ind w:left="2000"/>
              <w:spacing w:after="0"/>
              <w:rPr>
                <w:sz w:val="20"/>
                <w:szCs w:val="20"/>
                <w:color w:val="auto"/>
              </w:rPr>
            </w:pPr>
            <w:r>
              <w:rPr>
                <w:rFonts w:ascii="Arial" w:cs="Arial" w:eastAsia="Arial" w:hAnsi="Arial"/>
                <w:sz w:val="18"/>
                <w:szCs w:val="18"/>
                <w:color w:val="auto"/>
              </w:rPr>
              <w:t>PERELLA WEINBERG PARTNERS</w:t>
            </w:r>
          </w:p>
        </w:tc>
      </w:tr>
      <w:tr>
        <w:trPr>
          <w:trHeight w:val="486"/>
        </w:trPr>
        <w:tc>
          <w:tcPr>
            <w:tcW w:w="3880" w:type="dxa"/>
            <w:vAlign w:val="bottom"/>
          </w:tcPr>
          <w:p>
            <w:pPr>
              <w:spacing w:after="0"/>
              <w:rPr>
                <w:sz w:val="20"/>
                <w:szCs w:val="20"/>
                <w:color w:val="auto"/>
              </w:rPr>
            </w:pPr>
            <w:r>
              <w:rPr>
                <w:rFonts w:ascii="Arial" w:cs="Arial" w:eastAsia="Arial" w:hAnsi="Arial"/>
                <w:sz w:val="18"/>
                <w:szCs w:val="18"/>
                <w:color w:val="auto"/>
              </w:rPr>
              <w:t>Date: September 26, 2022</w:t>
            </w:r>
          </w:p>
        </w:tc>
        <w:tc>
          <w:tcPr>
            <w:tcW w:w="2800" w:type="dxa"/>
            <w:vAlign w:val="bottom"/>
          </w:tcPr>
          <w:p>
            <w:pPr>
              <w:ind w:left="200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Gary Barancik</w:t>
            </w:r>
          </w:p>
        </w:tc>
      </w:tr>
      <w:tr>
        <w:trPr>
          <w:trHeight w:val="222"/>
        </w:trPr>
        <w:tc>
          <w:tcPr>
            <w:tcW w:w="3880" w:type="dxa"/>
            <w:vAlign w:val="bottom"/>
          </w:tcPr>
          <w:p>
            <w:pPr>
              <w:spacing w:after="0"/>
              <w:rPr>
                <w:sz w:val="19"/>
                <w:szCs w:val="19"/>
                <w:color w:val="auto"/>
              </w:rPr>
            </w:pPr>
          </w:p>
        </w:tc>
        <w:tc>
          <w:tcPr>
            <w:tcW w:w="2800" w:type="dxa"/>
            <w:vAlign w:val="bottom"/>
          </w:tcPr>
          <w:p>
            <w:pPr>
              <w:ind w:left="2000"/>
              <w:spacing w:after="0"/>
              <w:rPr>
                <w:sz w:val="20"/>
                <w:szCs w:val="20"/>
                <w:color w:val="auto"/>
              </w:rPr>
            </w:pPr>
            <w:r>
              <w:rPr>
                <w:rFonts w:ascii="Arial" w:cs="Arial" w:eastAsia="Arial" w:hAnsi="Arial"/>
                <w:sz w:val="18"/>
                <w:szCs w:val="18"/>
                <w:color w:val="auto"/>
              </w:rPr>
              <w:t>Name:</w:t>
            </w:r>
          </w:p>
        </w:tc>
        <w:tc>
          <w:tcPr>
            <w:tcW w:w="4540" w:type="dxa"/>
            <w:vAlign w:val="bottom"/>
          </w:tcPr>
          <w:p>
            <w:pPr>
              <w:ind w:left="80"/>
              <w:spacing w:after="0"/>
              <w:rPr>
                <w:sz w:val="20"/>
                <w:szCs w:val="20"/>
                <w:color w:val="auto"/>
              </w:rPr>
            </w:pPr>
            <w:r>
              <w:rPr>
                <w:rFonts w:ascii="Arial" w:cs="Arial" w:eastAsia="Arial" w:hAnsi="Arial"/>
                <w:sz w:val="18"/>
                <w:szCs w:val="18"/>
                <w:color w:val="auto"/>
              </w:rPr>
              <w:t>Gary Barancik</w:t>
            </w:r>
          </w:p>
        </w:tc>
      </w:tr>
      <w:tr>
        <w:trPr>
          <w:trHeight w:val="230"/>
        </w:trPr>
        <w:tc>
          <w:tcPr>
            <w:tcW w:w="3880" w:type="dxa"/>
            <w:vAlign w:val="bottom"/>
          </w:tcPr>
          <w:p>
            <w:pPr>
              <w:spacing w:after="0"/>
              <w:rPr>
                <w:sz w:val="20"/>
                <w:szCs w:val="20"/>
                <w:color w:val="auto"/>
              </w:rPr>
            </w:pPr>
          </w:p>
        </w:tc>
        <w:tc>
          <w:tcPr>
            <w:tcW w:w="2800" w:type="dxa"/>
            <w:vAlign w:val="bottom"/>
          </w:tcPr>
          <w:p>
            <w:pPr>
              <w:ind w:left="2000"/>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ind w:left="10360"/>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22555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25550" cy="48006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Bednar Appointed CEO of Perella Weinberg Partners;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Peter Weinberg Will Continue as Chairman of the Board of Directors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 York, NY, September 26, 2022 - Perella Weinberg Partners (the “Company”, the “Firm” or “PWP”) (NASDAQ: PWP), a leading global independent advisory firm, today announced that Peter Weinberg has informed the Board of Directors of his intention to step down from his role as CEO, effective January 1, 2023. Andrew Bednar, Co-President, has been unanimously approved by the Board as the CEO of the Firm, effective January 1, 2023.</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Weinberg will continue to serve as the Chairman of the Board of Directors and Chairman of the working partner committee that controls the Company’s high-vote stock. He is also excited to return his focus primarily to working with clients and prospects of the Firm around the world.</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Dietrich Becker, a founding partner based in London who has served as Co-President with Mr. Bednar, will become President and continue as a member of the Board of Directors.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Since Perella Weinberg Partners’ founding sixteen years ago, the Firm has grown to approximately 650 employees, reported revenues of approximately $ 800 million in 2021 and operates out of 10 offices around the world. In 2021, the Firm successfully transitioned from a private partnership to a public company.</w:t>
      </w:r>
    </w:p>
    <w:p>
      <w:pPr>
        <w:spacing w:after="0" w:line="23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“Andrew is a founding partner of the Firm, with an impressive track record advising some of our largest and most well known clients on transactions globally,” Mr. Weinberg said. “Andrew’s successful career as a banker, coupled with the leadership he has shown over the last two and a half years as Co-President, position him well to lead our firm through its next phase of growth and development.”</w:t>
      </w:r>
    </w:p>
    <w:p>
      <w:pPr>
        <w:spacing w:after="0" w:line="230"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Mr. Bednar joined the Firm at its inception in 2006, has served as Co-President with Dietrich Becker since March 2020 and as a member of the Board of Directors since June 2021. He will continue as a member of the Board of Directors after his transition to CEO. Mr. Bednar is a seasoned advisor, with over 25 years of investment banking experience. Prior to joining PWP, he served as head of U.S. Mergers &amp; Acquisitions at Bank of America, a Managing Director at Goldman Sachs &amp; Co., and a corporate attorney at Cravath, Swaine &amp; Moore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“I’m honored, humbled and excited to work with such an exceptional group of partners and colleagues at PWP and lead the Firm going</w:t>
      </w:r>
    </w:p>
    <w:p>
      <w:pPr>
        <w:ind w:right="540"/>
        <w:spacing w:after="0" w:line="235" w:lineRule="auto"/>
        <w:rPr>
          <w:sz w:val="20"/>
          <w:szCs w:val="20"/>
          <w:color w:val="auto"/>
        </w:rPr>
      </w:pPr>
      <w:r>
        <w:rPr>
          <w:rFonts w:ascii="Arial" w:cs="Arial" w:eastAsia="Arial" w:hAnsi="Arial"/>
          <w:sz w:val="18"/>
          <w:szCs w:val="18"/>
          <w:color w:val="auto"/>
        </w:rPr>
        <w:t>forward,” Mr. Bednar said. “We have an enormous opportunity to grow the Firm by continuing our mission and doing what we do best – advising clients on complex strategic and financial challenges - while adhering to our core values: trust, integrity and teamwork.”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650 employees, PWP currently maintains offices in New York, Houston, London, Calgary, Chicago, Denver, Los Angeles, Paris, Munich, and San Francisco.</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“safe harbor” provisions of the United States Private Securities Litigation Reform Act of 1995.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w:t>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both"/>
        <w:spacing w:after="0" w:line="241"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2555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25550" cy="480060"/>
                    </a:xfrm>
                    <a:prstGeom prst="rect">
                      <a:avLst/>
                    </a:prstGeom>
                    <a:noFill/>
                  </pic:spPr>
                </pic:pic>
              </a:graphicData>
            </a:graphic>
          </wp:anchor>
        </w:drawing>
        <w:t>versions of such words or expressions).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Amendment No. 1 to the Company’s Annual Report on Form 10-K/A for the year ended December 31, 2021, filed with the SEC on July 7, 2022. These filings and subsequent filings are available online at www.sec.gov or on request from the Company.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rPr>
          <w:sz w:val="20"/>
          <w:szCs w:val="20"/>
          <w:color w:val="auto"/>
        </w:rPr>
      </w:pPr>
      <w:r>
        <w:rPr>
          <w:rFonts w:ascii="Arial" w:cs="Arial" w:eastAsia="Arial" w:hAnsi="Arial"/>
          <w:sz w:val="18"/>
          <w:szCs w:val="18"/>
          <w:color w:val="auto"/>
        </w:rPr>
        <w:t>For Perella Weinberg Partners Media: media@pwpartners.com</w:t>
      </w:r>
    </w:p>
    <w:sectPr>
      <w:pgSz w:w="11900" w:h="16838" w:orient="portrait"/>
      <w:cols w:equalWidth="0" w:num="1">
        <w:col w:w="11240"/>
      </w:cols>
      <w:pgMar w:left="320" w:top="14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2022-09-26T15:58:29Z</dcterms:created>
  <dcterms:modified xsi:type="dcterms:W3CDTF">2022-09-26T15:58:29Z</dcterms:modified>
</cp:coreProperties>
</file>