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333-266051</w:t>
      </w:r>
    </w:p>
    <w:p>
      <w:pPr>
        <w:spacing w:after="0" w:line="161"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F1665F"/>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such offer or sale is not permitted.</w:t>
      </w:r>
    </w:p>
    <w:p>
      <w:pPr>
        <w:spacing w:after="0" w:line="1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F1665F"/>
        </w:rPr>
        <w:t>SUBJECT TO COMPLETION, DATED FEBRUARY 27, 2024</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(To Prospectus dated July 19, 2022)</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4,500,000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26670</wp:posOffset>
            </wp:positionV>
            <wp:extent cx="123444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w:t>
      </w:r>
      <w:r>
        <w:rPr>
          <w:rFonts w:ascii="Times New Roman" w:cs="Times New Roman" w:eastAsia="Times New Roman" w:hAnsi="Times New Roman"/>
          <w:sz w:val="32"/>
          <w:szCs w:val="32"/>
          <w:b w:val="1"/>
          <w:bCs w:val="1"/>
          <w:u w:val="single" w:color="auto"/>
          <w:color w:val="auto"/>
        </w:rPr>
        <w:t>ass A Common Sto</w:t>
      </w:r>
      <w:r>
        <w:rPr>
          <w:rFonts w:ascii="Times New Roman" w:cs="Times New Roman" w:eastAsia="Times New Roman" w:hAnsi="Times New Roman"/>
          <w:sz w:val="32"/>
          <w:szCs w:val="32"/>
          <w:b w:val="1"/>
          <w:bCs w:val="1"/>
          <w:color w:val="auto"/>
        </w:rPr>
        <w:t>ck</w:t>
      </w:r>
    </w:p>
    <w:p>
      <w:pPr>
        <w:spacing w:after="0" w:line="340"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offering 4,500,000 shares of our Class A common stock, par value $0.0001 per share (our “Class A common stock”). We will receive all of the proceeds from this offering.</w:t>
      </w:r>
    </w:p>
    <w:p>
      <w:pPr>
        <w:spacing w:after="0" w:line="12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intend to contribute the net proceeds from our issuance and sale of 4,500,000 shares (or 5,175,000 shares if the underwriter exercises in full its option to purchase additional shares) of Class A common stock in this offering to PWP Holdings LP (“PWP OpCo”) in exchange for 4,500,000 PWP OpCo Class A partnership units (or 5,175,000 PWP OpCo Class A partnership units if the underwriter exercises in full its option to purchase additional shares). PWP OpCo intends to use the net proceeds received from us, together, to the extent necessary, with any cash on hand, for (i) the Cash Conversion (as defined herein), subject to the required board of directors, audit committee and other approvals, (ii) the purchase from certain holders of (A) outstanding PWP OpCo Class A partnership units and (B) outstanding shares of Class B common stock, par value $0.0001 (“Class B common stock”), in connection with the Q2 2024 Quarterly Exchange (as defined herein), and (iii) general corporate purposes (provided that (i) and (ii) are subject to completion of the Partnership Merger (as defined herein)). See “Use of Proceeds.”</w:t>
      </w:r>
    </w:p>
    <w:p>
      <w:pPr>
        <w:spacing w:after="0" w:line="141"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Our Class A common stock is listed on the Nasdaq Global Select Market (the “Nasdaq”) under the symbol “PWP.” On February 26, 2024, the last reported closing sale price of our Class A common stock on the Nasdaq was $13.01 per share.</w:t>
      </w:r>
    </w:p>
    <w:p>
      <w:pPr>
        <w:spacing w:after="0" w:line="111"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as defined under the federal securities laws and, as such, may elect to comply with certain reduced public company reporting requirements.</w:t>
      </w:r>
    </w:p>
    <w:p>
      <w:pPr>
        <w:spacing w:after="0" w:line="95" w:lineRule="exact"/>
        <w:rPr>
          <w:sz w:val="24"/>
          <w:szCs w:val="24"/>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Investing in our Class A common stock involves risks. See “Risk Factors” beginning on page </w:t>
      </w:r>
      <w:r>
        <w:rPr>
          <w:rFonts w:ascii="Times New Roman" w:cs="Times New Roman" w:eastAsia="Times New Roman" w:hAnsi="Times New Roman"/>
          <w:sz w:val="16"/>
          <w:szCs w:val="16"/>
          <w:b w:val="1"/>
          <w:bCs w:val="1"/>
          <w:u w:val="single" w:color="auto"/>
          <w:color w:val="0000FF"/>
        </w:rPr>
        <w:t>S-15</w:t>
      </w:r>
      <w:r>
        <w:rPr>
          <w:rFonts w:ascii="Times New Roman" w:cs="Times New Roman" w:eastAsia="Times New Roman" w:hAnsi="Times New Roman"/>
          <w:sz w:val="16"/>
          <w:szCs w:val="16"/>
          <w:b w:val="1"/>
          <w:bCs w:val="1"/>
          <w:color w:val="auto"/>
        </w:rPr>
        <w:t xml:space="preserve"> of this prospectus supplement and in the documents incorporated by reference herein. You should carefully consider these risks before you make your investment decision.</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Public offering price</w:t>
            </w: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40" w:type="dxa"/>
            <w:vAlign w:val="bottom"/>
            <w:vMerge w:val="continue"/>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1"/>
        </w:trPr>
        <w:tc>
          <w:tcPr>
            <w:tcW w:w="8440" w:type="dxa"/>
            <w:vAlign w:val="bottom"/>
          </w:tcPr>
          <w:p>
            <w:pPr>
              <w:ind w:left="20"/>
              <w:spacing w:after="0" w:line="221"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1"/>
                <w:szCs w:val="21"/>
                <w:color w:val="auto"/>
                <w:vertAlign w:val="superscript"/>
              </w:rPr>
              <w:t>(1)</w:t>
            </w: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to us before expenses</w:t>
            </w: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6"/>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reimburse the underwriter for certain FINRA-related expenses. See “Underwriting” for additional information regarding underwriting compensation.</w:t>
      </w:r>
    </w:p>
    <w:p>
      <w:pPr>
        <w:spacing w:after="0" w:line="169"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granted the underwriter an option to purchase up to an additional 675,000 shares of our Class A common stock at the public offering price, less the underwriting discounts and commissions, for a period of 30 days following the date of this prospectus supplement.</w:t>
      </w:r>
    </w:p>
    <w:p>
      <w:pPr>
        <w:spacing w:after="0" w:line="95" w:lineRule="exact"/>
        <w:rPr>
          <w:sz w:val="24"/>
          <w:szCs w:val="24"/>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The underwriter expects to deliver the shares of our Class A common stock to purchasers on or about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2024.</w:t>
            </w:r>
          </w:p>
        </w:tc>
      </w:tr>
    </w:tbl>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 Running Manager</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Citizens JMP</w:t>
      </w:r>
    </w:p>
    <w:p>
      <w:pPr>
        <w:sectPr>
          <w:pgSz w:w="11900" w:h="16838" w:orient="portrait"/>
          <w:cols w:equalWidth="0" w:num="1">
            <w:col w:w="11240"/>
          </w:cols>
          <w:pgMar w:left="320" w:top="1042" w:right="339" w:bottom="1440" w:gutter="0" w:footer="0" w:header="0"/>
        </w:sectPr>
      </w:pPr>
    </w:p>
    <w:p>
      <w:pPr>
        <w:spacing w:after="0" w:line="200" w:lineRule="exact"/>
        <w:rPr>
          <w:sz w:val="24"/>
          <w:szCs w:val="24"/>
          <w:color w:val="auto"/>
        </w:rPr>
      </w:pPr>
    </w:p>
    <w:p>
      <w:pPr>
        <w:spacing w:after="0" w:line="340" w:lineRule="exact"/>
        <w:rPr>
          <w:sz w:val="24"/>
          <w:szCs w:val="24"/>
          <w:color w:val="auto"/>
        </w:rPr>
      </w:pPr>
    </w:p>
    <w:p>
      <w:pPr>
        <w:ind w:left="4080"/>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Prospectus Supplement dated</w:t>
      </w:r>
      <w:r>
        <w:rPr>
          <w:sz w:val="20"/>
          <w:szCs w:val="20"/>
          <w:color w:val="auto"/>
        </w:rPr>
        <w:tab/>
      </w:r>
      <w:r>
        <w:rPr>
          <w:rFonts w:ascii="Times New Roman" w:cs="Times New Roman" w:eastAsia="Times New Roman" w:hAnsi="Times New Roman"/>
          <w:sz w:val="15"/>
          <w:szCs w:val="15"/>
          <w:b w:val="1"/>
          <w:bCs w:val="1"/>
          <w:color w:val="auto"/>
        </w:rPr>
        <w:t>, 2024</w:t>
      </w:r>
    </w:p>
    <w:p>
      <w:pPr>
        <w:sectPr>
          <w:pgSz w:w="11900" w:h="16838" w:orient="portrait"/>
          <w:cols w:equalWidth="0" w:num="1">
            <w:col w:w="11240"/>
          </w:cols>
          <w:pgMar w:left="320" w:top="1042" w:right="339" w:bottom="1440" w:gutter="0" w:footer="0" w:header="0"/>
          <w:type w:val="continuous"/>
        </w:sectPr>
      </w:pPr>
    </w:p>
    <w:bookmarkStart w:id="1" w:name="page2"/>
    <w:bookmarkEnd w:id="1"/>
    <w:p>
      <w:pPr>
        <w:spacing w:after="0" w:line="1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360" w:type="dxa"/>
            <w:vAlign w:val="bottom"/>
            <w:gridSpan w:val="17"/>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w w:val="73"/>
              </w:rPr>
              <w:t>S-ii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S-iii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SUMMARY</w:t>
            </w:r>
          </w:p>
        </w:tc>
        <w:tc>
          <w:tcPr>
            <w:tcW w:w="402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SUMMARY HISTORICAL CONSOLIDATED FINANCIAL AND OTHER DATA</w:t>
            </w:r>
          </w:p>
        </w:tc>
        <w:tc>
          <w:tcPr>
            <w:tcW w:w="436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4740" w:type="dxa"/>
            <w:vAlign w:val="bottom"/>
            <w:gridSpan w:val="10"/>
          </w:tcPr>
          <w:p>
            <w:pPr>
              <w:spacing w:after="0"/>
              <w:rPr>
                <w:sz w:val="18"/>
                <w:szCs w:val="18"/>
                <w:color w:val="auto"/>
              </w:rPr>
            </w:pPr>
          </w:p>
        </w:tc>
        <w:tc>
          <w:tcPr>
            <w:tcW w:w="436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S-19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CAPITALIZATION</w:t>
            </w:r>
          </w:p>
        </w:tc>
        <w:tc>
          <w:tcPr>
            <w:tcW w:w="120" w:type="dxa"/>
            <w:vAlign w:val="bottom"/>
          </w:tcPr>
          <w:p>
            <w:pPr>
              <w:spacing w:after="0"/>
              <w:rPr>
                <w:sz w:val="18"/>
                <w:szCs w:val="18"/>
                <w:color w:val="auto"/>
              </w:rPr>
            </w:pPr>
          </w:p>
        </w:tc>
        <w:tc>
          <w:tcPr>
            <w:tcW w:w="878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S-20</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 FEDERAL INCOME TAX CONSIDERATIONS FOR NON-U.S. HOLDERS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4600" w:type="dxa"/>
            <w:vAlign w:val="bottom"/>
            <w:gridSpan w:val="9"/>
          </w:tcPr>
          <w:p>
            <w:pPr>
              <w:spacing w:after="0"/>
              <w:rPr>
                <w:sz w:val="18"/>
                <w:szCs w:val="18"/>
                <w:color w:val="auto"/>
              </w:rPr>
            </w:pPr>
          </w:p>
        </w:tc>
        <w:tc>
          <w:tcPr>
            <w:tcW w:w="436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18"/>
                <w:szCs w:val="18"/>
                <w:color w:val="auto"/>
              </w:rPr>
            </w:pPr>
          </w:p>
        </w:tc>
        <w:tc>
          <w:tcPr>
            <w:tcW w:w="8900" w:type="dxa"/>
            <w:vAlign w:val="bottom"/>
            <w:gridSpan w:val="1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3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S-28</w:t>
            </w:r>
          </w:p>
        </w:tc>
        <w:tc>
          <w:tcPr>
            <w:tcW w:w="0" w:type="dxa"/>
            <w:vAlign w:val="bottom"/>
          </w:tcPr>
          <w:p>
            <w:pPr>
              <w:spacing w:after="0"/>
              <w:rPr>
                <w:sz w:val="1"/>
                <w:szCs w:val="1"/>
                <w:color w:val="auto"/>
              </w:rPr>
            </w:pPr>
          </w:p>
        </w:tc>
      </w:tr>
      <w:tr>
        <w:trPr>
          <w:trHeight w:val="493"/>
        </w:trPr>
        <w:tc>
          <w:tcPr>
            <w:tcW w:w="7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180" w:type="dxa"/>
            <w:vAlign w:val="bottom"/>
            <w:tcBorders>
              <w:top w:val="single" w:sz="8" w:color="0000FF"/>
            </w:tcBorders>
            <w:gridSpan w:val="4"/>
          </w:tcPr>
          <w:p>
            <w:pPr>
              <w:ind w:left="16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8"/>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1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362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1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62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1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PROSPECTUS SUMMARY</w:t>
            </w:r>
          </w:p>
        </w:tc>
        <w:tc>
          <w:tcPr>
            <w:tcW w:w="4240" w:type="dxa"/>
            <w:vAlign w:val="bottom"/>
            <w:gridSpan w:val="7"/>
          </w:tcPr>
          <w:p>
            <w:pPr>
              <w:spacing w:after="0"/>
              <w:rPr>
                <w:sz w:val="18"/>
                <w:szCs w:val="18"/>
                <w:color w:val="auto"/>
              </w:rPr>
            </w:pPr>
          </w:p>
        </w:tc>
        <w:tc>
          <w:tcPr>
            <w:tcW w:w="4020" w:type="dxa"/>
            <w:vAlign w:val="bottom"/>
            <w:gridSpan w:val="3"/>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1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840" w:type="dxa"/>
            <w:vAlign w:val="bottom"/>
            <w:gridSpan w:val="4"/>
          </w:tcPr>
          <w:p>
            <w:pPr>
              <w:spacing w:after="0"/>
              <w:rPr>
                <w:sz w:val="18"/>
                <w:szCs w:val="18"/>
                <w:color w:val="auto"/>
              </w:rPr>
            </w:pPr>
          </w:p>
        </w:tc>
        <w:tc>
          <w:tcPr>
            <w:tcW w:w="8260" w:type="dxa"/>
            <w:vAlign w:val="bottom"/>
            <w:gridSpan w:val="10"/>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COMPARATIVE PER SHARE INFORMATION</w:t>
            </w:r>
          </w:p>
        </w:tc>
        <w:tc>
          <w:tcPr>
            <w:tcW w:w="378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1040" w:type="dxa"/>
            <w:vAlign w:val="bottom"/>
            <w:tcBorders>
              <w:top w:val="single" w:sz="8" w:color="0000FF"/>
            </w:tcBorders>
            <w:gridSpan w:val="2"/>
          </w:tcPr>
          <w:p>
            <w:pPr>
              <w:spacing w:after="0"/>
              <w:rPr>
                <w:sz w:val="18"/>
                <w:szCs w:val="18"/>
                <w:color w:val="auto"/>
              </w:rPr>
            </w:pPr>
          </w:p>
        </w:tc>
        <w:tc>
          <w:tcPr>
            <w:tcW w:w="6800" w:type="dxa"/>
            <w:vAlign w:val="bottom"/>
            <w:gridSpan w:val="5"/>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SELLING STOCKHOLDER</w:t>
            </w:r>
          </w:p>
        </w:tc>
        <w:tc>
          <w:tcPr>
            <w:tcW w:w="8240" w:type="dxa"/>
            <w:vAlign w:val="bottom"/>
            <w:gridSpan w:val="9"/>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8260" w:type="dxa"/>
            <w:vAlign w:val="bottom"/>
            <w:gridSpan w:val="10"/>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900" w:type="dxa"/>
            <w:vAlign w:val="bottom"/>
            <w:gridSpan w:val="12"/>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and the underwriter has not, authorized anyone to provide any information other than that contained in or incorporated by reference into this prospectus supplement and the accompanying prospectus. We and the underwriter take no responsibility for, and can provide no assurance as to the reliability of, any other information that others may give you. We are not, and the underwriter is not, making an offer of these securities in any jurisdiction where the offer is not permitted. You should assume that the information appearing in this prospectus supplement, the accompanying prospectus, and documents incorporated by reference herein or therein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us and our capital stock, some of which is superseded by the information in this prospectus supplement. If the description of this offering or the securities offered hereby in the accompanying prospectus is different from the description in or incorporated by reference into this prospectus supplement, you should rely on the information contained in or incorporated by reference into this prospectus supplement. Generally, when we refer to “this prospectus,” we are referring to both parts of this document combined. You should read both this prospectus supplement and the accompanying prospectus together with the additional information below under the heading “Where You Can Find More Information; Incorporation By Reference.” To the extent information in this prospectus supplement conflicts with information in the accompanying prospectus or any document that has previously been filed with the Securities and Exchange Commission (“SEC”) and is incorporated by reference into this prospectus supplement, you should rely on the information in this prospectus supplement.</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securities offered by this prospectus supplement.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“we,” “us” and “our” refer to Perella Weinberg Partners, a Delaware corporation, and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United States generally accepted accounting principles (“GAAP”), we present certain non-GAAP financial measures in this prospectus supplement, which we monitor to manage our business, make planning decisions, evaluate our performance and allocate resources.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incorporated by reference in this prospectus supplement.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For additional information and reconciliations to the most directly comparable GAAP financial measures, see “Summary Historical Consolidated Financial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prospectus supplement, the accompanying prospectus and the documents incorporated by reference herein and therein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w:t>
      </w:r>
    </w:p>
    <w:p>
      <w:pPr>
        <w:spacing w:after="0" w:line="17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market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its growth initiatives, business strategies or operating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recruit, develop and retain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its fee-paying clients and fluctuating revenues from its non-exclusive, engagement-by-engagement business model;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our revenue as a result of our reliance on advisory fees that are largely contingent on the completion of events which may be out of our control;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appropriately manage conflicts of interest and tax and other regulatory factors relevant to our business, including actual, potential or perceived conflicts of interest and other factors that may damage our business and reputation;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and uncertainties described under the section entitled “Risk Factors” beginning on page </w:t>
      </w:r>
      <w:r>
        <w:rPr>
          <w:rFonts w:ascii="Times New Roman" w:cs="Times New Roman" w:eastAsia="Times New Roman" w:hAnsi="Times New Roman"/>
          <w:sz w:val="18"/>
          <w:szCs w:val="18"/>
          <w:u w:val="single" w:color="auto"/>
          <w:color w:val="0000FF"/>
        </w:rPr>
        <w:t>S-15</w:t>
      </w:r>
      <w:r>
        <w:rPr>
          <w:rFonts w:ascii="Times New Roman" w:cs="Times New Roman" w:eastAsia="Times New Roman" w:hAnsi="Times New Roman"/>
          <w:sz w:val="18"/>
          <w:szCs w:val="18"/>
          <w:color w:val="auto"/>
        </w:rPr>
        <w:t xml:space="preserve"> herein, as well as the risk factors described in Part I, Item 1A “Risk Factors” in our Annual Report on Form 10-K for the year ended December 31, 2023 filed with the SEC on February 23, 2024, which is incorporated by reference into this prospectus supplement.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the accompanying prospectus and the documents incorporated by reference herein and therein are based on current expectations and beliefs concerning future developments and their potential effects on us and speak only as of the date of the applicable document containing the forward-looking statement. There can be no assurance that future developments affecting us will be those that we have anticipated.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does not contain all of the information that you should consider before making your investment decision. You should carefully read this entire prospectus supplement, the accompanying prospectus and the documents incorporated by reference herein and therein carefully before making an investment decision, especially the risks discussed under “Risk Factors” and our financial statements and the related notes which are incorporated by reference herein, before you decide to invest in the Class A common stock. This summary contains forward-looking statements that involve risks and uncertainties. Our actual results may differ significantly from the results discussed in the forward-looking statements as a result of certain factors, including those set forth in “Risk Factors” and “Cautionary Statement Regarding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 and defense advisory, financing and capital solutions advice with resources focused on restructuring and liability management and capital markets advisory, as well as specialized underwriting and research services primarily for the energy and related industries.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holding company and our only material assets are our partnership interests in PWP OpCo and our equity interest in the general partner of PWP OpCo, PWP GP LLC (“PWP GP”). We operate and control all of the business and affairs of our business, as held by PWP OpCo and its operating entity subsidiaries, indirectly through our equity interest in PWP GP.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Reorganization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PWP Professional Partners LP (together with its successors (including pursuant to the Division (as defined below)) and assigns, as applicable, “Professional Partners”) was an aggregator partnership through which certain partners held interests in PWP OpCo. On December 31, 2023 and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 Partners LP.</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9900"/>
          </w:cols>
          <w:pgMar w:left="1000" w:top="1440" w:right="99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25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illustrates our organizational structure following the Division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of AdCo Professionals with and into PWP OpCo (the “Partnership Merger”) is being considered, but would not occur before April 2024. Any such merger would require approval of our board of directors and audit committee (among other approvals), but is not expected to affect the respective rights or economic interests of the Company, PWP GP, any limited partner of PWP OpCo or any limited partner of Professional Partners with respect to PWP OpCo.</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Partnership Merger, PWP OpCo is expected to adopt a Second Amended and Restated Agreement of Limited Partnership (the “LPA Amendments”) that, among other things, will permit us to settle quarterly exchanges of PWP OpCo Class A partnership units and corresponding shares of Class B common stock in cash or shares at our discretion. Certain holders of PWP OpCo Class A partnership units and corresponding shares of Class B common stock are directors and officers of the Company. As a result and subject to the Partnership Merger and related LPA Amendments, we expect that the Non-controlling interests on our Statements of Financial</w:t>
      </w:r>
    </w:p>
    <w:p>
      <w:pPr>
        <w:sectPr>
          <w:pgSz w:w="11900" w:h="16838" w:orient="portrait"/>
          <w:cols w:equalWidth="0" w:num="1">
            <w:col w:w="9900"/>
          </w:cols>
          <w:pgMar w:left="1000" w:top="1440" w:right="999" w:bottom="5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9900"/>
          </w:cols>
          <w:pgMar w:left="1000" w:top="1440" w:right="999" w:bottom="594"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04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Condition would be reclassified to Redeemable non-controlling interests and recorded at its current redemption value, with changes in the current redemption value in future periods recorded to Additional paid-in capital.</w:t>
      </w:r>
    </w:p>
    <w:p>
      <w:pPr>
        <w:spacing w:after="0" w:line="108" w:lineRule="exact"/>
        <w:rPr>
          <w:sz w:val="20"/>
          <w:szCs w:val="20"/>
          <w:color w:val="auto"/>
        </w:rPr>
      </w:pPr>
    </w:p>
    <w:p>
      <w:pPr>
        <w:ind w:right="1280"/>
        <w:spacing w:after="0" w:line="438" w:lineRule="auto"/>
        <w:rPr>
          <w:sz w:val="20"/>
          <w:szCs w:val="20"/>
          <w:color w:val="auto"/>
        </w:rPr>
      </w:pPr>
      <w:r>
        <w:rPr>
          <w:rFonts w:ascii="Times New Roman" w:cs="Times New Roman" w:eastAsia="Times New Roman" w:hAnsi="Times New Roman"/>
          <w:sz w:val="18"/>
          <w:szCs w:val="18"/>
          <w:color w:val="auto"/>
        </w:rPr>
        <w:t xml:space="preserve">There can be no assurances that the Partnership Merger or the LPA Amendments will occur as described above or at all. </w:t>
      </w:r>
      <w:r>
        <w:rPr>
          <w:rFonts w:ascii="Times New Roman" w:cs="Times New Roman" w:eastAsia="Times New Roman" w:hAnsi="Times New Roman"/>
          <w:sz w:val="18"/>
          <w:szCs w:val="18"/>
          <w:b w:val="1"/>
          <w:bCs w:val="1"/>
          <w:i w:val="1"/>
          <w:iCs w:val="1"/>
          <w:color w:val="auto"/>
        </w:rPr>
        <w:t>Vesting Acceleration and Cash Conversion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and conditioned upon the consummation of the Partnership Merger and other things, we intend to accelerate the vesting of all outstanding (i) Partnership Class A-2 Common Units (“VCUs”) and Partnership Class A-3 Common Units (“ACUs”) of AdCo Professionals (or, following the Partnership Merger, corresponding VCUs and ACUs of PWP OpCo) (collectively, the “OpCo Accelerated Units”) and (ii) corresponding VCUs and ACUs of VoteCo Professionals (together with the OpCo Accelerated Units, the “Accelerated Units”) on a day determined by PWP GP, in its sole discretion, between April 2, 2024 and May 16, 2024 (the “Vesting Acceleration”). Certain holders of VCUs and ACUs subject to the Vesting Acceleration are directors and officers of the Company. From and after the Vesting Acceleration, we anticipate that all Accelerated Units generally will be subject to a lock-up period that is identical to the lockup period applicable to such units prior to the Vesting Acceleration (except that the Accelerated Units generally would not be eligible to participate in the quarterly exchange for the third quarter of 2024). If the Vesting Acceleration occurs, we would expect to recognize the remaining unrecognized compensation expense on the Accelerated Units at that time. We currently estimate this amount to be $116.6 million, assuming that the expected amortization expense for the first quarter of 2024 of $13.9 million is recorded in normal course. This amount could change based on several factors, including but not limited to the future price of our shares of Class A common stock and the timing of the Vesting Acceleration.</w:t>
      </w:r>
    </w:p>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Vesting Acceleration, we intend to offer each holder of ACUs of AdCo Professionals (or, following the Partnership Merger, ACUs of PWP OpCo) the option to convert a portion of their ACUs of PWP OpCo into cash on vesting in an aggregate amount up to such holders’ estimated tax liability, to the extent cash is available for such purpose (in each case, as determined by PWP GP), in which case, among other things, (i) the converted ACUs will be cancelled and (ii) a number of ACUs of VoteCo Professionals equal to the number of ACUs of PWP OpCo so converted will be redeemed for cash (the “Cash Conversion”).</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such Vesting Acceleration and Cash Conversion would require approval of our board of directors and audit committee (among other approvals).</w:t>
      </w:r>
    </w:p>
    <w:p>
      <w:pPr>
        <w:spacing w:after="0" w:line="108" w:lineRule="exact"/>
        <w:rPr>
          <w:sz w:val="20"/>
          <w:szCs w:val="20"/>
          <w:color w:val="auto"/>
        </w:rPr>
      </w:pPr>
    </w:p>
    <w:p>
      <w:pPr>
        <w:ind w:right="1260"/>
        <w:spacing w:after="0" w:line="438" w:lineRule="auto"/>
        <w:rPr>
          <w:sz w:val="20"/>
          <w:szCs w:val="20"/>
          <w:color w:val="auto"/>
        </w:rPr>
      </w:pPr>
      <w:r>
        <w:rPr>
          <w:rFonts w:ascii="Times New Roman" w:cs="Times New Roman" w:eastAsia="Times New Roman" w:hAnsi="Times New Roman"/>
          <w:sz w:val="18"/>
          <w:szCs w:val="18"/>
          <w:color w:val="auto"/>
        </w:rPr>
        <w:t xml:space="preserve">There can be no assurances that the Vesting Acceleration or the Cash Conversion will occur as described above or at all. </w:t>
      </w:r>
      <w:r>
        <w:rPr>
          <w:rFonts w:ascii="Times New Roman" w:cs="Times New Roman" w:eastAsia="Times New Roman" w:hAnsi="Times New Roman"/>
          <w:sz w:val="18"/>
          <w:szCs w:val="18"/>
          <w:b w:val="1"/>
          <w:bCs w:val="1"/>
          <w:color w:val="auto"/>
        </w:rPr>
        <w:t>Corporate Information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FinTech Acquisition Corp IV (“FTIV”), our legal predecessor, was incorporated on November 20, 2018 as a Delaware corporation and formed for the purpose of effecting a merger, capital stock exchange, asset acquisition, stock purchase, reorganization or similar business combination with one or more businesses. On June 24, 2021, in connection with the consummation of the transactions contemplated by the Business Combination Agreement (as defined herein) (the “Business Combination”), FTIV changed its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9900"/>
          </w:cols>
          <w:pgMar w:left="1000" w:top="1440" w:right="9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8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99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contains basic information about this offering. It does not contain all of the information you should consider in making your investment decision. You should read the entire prospectus supplement and accompanying prospectus and the information included or incorporated by reference herein and therein before making an investment decision. As used in this section, the terms “us,” “we” and “our” refer to Perella Weinberg Partners and not to any of its subsidiaries.</w:t>
      </w:r>
    </w:p>
    <w:p>
      <w:pPr>
        <w:spacing w:after="0" w:line="168" w:lineRule="exact"/>
        <w:rPr>
          <w:sz w:val="20"/>
          <w:szCs w:val="20"/>
          <w:color w:val="auto"/>
        </w:rPr>
      </w:pPr>
    </w:p>
    <w:p>
      <w:pPr>
        <w:ind w:left="20"/>
        <w:spacing w:after="0"/>
        <w:tabs>
          <w:tab w:leader="none" w:pos="450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Perella Weinberg Partners.</w:t>
      </w:r>
    </w:p>
    <w:p>
      <w:pPr>
        <w:spacing w:after="0" w:line="77" w:lineRule="exact"/>
        <w:rPr>
          <w:sz w:val="20"/>
          <w:szCs w:val="20"/>
          <w:color w:val="auto"/>
        </w:rPr>
      </w:pPr>
    </w:p>
    <w:p>
      <w:pPr>
        <w:ind w:left="20"/>
        <w:spacing w:after="0"/>
        <w:tabs>
          <w:tab w:leader="none" w:pos="4500" w:val="left"/>
        </w:tabs>
        <w:rPr>
          <w:sz w:val="20"/>
          <w:szCs w:val="20"/>
          <w:color w:val="auto"/>
        </w:rPr>
      </w:pPr>
      <w:r>
        <w:rPr>
          <w:rFonts w:ascii="Times New Roman" w:cs="Times New Roman" w:eastAsia="Times New Roman" w:hAnsi="Times New Roman"/>
          <w:sz w:val="18"/>
          <w:szCs w:val="18"/>
          <w:color w:val="auto"/>
        </w:rPr>
        <w:t>Class A common stock to be offered</w:t>
      </w:r>
      <w:r>
        <w:rPr>
          <w:sz w:val="20"/>
          <w:szCs w:val="20"/>
          <w:color w:val="auto"/>
        </w:rPr>
        <w:tab/>
      </w:r>
      <w:r>
        <w:rPr>
          <w:rFonts w:ascii="Times New Roman" w:cs="Times New Roman" w:eastAsia="Times New Roman" w:hAnsi="Times New Roman"/>
          <w:sz w:val="17"/>
          <w:szCs w:val="17"/>
          <w:color w:val="auto"/>
        </w:rPr>
        <w:t>4,500,000 shares.</w:t>
      </w:r>
    </w:p>
    <w:p>
      <w:pPr>
        <w:spacing w:after="0" w:line="77" w:lineRule="exact"/>
        <w:rPr>
          <w:sz w:val="20"/>
          <w:szCs w:val="20"/>
          <w:color w:val="auto"/>
        </w:rPr>
      </w:pPr>
    </w:p>
    <w:p>
      <w:pPr>
        <w:ind w:left="20"/>
        <w:spacing w:after="0"/>
        <w:tabs>
          <w:tab w:leader="none" w:pos="4500" w:val="left"/>
        </w:tabs>
        <w:rPr>
          <w:sz w:val="20"/>
          <w:szCs w:val="20"/>
          <w:color w:val="auto"/>
        </w:rPr>
      </w:pPr>
      <w:r>
        <w:rPr>
          <w:rFonts w:ascii="Times New Roman" w:cs="Times New Roman" w:eastAsia="Times New Roman" w:hAnsi="Times New Roman"/>
          <w:sz w:val="18"/>
          <w:szCs w:val="18"/>
          <w:color w:val="auto"/>
        </w:rPr>
        <w:t>Option to purchase additional shares</w:t>
      </w:r>
      <w:r>
        <w:rPr>
          <w:sz w:val="20"/>
          <w:szCs w:val="20"/>
          <w:color w:val="auto"/>
        </w:rPr>
        <w:tab/>
      </w:r>
      <w:r>
        <w:rPr>
          <w:rFonts w:ascii="Times New Roman" w:cs="Times New Roman" w:eastAsia="Times New Roman" w:hAnsi="Times New Roman"/>
          <w:sz w:val="18"/>
          <w:szCs w:val="18"/>
          <w:color w:val="auto"/>
        </w:rPr>
        <w:t>We have granted the underwriter an option to purchase up to 675,000</w:t>
      </w:r>
    </w:p>
    <w:p>
      <w:pPr>
        <w:ind w:left="4520"/>
        <w:spacing w:after="0" w:line="205" w:lineRule="auto"/>
        <w:rPr>
          <w:sz w:val="20"/>
          <w:szCs w:val="20"/>
          <w:color w:val="auto"/>
        </w:rPr>
      </w:pPr>
      <w:r>
        <w:rPr>
          <w:rFonts w:ascii="Times New Roman" w:cs="Times New Roman" w:eastAsia="Times New Roman" w:hAnsi="Times New Roman"/>
          <w:sz w:val="18"/>
          <w:szCs w:val="18"/>
          <w:color w:val="auto"/>
        </w:rPr>
        <w:t>additional shares of our Class A common stock at the public offering</w:t>
      </w:r>
    </w:p>
    <w:p>
      <w:pPr>
        <w:ind w:left="4520"/>
        <w:spacing w:after="0" w:line="204" w:lineRule="auto"/>
        <w:rPr>
          <w:sz w:val="20"/>
          <w:szCs w:val="20"/>
          <w:color w:val="auto"/>
        </w:rPr>
      </w:pPr>
      <w:r>
        <w:rPr>
          <w:rFonts w:ascii="Times New Roman" w:cs="Times New Roman" w:eastAsia="Times New Roman" w:hAnsi="Times New Roman"/>
          <w:sz w:val="18"/>
          <w:szCs w:val="18"/>
          <w:color w:val="auto"/>
        </w:rPr>
        <w:t>price, less the underwriting discount and commissions. This option is</w:t>
      </w:r>
    </w:p>
    <w:p>
      <w:pPr>
        <w:ind w:left="4520"/>
        <w:spacing w:after="0" w:line="219" w:lineRule="auto"/>
        <w:rPr>
          <w:sz w:val="20"/>
          <w:szCs w:val="20"/>
          <w:color w:val="auto"/>
        </w:rPr>
      </w:pPr>
      <w:r>
        <w:rPr>
          <w:rFonts w:ascii="Times New Roman" w:cs="Times New Roman" w:eastAsia="Times New Roman" w:hAnsi="Times New Roman"/>
          <w:sz w:val="18"/>
          <w:szCs w:val="18"/>
          <w:color w:val="auto"/>
        </w:rPr>
        <w:t>exercisable, in whole or in part, for a period of 30 days following the date</w:t>
      </w:r>
    </w:p>
    <w:p>
      <w:pPr>
        <w:ind w:left="4520"/>
        <w:spacing w:after="0"/>
        <w:rPr>
          <w:sz w:val="20"/>
          <w:szCs w:val="20"/>
          <w:color w:val="auto"/>
        </w:rPr>
      </w:pPr>
      <w:r>
        <w:rPr>
          <w:rFonts w:ascii="Times New Roman" w:cs="Times New Roman" w:eastAsia="Times New Roman" w:hAnsi="Times New Roman"/>
          <w:sz w:val="18"/>
          <w:szCs w:val="18"/>
          <w:color w:val="auto"/>
        </w:rPr>
        <w:t>of this prospectus supplement.</w:t>
      </w:r>
    </w:p>
    <w:p>
      <w:pPr>
        <w:spacing w:after="0" w:line="57" w:lineRule="exact"/>
        <w:rPr>
          <w:sz w:val="20"/>
          <w:szCs w:val="20"/>
          <w:color w:val="auto"/>
        </w:rPr>
      </w:pPr>
    </w:p>
    <w:p>
      <w:pPr>
        <w:ind w:left="20"/>
        <w:spacing w:after="0"/>
        <w:tabs>
          <w:tab w:leader="none" w:pos="4500" w:val="left"/>
        </w:tabs>
        <w:rPr>
          <w:sz w:val="20"/>
          <w:szCs w:val="20"/>
          <w:color w:val="auto"/>
        </w:rPr>
      </w:pPr>
      <w:r>
        <w:rPr>
          <w:rFonts w:ascii="Times New Roman" w:cs="Times New Roman" w:eastAsia="Times New Roman" w:hAnsi="Times New Roman"/>
          <w:sz w:val="18"/>
          <w:szCs w:val="18"/>
          <w:color w:val="auto"/>
        </w:rPr>
        <w:t>Class A common stock outstanding as of the date of this</w:t>
      </w:r>
      <w:r>
        <w:rPr>
          <w:sz w:val="20"/>
          <w:szCs w:val="20"/>
          <w:color w:val="auto"/>
        </w:rPr>
        <w:tab/>
      </w:r>
      <w:r>
        <w:rPr>
          <w:rFonts w:ascii="Times New Roman" w:cs="Times New Roman" w:eastAsia="Times New Roman" w:hAnsi="Times New Roman"/>
          <w:sz w:val="18"/>
          <w:szCs w:val="18"/>
          <w:color w:val="auto"/>
        </w:rPr>
        <w:t>45,928,178 shares. This number excludes 41,630,927 shares of Class A</w:t>
      </w:r>
    </w:p>
    <w:p>
      <w:pPr>
        <w:ind w:left="180"/>
        <w:spacing w:after="0" w:line="205" w:lineRule="auto"/>
        <w:tabs>
          <w:tab w:leader="none" w:pos="4500" w:val="left"/>
        </w:tabs>
        <w:rPr>
          <w:sz w:val="20"/>
          <w:szCs w:val="20"/>
          <w:color w:val="auto"/>
        </w:rPr>
      </w:pPr>
      <w:r>
        <w:rPr>
          <w:rFonts w:ascii="Times New Roman" w:cs="Times New Roman" w:eastAsia="Times New Roman" w:hAnsi="Times New Roman"/>
          <w:sz w:val="18"/>
          <w:szCs w:val="18"/>
          <w:color w:val="auto"/>
        </w:rPr>
        <w:t>prospectus supplement</w:t>
      </w:r>
      <w:r>
        <w:rPr>
          <w:sz w:val="20"/>
          <w:szCs w:val="20"/>
          <w:color w:val="auto"/>
        </w:rPr>
        <w:tab/>
      </w:r>
      <w:r>
        <w:rPr>
          <w:rFonts w:ascii="Times New Roman" w:cs="Times New Roman" w:eastAsia="Times New Roman" w:hAnsi="Times New Roman"/>
          <w:sz w:val="18"/>
          <w:szCs w:val="18"/>
          <w:color w:val="auto"/>
        </w:rPr>
        <w:t>common stock issuable in exchange for PWP OpCo Class A partnership</w:t>
      </w:r>
    </w:p>
    <w:p>
      <w:pPr>
        <w:ind w:left="4520"/>
        <w:spacing w:after="0" w:line="204" w:lineRule="auto"/>
        <w:rPr>
          <w:sz w:val="20"/>
          <w:szCs w:val="20"/>
          <w:color w:val="auto"/>
        </w:rPr>
      </w:pPr>
      <w:r>
        <w:rPr>
          <w:rFonts w:ascii="Times New Roman" w:cs="Times New Roman" w:eastAsia="Times New Roman" w:hAnsi="Times New Roman"/>
          <w:sz w:val="18"/>
          <w:szCs w:val="18"/>
          <w:color w:val="auto"/>
        </w:rPr>
        <w:t>units and upon conversion of shares of our Class B common stock. If all</w:t>
      </w:r>
    </w:p>
    <w:p>
      <w:pPr>
        <w:ind w:left="4520"/>
        <w:spacing w:after="0" w:line="219" w:lineRule="auto"/>
        <w:rPr>
          <w:sz w:val="20"/>
          <w:szCs w:val="20"/>
          <w:color w:val="auto"/>
        </w:rPr>
      </w:pPr>
      <w:r>
        <w:rPr>
          <w:rFonts w:ascii="Times New Roman" w:cs="Times New Roman" w:eastAsia="Times New Roman" w:hAnsi="Times New Roman"/>
          <w:sz w:val="18"/>
          <w:szCs w:val="18"/>
          <w:color w:val="auto"/>
        </w:rPr>
        <w:t>outstanding PWP OpCo Class A partnership units were exchanged and all</w:t>
      </w:r>
    </w:p>
    <w:p>
      <w:pPr>
        <w:ind w:left="4520"/>
        <w:spacing w:after="0" w:line="203" w:lineRule="auto"/>
        <w:rPr>
          <w:sz w:val="20"/>
          <w:szCs w:val="20"/>
          <w:color w:val="auto"/>
        </w:rPr>
      </w:pPr>
      <w:r>
        <w:rPr>
          <w:rFonts w:ascii="Times New Roman" w:cs="Times New Roman" w:eastAsia="Times New Roman" w:hAnsi="Times New Roman"/>
          <w:sz w:val="18"/>
          <w:szCs w:val="18"/>
          <w:color w:val="auto"/>
        </w:rPr>
        <w:t>outstanding shares of Class B common stock were converted, we would</w:t>
      </w:r>
    </w:p>
    <w:p>
      <w:pPr>
        <w:ind w:left="4520"/>
        <w:spacing w:after="0" w:line="204" w:lineRule="auto"/>
        <w:rPr>
          <w:sz w:val="20"/>
          <w:szCs w:val="20"/>
          <w:color w:val="auto"/>
        </w:rPr>
      </w:pPr>
      <w:r>
        <w:rPr>
          <w:rFonts w:ascii="Times New Roman" w:cs="Times New Roman" w:eastAsia="Times New Roman" w:hAnsi="Times New Roman"/>
          <w:sz w:val="18"/>
          <w:szCs w:val="18"/>
          <w:color w:val="auto"/>
        </w:rPr>
        <w:t>have 87,559,105 shares of Class A common stock outstanding as of the</w:t>
      </w:r>
    </w:p>
    <w:p>
      <w:pPr>
        <w:ind w:left="4520"/>
        <w:spacing w:after="0"/>
        <w:rPr>
          <w:sz w:val="20"/>
          <w:szCs w:val="20"/>
          <w:color w:val="auto"/>
        </w:rPr>
      </w:pPr>
      <w:r>
        <w:rPr>
          <w:rFonts w:ascii="Times New Roman" w:cs="Times New Roman" w:eastAsia="Times New Roman" w:hAnsi="Times New Roman"/>
          <w:sz w:val="18"/>
          <w:szCs w:val="18"/>
          <w:color w:val="auto"/>
        </w:rPr>
        <w:t>date of this prospectus supplement.</w:t>
      </w:r>
    </w:p>
    <w:p>
      <w:pPr>
        <w:spacing w:after="0" w:line="57" w:lineRule="exact"/>
        <w:rPr>
          <w:sz w:val="20"/>
          <w:szCs w:val="20"/>
          <w:color w:val="auto"/>
        </w:rPr>
      </w:pPr>
    </w:p>
    <w:p>
      <w:pPr>
        <w:ind w:left="20"/>
        <w:spacing w:after="0"/>
        <w:tabs>
          <w:tab w:leader="none" w:pos="4500" w:val="left"/>
        </w:tabs>
        <w:rPr>
          <w:sz w:val="20"/>
          <w:szCs w:val="20"/>
          <w:color w:val="auto"/>
        </w:rPr>
      </w:pPr>
      <w:r>
        <w:rPr>
          <w:rFonts w:ascii="Times New Roman" w:cs="Times New Roman" w:eastAsia="Times New Roman" w:hAnsi="Times New Roman"/>
          <w:sz w:val="18"/>
          <w:szCs w:val="18"/>
          <w:color w:val="auto"/>
        </w:rPr>
        <w:t>Class A common stock to be outstanding following this</w:t>
      </w:r>
      <w:r>
        <w:rPr>
          <w:sz w:val="20"/>
          <w:szCs w:val="20"/>
          <w:color w:val="auto"/>
        </w:rPr>
        <w:tab/>
      </w:r>
      <w:r>
        <w:rPr>
          <w:rFonts w:ascii="Times New Roman" w:cs="Times New Roman" w:eastAsia="Times New Roman" w:hAnsi="Times New Roman"/>
          <w:sz w:val="18"/>
          <w:szCs w:val="18"/>
          <w:color w:val="auto"/>
        </w:rPr>
        <w:t>52,069,499 shares (or 52,744,499 shares if the underwriter exercises in</w:t>
      </w:r>
    </w:p>
    <w:p>
      <w:pPr>
        <w:ind w:left="180"/>
        <w:spacing w:after="0" w:line="205" w:lineRule="auto"/>
        <w:tabs>
          <w:tab w:leader="none" w:pos="4500" w:val="left"/>
        </w:tabs>
        <w:rPr>
          <w:sz w:val="20"/>
          <w:szCs w:val="20"/>
          <w:color w:val="auto"/>
        </w:rPr>
      </w:pPr>
      <w:r>
        <w:rPr>
          <w:rFonts w:ascii="Times New Roman" w:cs="Times New Roman" w:eastAsia="Times New Roman" w:hAnsi="Times New Roman"/>
          <w:sz w:val="18"/>
          <w:szCs w:val="18"/>
          <w:color w:val="auto"/>
        </w:rPr>
        <w:t>offering</w:t>
      </w:r>
      <w:r>
        <w:rPr>
          <w:sz w:val="20"/>
          <w:szCs w:val="20"/>
          <w:color w:val="auto"/>
        </w:rPr>
        <w:tab/>
      </w:r>
      <w:r>
        <w:rPr>
          <w:rFonts w:ascii="Times New Roman" w:cs="Times New Roman" w:eastAsia="Times New Roman" w:hAnsi="Times New Roman"/>
          <w:sz w:val="18"/>
          <w:szCs w:val="18"/>
          <w:color w:val="auto"/>
        </w:rPr>
        <w:t>full its option to purchase additional shares), assuming (i) the issuance of</w:t>
      </w:r>
    </w:p>
    <w:p>
      <w:pPr>
        <w:ind w:left="4520"/>
        <w:spacing w:after="0" w:line="204" w:lineRule="auto"/>
        <w:rPr>
          <w:sz w:val="20"/>
          <w:szCs w:val="20"/>
          <w:color w:val="auto"/>
        </w:rPr>
      </w:pPr>
      <w:r>
        <w:rPr>
          <w:rFonts w:ascii="Times New Roman" w:cs="Times New Roman" w:eastAsia="Times New Roman" w:hAnsi="Times New Roman"/>
          <w:sz w:val="18"/>
          <w:szCs w:val="18"/>
          <w:color w:val="auto"/>
        </w:rPr>
        <w:t>794,146 shares of Class A common stock in exchange for PWP OpCo</w:t>
      </w:r>
    </w:p>
    <w:p>
      <w:pPr>
        <w:ind w:left="4520"/>
        <w:spacing w:after="0" w:line="219" w:lineRule="auto"/>
        <w:rPr>
          <w:sz w:val="20"/>
          <w:szCs w:val="20"/>
          <w:color w:val="auto"/>
        </w:rPr>
      </w:pPr>
      <w:r>
        <w:rPr>
          <w:rFonts w:ascii="Times New Roman" w:cs="Times New Roman" w:eastAsia="Times New Roman" w:hAnsi="Times New Roman"/>
          <w:sz w:val="18"/>
          <w:szCs w:val="18"/>
          <w:color w:val="auto"/>
        </w:rPr>
        <w:t>Class A partnership units and shares of Class B common stock pursuant</w:t>
      </w:r>
    </w:p>
    <w:p>
      <w:pPr>
        <w:ind w:left="4520"/>
        <w:spacing w:after="0" w:line="203" w:lineRule="auto"/>
        <w:rPr>
          <w:sz w:val="20"/>
          <w:szCs w:val="20"/>
          <w:color w:val="auto"/>
        </w:rPr>
      </w:pPr>
      <w:r>
        <w:rPr>
          <w:rFonts w:ascii="Times New Roman" w:cs="Times New Roman" w:eastAsia="Times New Roman" w:hAnsi="Times New Roman"/>
          <w:sz w:val="18"/>
          <w:szCs w:val="18"/>
          <w:color w:val="auto"/>
        </w:rPr>
        <w:t>to the quarterly exchange procedures described below for the first quarter</w:t>
      </w:r>
    </w:p>
    <w:p>
      <w:pPr>
        <w:ind w:left="4520"/>
        <w:spacing w:after="0" w:line="204" w:lineRule="auto"/>
        <w:rPr>
          <w:sz w:val="20"/>
          <w:szCs w:val="20"/>
          <w:color w:val="auto"/>
        </w:rPr>
      </w:pPr>
      <w:r>
        <w:rPr>
          <w:rFonts w:ascii="Times New Roman" w:cs="Times New Roman" w:eastAsia="Times New Roman" w:hAnsi="Times New Roman"/>
          <w:sz w:val="18"/>
          <w:szCs w:val="18"/>
          <w:color w:val="auto"/>
        </w:rPr>
        <w:t>of 2024 (ii) the vesting of 847,175 shares of Class A common stock</w:t>
      </w:r>
    </w:p>
    <w:p>
      <w:pPr>
        <w:ind w:left="4520"/>
        <w:spacing w:after="0" w:line="219" w:lineRule="auto"/>
        <w:rPr>
          <w:sz w:val="20"/>
          <w:szCs w:val="20"/>
          <w:color w:val="auto"/>
        </w:rPr>
      </w:pPr>
      <w:r>
        <w:rPr>
          <w:rFonts w:ascii="Times New Roman" w:cs="Times New Roman" w:eastAsia="Times New Roman" w:hAnsi="Times New Roman"/>
          <w:sz w:val="18"/>
          <w:szCs w:val="18"/>
          <w:color w:val="auto"/>
        </w:rPr>
        <w:t>previously granted as restricted stock units (after giving effect to expected</w:t>
      </w:r>
    </w:p>
    <w:p>
      <w:pPr>
        <w:ind w:left="4520"/>
        <w:spacing w:after="0" w:line="204" w:lineRule="auto"/>
        <w:rPr>
          <w:sz w:val="20"/>
          <w:szCs w:val="20"/>
          <w:color w:val="auto"/>
        </w:rPr>
      </w:pPr>
      <w:r>
        <w:rPr>
          <w:rFonts w:ascii="Times New Roman" w:cs="Times New Roman" w:eastAsia="Times New Roman" w:hAnsi="Times New Roman"/>
          <w:sz w:val="18"/>
          <w:szCs w:val="18"/>
          <w:color w:val="auto"/>
        </w:rPr>
        <w:t>ordinary course net settlement and excluding any restricted stock units for</w:t>
      </w:r>
    </w:p>
    <w:p>
      <w:pPr>
        <w:ind w:left="4520"/>
        <w:spacing w:after="0" w:line="203" w:lineRule="auto"/>
        <w:rPr>
          <w:sz w:val="20"/>
          <w:szCs w:val="20"/>
          <w:color w:val="auto"/>
        </w:rPr>
      </w:pPr>
      <w:r>
        <w:rPr>
          <w:rFonts w:ascii="Times New Roman" w:cs="Times New Roman" w:eastAsia="Times New Roman" w:hAnsi="Times New Roman"/>
          <w:sz w:val="18"/>
          <w:szCs w:val="18"/>
          <w:color w:val="auto"/>
        </w:rPr>
        <w:t>which performance price targets were not satisfied as of December 31,</w:t>
      </w:r>
    </w:p>
    <w:p>
      <w:pPr>
        <w:ind w:left="4520"/>
        <w:spacing w:after="0" w:line="219" w:lineRule="auto"/>
        <w:rPr>
          <w:sz w:val="20"/>
          <w:szCs w:val="20"/>
          <w:color w:val="auto"/>
        </w:rPr>
      </w:pPr>
      <w:r>
        <w:rPr>
          <w:rFonts w:ascii="Times New Roman" w:cs="Times New Roman" w:eastAsia="Times New Roman" w:hAnsi="Times New Roman"/>
          <w:sz w:val="18"/>
          <w:szCs w:val="18"/>
          <w:color w:val="auto"/>
        </w:rPr>
        <w:t>2023), and (iii) the Cash Conversion of 6,600,000 PWP OpCo Class A</w:t>
      </w:r>
    </w:p>
    <w:p>
      <w:pPr>
        <w:ind w:left="4520"/>
        <w:spacing w:after="0" w:line="204" w:lineRule="auto"/>
        <w:rPr>
          <w:sz w:val="20"/>
          <w:szCs w:val="20"/>
          <w:color w:val="auto"/>
        </w:rPr>
      </w:pPr>
      <w:r>
        <w:rPr>
          <w:rFonts w:ascii="Times New Roman" w:cs="Times New Roman" w:eastAsia="Times New Roman" w:hAnsi="Times New Roman"/>
          <w:sz w:val="18"/>
          <w:szCs w:val="18"/>
          <w:color w:val="auto"/>
        </w:rPr>
        <w:t>partnership units and shares of Class B common stock (collectively, the</w:t>
      </w:r>
    </w:p>
    <w:p>
      <w:pPr>
        <w:ind w:left="4520"/>
        <w:spacing w:after="0" w:line="203" w:lineRule="auto"/>
        <w:rPr>
          <w:sz w:val="20"/>
          <w:szCs w:val="20"/>
          <w:color w:val="auto"/>
        </w:rPr>
      </w:pPr>
      <w:r>
        <w:rPr>
          <w:rFonts w:ascii="Times New Roman" w:cs="Times New Roman" w:eastAsia="Times New Roman" w:hAnsi="Times New Roman"/>
          <w:sz w:val="18"/>
          <w:szCs w:val="18"/>
          <w:color w:val="auto"/>
        </w:rPr>
        <w:t>“Assumptions”). These Assumptions represent our present intentions</w:t>
      </w:r>
    </w:p>
    <w:p>
      <w:pPr>
        <w:ind w:left="4520"/>
        <w:spacing w:after="0" w:line="219" w:lineRule="auto"/>
        <w:rPr>
          <w:sz w:val="20"/>
          <w:szCs w:val="20"/>
          <w:color w:val="auto"/>
        </w:rPr>
      </w:pPr>
      <w:r>
        <w:rPr>
          <w:rFonts w:ascii="Times New Roman" w:cs="Times New Roman" w:eastAsia="Times New Roman" w:hAnsi="Times New Roman"/>
          <w:sz w:val="18"/>
          <w:szCs w:val="18"/>
          <w:color w:val="auto"/>
        </w:rPr>
        <w:t>based on our current plans and business conditions, and are subject to the</w:t>
      </w:r>
    </w:p>
    <w:p>
      <w:pPr>
        <w:ind w:left="4520"/>
        <w:spacing w:after="0" w:line="204" w:lineRule="auto"/>
        <w:rPr>
          <w:sz w:val="20"/>
          <w:szCs w:val="20"/>
          <w:color w:val="auto"/>
        </w:rPr>
      </w:pPr>
      <w:r>
        <w:rPr>
          <w:rFonts w:ascii="Times New Roman" w:cs="Times New Roman" w:eastAsia="Times New Roman" w:hAnsi="Times New Roman"/>
          <w:sz w:val="18"/>
          <w:szCs w:val="18"/>
          <w:color w:val="auto"/>
        </w:rPr>
        <w:t>required board of directors, audit committee and other approvals, and</w:t>
      </w:r>
    </w:p>
    <w:p>
      <w:pPr>
        <w:ind w:left="4520"/>
        <w:spacing w:after="0" w:line="203" w:lineRule="auto"/>
        <w:rPr>
          <w:sz w:val="20"/>
          <w:szCs w:val="20"/>
          <w:color w:val="auto"/>
        </w:rPr>
      </w:pPr>
      <w:r>
        <w:rPr>
          <w:rFonts w:ascii="Times New Roman" w:cs="Times New Roman" w:eastAsia="Times New Roman" w:hAnsi="Times New Roman"/>
          <w:sz w:val="18"/>
          <w:szCs w:val="18"/>
          <w:color w:val="auto"/>
        </w:rPr>
        <w:t>there can be no assurances that any of the Assumptions will occur as</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described above or at all.</w:t>
      </w:r>
    </w:p>
    <w:p>
      <w:pPr>
        <w:spacing w:after="0" w:line="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After giving effect to the Assumptions set forth above, this number</w:t>
      </w:r>
    </w:p>
    <w:p>
      <w:pPr>
        <w:ind w:left="4520"/>
        <w:spacing w:after="0" w:line="203" w:lineRule="auto"/>
        <w:rPr>
          <w:sz w:val="20"/>
          <w:szCs w:val="20"/>
          <w:color w:val="auto"/>
        </w:rPr>
      </w:pPr>
      <w:r>
        <w:rPr>
          <w:rFonts w:ascii="Times New Roman" w:cs="Times New Roman" w:eastAsia="Times New Roman" w:hAnsi="Times New Roman"/>
          <w:sz w:val="18"/>
          <w:szCs w:val="18"/>
          <w:color w:val="auto"/>
        </w:rPr>
        <w:t>excludes 34,230,181 shares of Class A common stock issuable in</w:t>
      </w:r>
    </w:p>
    <w:p>
      <w:pPr>
        <w:ind w:left="4520"/>
        <w:spacing w:after="0" w:line="219" w:lineRule="auto"/>
        <w:rPr>
          <w:sz w:val="20"/>
          <w:szCs w:val="20"/>
          <w:color w:val="auto"/>
        </w:rPr>
      </w:pPr>
      <w:r>
        <w:rPr>
          <w:rFonts w:ascii="Times New Roman" w:cs="Times New Roman" w:eastAsia="Times New Roman" w:hAnsi="Times New Roman"/>
          <w:sz w:val="18"/>
          <w:szCs w:val="18"/>
          <w:color w:val="auto"/>
        </w:rPr>
        <w:t>exchange for PWP OpCo Class A partnership units and upon conversion</w:t>
      </w:r>
    </w:p>
    <w:p>
      <w:pPr>
        <w:ind w:left="4520"/>
        <w:spacing w:after="0" w:line="204" w:lineRule="auto"/>
        <w:rPr>
          <w:sz w:val="20"/>
          <w:szCs w:val="20"/>
          <w:color w:val="auto"/>
        </w:rPr>
      </w:pPr>
      <w:r>
        <w:rPr>
          <w:rFonts w:ascii="Times New Roman" w:cs="Times New Roman" w:eastAsia="Times New Roman" w:hAnsi="Times New Roman"/>
          <w:sz w:val="18"/>
          <w:szCs w:val="18"/>
          <w:color w:val="auto"/>
        </w:rPr>
        <w:t>of shares of our Class B common stock. If all outstanding PWP OpCo</w:t>
      </w:r>
    </w:p>
    <w:p>
      <w:pPr>
        <w:ind w:left="4520"/>
        <w:spacing w:after="0" w:line="203" w:lineRule="auto"/>
        <w:rPr>
          <w:sz w:val="20"/>
          <w:szCs w:val="20"/>
          <w:color w:val="auto"/>
        </w:rPr>
      </w:pPr>
      <w:r>
        <w:rPr>
          <w:rFonts w:ascii="Times New Roman" w:cs="Times New Roman" w:eastAsia="Times New Roman" w:hAnsi="Times New Roman"/>
          <w:sz w:val="18"/>
          <w:szCs w:val="18"/>
          <w:color w:val="auto"/>
        </w:rPr>
        <w:t>Class A partnership units were exchanged and all outstanding shares of</w:t>
      </w:r>
    </w:p>
    <w:p>
      <w:pPr>
        <w:ind w:left="4520"/>
        <w:spacing w:after="0" w:line="219" w:lineRule="auto"/>
        <w:rPr>
          <w:sz w:val="20"/>
          <w:szCs w:val="20"/>
          <w:color w:val="auto"/>
        </w:rPr>
      </w:pPr>
      <w:r>
        <w:rPr>
          <w:rFonts w:ascii="Times New Roman" w:cs="Times New Roman" w:eastAsia="Times New Roman" w:hAnsi="Times New Roman"/>
          <w:sz w:val="18"/>
          <w:szCs w:val="18"/>
          <w:color w:val="auto"/>
        </w:rPr>
        <w:t>Class B common stock were converted, after giving effect to the</w:t>
      </w:r>
    </w:p>
    <w:p>
      <w:pPr>
        <w:ind w:left="4520"/>
        <w:spacing w:after="0" w:line="204" w:lineRule="auto"/>
        <w:rPr>
          <w:sz w:val="20"/>
          <w:szCs w:val="20"/>
          <w:color w:val="auto"/>
        </w:rPr>
      </w:pPr>
      <w:r>
        <w:rPr>
          <w:rFonts w:ascii="Times New Roman" w:cs="Times New Roman" w:eastAsia="Times New Roman" w:hAnsi="Times New Roman"/>
          <w:sz w:val="18"/>
          <w:szCs w:val="18"/>
          <w:color w:val="auto"/>
        </w:rPr>
        <w:t>Assumptions set forth above, we would have 86,299,680 shares (or</w:t>
      </w:r>
    </w:p>
    <w:p>
      <w:pPr>
        <w:ind w:left="4520"/>
        <w:spacing w:after="0" w:line="203" w:lineRule="auto"/>
        <w:rPr>
          <w:sz w:val="20"/>
          <w:szCs w:val="20"/>
          <w:color w:val="auto"/>
        </w:rPr>
      </w:pPr>
      <w:r>
        <w:rPr>
          <w:rFonts w:ascii="Times New Roman" w:cs="Times New Roman" w:eastAsia="Times New Roman" w:hAnsi="Times New Roman"/>
          <w:sz w:val="18"/>
          <w:szCs w:val="18"/>
          <w:color w:val="auto"/>
        </w:rPr>
        <w:t>86,974,680 shares if the underwriter exercises in full its option to</w:t>
      </w:r>
    </w:p>
    <w:p>
      <w:pPr>
        <w:ind w:left="4520"/>
        <w:spacing w:after="0" w:line="219" w:lineRule="auto"/>
        <w:rPr>
          <w:sz w:val="20"/>
          <w:szCs w:val="20"/>
          <w:color w:val="auto"/>
        </w:rPr>
      </w:pPr>
      <w:r>
        <w:rPr>
          <w:rFonts w:ascii="Times New Roman" w:cs="Times New Roman" w:eastAsia="Times New Roman" w:hAnsi="Times New Roman"/>
          <w:sz w:val="18"/>
          <w:szCs w:val="18"/>
          <w:color w:val="auto"/>
        </w:rPr>
        <w:t>purchase  additional  shares)  of  Class  A  common  stock  outstanding</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immediately following this offering.</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hanging="161"/>
        <w:spacing w:after="0" w:line="250" w:lineRule="auto"/>
        <w:rPr>
          <w:sz w:val="20"/>
          <w:szCs w:val="20"/>
          <w:color w:val="auto"/>
        </w:rPr>
      </w:pPr>
      <w:r>
        <w:rPr>
          <w:rFonts w:ascii="Times New Roman" w:cs="Times New Roman" w:eastAsia="Times New Roman" w:hAnsi="Times New Roman"/>
          <w:sz w:val="18"/>
          <w:szCs w:val="18"/>
          <w:color w:val="auto"/>
        </w:rPr>
        <w:t>Class B-1 common stock outstanding as of the date of this prospectus supplement</w:t>
      </w:r>
    </w:p>
    <w:p>
      <w:pPr>
        <w:spacing w:after="0" w:line="41" w:lineRule="exact"/>
        <w:rPr>
          <w:sz w:val="20"/>
          <w:szCs w:val="20"/>
          <w:color w:val="auto"/>
        </w:rPr>
      </w:pPr>
    </w:p>
    <w:p>
      <w:pPr>
        <w:ind w:left="160" w:hanging="161"/>
        <w:spacing w:after="0" w:line="250" w:lineRule="auto"/>
        <w:rPr>
          <w:sz w:val="20"/>
          <w:szCs w:val="20"/>
          <w:color w:val="auto"/>
        </w:rPr>
      </w:pPr>
      <w:r>
        <w:rPr>
          <w:rFonts w:ascii="Times New Roman" w:cs="Times New Roman" w:eastAsia="Times New Roman" w:hAnsi="Times New Roman"/>
          <w:sz w:val="18"/>
          <w:szCs w:val="18"/>
          <w:color w:val="auto"/>
        </w:rPr>
        <w:t>Class B-2 common stock outstanding as of the date of this prospectus supplement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40,467,074.581 shares (convertible into 40,467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-709295</wp:posOffset>
            </wp:positionV>
            <wp:extent cx="7136130" cy="6913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913245"/>
                    </a:xfrm>
                    <a:prstGeom prst="rect">
                      <a:avLst/>
                    </a:prstGeom>
                    <a:noFill/>
                  </pic:spPr>
                </pic:pic>
              </a:graphicData>
            </a:graphic>
          </wp:anchor>
        </w:drawing>
      </w:r>
    </w:p>
    <w:p>
      <w:pPr>
        <w:spacing w:after="0" w:line="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1,122,264 shares (convertible into 1,122 shares of Class A common stock).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approximately $ million (or approximately $ million if the underwriter exercises in full its option to purchase additional shares), after deducting estimated underwriting discounts and commissions and</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estimated offering expenses payable by us. We intend to contribute the net proceeds from our issuance and sale of 4,500,000 shares (or 5,175,000 shares if the underwriter exercises in full its option to purchase additional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shares) of Class A common stock in this offering to PWP OpCo in exchange for 4,500,000 PWP OpCo Class A partnership units (or 5,175,000 PWP OpCo Class A partnership units if the underwriter</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exercises in full its option to purchase additional shares). PWP OpCo intends to use the net proceeds received from us, together, to the extent necessary, with any cash on hand, for (i) the Cash Conversion, subject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required board of directors, audit committee and other approvals, (ii) the purchase from certain holders of (A) outstanding PWP OpCo Class A partnership units and (B) outstanding shares of Class B common stock, in</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connection with the Q2 2024 Quarterly Exchange, and (iii) general corporate purposes (provided that (i) and (ii) are subject to completion of the Partnership Merger). See “Use of Proceeds.”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our Class A common stock entitles its holder to one vote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each share held of record on all matters submitted to a vote of stockholders.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our Class B-1 common stock entitles VoteCo Professionals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to (i) for so long as Professional Partners or its limited partners as of the Closing Date (as defined herein) or its or their respective successors or assigns maintain, directly or indirectly, ownership of PWP OpCo Class A</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partnership units that represent at least ten percent (10%) of our issued and outstanding Class A common stock (calculated, without duplication, on the basis that all issued and outstanding PWP OpCo Class A</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partnership units not held by us or our subsidiaries had been exchanged for our Class A common stock) (the “Class B Condition”), ten votes for each share held of record, and (ii) after the Class B Condition ceases to be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satisfied, one vote for each share held of record. VoteCo Professionals holds all outstanding shares of our Class B-1 common stock, enabling it to exercise majority voting control over us and, indirectly, over PWP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Each share of our Class B-2 common stock entitles its holder to one vote for each share held of record on all matters submitted to a vote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w:t>
      </w:r>
    </w:p>
    <w:p>
      <w:pPr>
        <w:spacing w:after="0" w:line="5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aggregate number of shares of our Class B common stock outstanding is equal to the aggregate number of outstanding PWP OpCo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Class A partnership units that are held by AdCo Professionals and an Investor Limited Partner (“ILP”).</w:t>
      </w:r>
    </w:p>
    <w:p>
      <w:pPr>
        <w:spacing w:after="0" w:line="200" w:lineRule="exact"/>
        <w:rPr>
          <w:sz w:val="20"/>
          <w:szCs w:val="20"/>
          <w:color w:val="auto"/>
        </w:rPr>
      </w:pPr>
    </w:p>
    <w:p>
      <w:pPr>
        <w:sectPr>
          <w:pgSz w:w="11900" w:h="16838" w:orient="portrait"/>
          <w:cols w:equalWidth="0" w:num="2">
            <w:col w:w="4180" w:space="320"/>
            <w:col w:w="5360"/>
          </w:cols>
          <w:pgMar w:left="10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9860"/>
          </w:cols>
          <w:pgMar w:left="102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70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Holders of our Class A common stock and Class B common stock vote</w:t>
      </w:r>
    </w:p>
    <w:p>
      <w:pPr>
        <w:spacing w:after="0" w:line="2" w:lineRule="exact"/>
        <w:rPr>
          <w:sz w:val="20"/>
          <w:szCs w:val="20"/>
          <w:color w:val="auto"/>
        </w:rPr>
      </w:pPr>
    </w:p>
    <w:p>
      <w:pPr>
        <w:jc w:val="both"/>
        <w:ind w:left="4500" w:right="20"/>
        <w:spacing w:after="0" w:line="218" w:lineRule="auto"/>
        <w:rPr>
          <w:sz w:val="20"/>
          <w:szCs w:val="20"/>
          <w:color w:val="auto"/>
        </w:rPr>
      </w:pPr>
      <w:r>
        <w:rPr>
          <w:rFonts w:ascii="Times New Roman" w:cs="Times New Roman" w:eastAsia="Times New Roman" w:hAnsi="Times New Roman"/>
          <w:sz w:val="18"/>
          <w:szCs w:val="18"/>
          <w:color w:val="auto"/>
        </w:rPr>
        <w:t>together as a single class on all matters presented to our stockholders for their vote or approval, except as otherwise provided in our restated certificate of incorporation or as required by applicable law.</w:t>
      </w:r>
    </w:p>
    <w:p>
      <w:pPr>
        <w:spacing w:after="0" w:line="64" w:lineRule="exact"/>
        <w:rPr>
          <w:sz w:val="20"/>
          <w:szCs w:val="20"/>
          <w:color w:val="auto"/>
        </w:rPr>
      </w:pPr>
    </w:p>
    <w:p>
      <w:pPr>
        <w:jc w:val="both"/>
        <w:ind w:left="4500" w:right="20"/>
        <w:spacing w:after="0" w:line="229" w:lineRule="auto"/>
        <w:rPr>
          <w:sz w:val="20"/>
          <w:szCs w:val="20"/>
          <w:color w:val="auto"/>
        </w:rPr>
      </w:pPr>
      <w:r>
        <w:rPr>
          <w:rFonts w:ascii="Times New Roman" w:cs="Times New Roman" w:eastAsia="Times New Roman" w:hAnsi="Times New Roman"/>
          <w:sz w:val="17"/>
          <w:szCs w:val="17"/>
          <w:color w:val="auto"/>
        </w:rPr>
        <w:t>Upon completion of this offering and after giving effect to the Assumptions, holders of our Class A common stock who are not affiliated with our directors and executive officers will own approximately 97.5%</w:t>
      </w:r>
    </w:p>
    <w:p>
      <w:pPr>
        <w:jc w:val="both"/>
        <w:ind w:left="4500" w:right="20"/>
        <w:spacing w:after="0" w:line="226" w:lineRule="auto"/>
        <w:rPr>
          <w:sz w:val="20"/>
          <w:szCs w:val="20"/>
          <w:color w:val="auto"/>
        </w:rPr>
      </w:pPr>
      <w:r>
        <w:rPr>
          <w:rFonts w:ascii="Times New Roman" w:cs="Times New Roman" w:eastAsia="Times New Roman" w:hAnsi="Times New Roman"/>
          <w:sz w:val="18"/>
          <w:szCs w:val="18"/>
          <w:color w:val="auto"/>
        </w:rPr>
        <w:t>of our Class A common stock and will have approximately 13.2% of the voting power in the Company.</w:t>
      </w:r>
    </w:p>
    <w:p>
      <w:pPr>
        <w:spacing w:after="0" w:line="49"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Exchange rights; Lock-up</w:t>
      </w:r>
      <w:r>
        <w:rPr>
          <w:sz w:val="20"/>
          <w:szCs w:val="20"/>
          <w:color w:val="auto"/>
        </w:rPr>
        <w:tab/>
      </w:r>
      <w:r>
        <w:rPr>
          <w:rFonts w:ascii="Times New Roman" w:cs="Times New Roman" w:eastAsia="Times New Roman" w:hAnsi="Times New Roman"/>
          <w:sz w:val="18"/>
          <w:szCs w:val="18"/>
          <w:color w:val="auto"/>
        </w:rPr>
        <w:t>Subject to the exchange procedures and restrictions set forth in the</w:t>
      </w:r>
    </w:p>
    <w:p>
      <w:pPr>
        <w:spacing w:after="0" w:line="2" w:lineRule="exact"/>
        <w:rPr>
          <w:sz w:val="20"/>
          <w:szCs w:val="20"/>
          <w:color w:val="auto"/>
        </w:rPr>
      </w:pPr>
    </w:p>
    <w:p>
      <w:pPr>
        <w:jc w:val="both"/>
        <w:ind w:left="4500"/>
        <w:spacing w:after="0" w:line="208" w:lineRule="auto"/>
        <w:rPr>
          <w:sz w:val="20"/>
          <w:szCs w:val="20"/>
          <w:color w:val="auto"/>
        </w:rPr>
      </w:pPr>
      <w:r>
        <w:rPr>
          <w:rFonts w:ascii="Times New Roman" w:cs="Times New Roman" w:eastAsia="Times New Roman" w:hAnsi="Times New Roman"/>
          <w:sz w:val="18"/>
          <w:szCs w:val="18"/>
          <w:color w:val="auto"/>
        </w:rPr>
        <w:t>Amended and Restated Agreement of Limited Partnership of PWP OpCo, as amended by the First Amendment, dated December 31, 2023 (as may be further amended, restated, modified or supplemented from time to</w:t>
      </w:r>
    </w:p>
    <w:p>
      <w:pPr>
        <w:spacing w:after="0" w:line="2" w:lineRule="exact"/>
        <w:rPr>
          <w:sz w:val="20"/>
          <w:szCs w:val="20"/>
          <w:color w:val="auto"/>
        </w:rPr>
      </w:pPr>
    </w:p>
    <w:p>
      <w:pPr>
        <w:jc w:val="both"/>
        <w:ind w:left="4500" w:right="20"/>
        <w:spacing w:after="0" w:line="208" w:lineRule="auto"/>
        <w:rPr>
          <w:sz w:val="20"/>
          <w:szCs w:val="20"/>
          <w:color w:val="auto"/>
        </w:rPr>
      </w:pPr>
      <w:r>
        <w:rPr>
          <w:rFonts w:ascii="Times New Roman" w:cs="Times New Roman" w:eastAsia="Times New Roman" w:hAnsi="Times New Roman"/>
          <w:sz w:val="18"/>
          <w:szCs w:val="18"/>
          <w:color w:val="auto"/>
        </w:rPr>
        <w:t>time, the “PWP OpCo LPA”), and any other procedures or restrictions imposed by us, holders of PWP OpCo Class A partnership units (other than us) may exchange these units for (i) shares of Class A common stock</w:t>
      </w:r>
    </w:p>
    <w:p>
      <w:pPr>
        <w:spacing w:after="0" w:line="2" w:lineRule="exact"/>
        <w:rPr>
          <w:sz w:val="20"/>
          <w:szCs w:val="20"/>
          <w:color w:val="auto"/>
        </w:rPr>
      </w:pPr>
    </w:p>
    <w:p>
      <w:pPr>
        <w:jc w:val="both"/>
        <w:ind w:left="4500" w:right="20"/>
        <w:spacing w:after="0" w:line="208" w:lineRule="auto"/>
        <w:rPr>
          <w:sz w:val="20"/>
          <w:szCs w:val="20"/>
          <w:color w:val="auto"/>
        </w:rPr>
      </w:pPr>
      <w:r>
        <w:rPr>
          <w:rFonts w:ascii="Times New Roman" w:cs="Times New Roman" w:eastAsia="Times New Roman" w:hAnsi="Times New Roman"/>
          <w:sz w:val="18"/>
          <w:szCs w:val="18"/>
          <w:color w:val="auto"/>
        </w:rPr>
        <w:t>on a one-for-one basis (subject to customary conversion rate adjustments for stock splits, stock dividends and reclassifications) or (ii) cash from an offering of shares of Class A common stock (based on the net proceeds</w:t>
      </w:r>
    </w:p>
    <w:p>
      <w:pPr>
        <w:spacing w:after="0" w:line="2" w:lineRule="exact"/>
        <w:rPr>
          <w:sz w:val="20"/>
          <w:szCs w:val="20"/>
          <w:color w:val="auto"/>
        </w:rPr>
      </w:pPr>
    </w:p>
    <w:p>
      <w:pPr>
        <w:jc w:val="both"/>
        <w:ind w:left="4500" w:right="20"/>
        <w:spacing w:after="0" w:line="226" w:lineRule="auto"/>
        <w:rPr>
          <w:sz w:val="20"/>
          <w:szCs w:val="20"/>
          <w:color w:val="auto"/>
        </w:rPr>
      </w:pPr>
      <w:r>
        <w:rPr>
          <w:rFonts w:ascii="Times New Roman" w:cs="Times New Roman" w:eastAsia="Times New Roman" w:hAnsi="Times New Roman"/>
          <w:sz w:val="18"/>
          <w:szCs w:val="18"/>
          <w:color w:val="auto"/>
        </w:rPr>
        <w:t>received by us for such shares in such offering) with the form of consideration determined by us.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holders of PWP OpCo Class A partnership units exchange their PWP</w:t>
      </w:r>
    </w:p>
    <w:p>
      <w:pPr>
        <w:spacing w:after="0" w:line="2" w:lineRule="exact"/>
        <w:rPr>
          <w:sz w:val="20"/>
          <w:szCs w:val="20"/>
          <w:color w:val="auto"/>
        </w:rPr>
      </w:pPr>
    </w:p>
    <w:p>
      <w:pPr>
        <w:jc w:val="both"/>
        <w:ind w:left="4500" w:right="20"/>
        <w:spacing w:after="0" w:line="208" w:lineRule="auto"/>
        <w:rPr>
          <w:sz w:val="20"/>
          <w:szCs w:val="20"/>
          <w:color w:val="auto"/>
        </w:rPr>
      </w:pPr>
      <w:r>
        <w:rPr>
          <w:rFonts w:ascii="Times New Roman" w:cs="Times New Roman" w:eastAsia="Times New Roman" w:hAnsi="Times New Roman"/>
          <w:sz w:val="18"/>
          <w:szCs w:val="18"/>
          <w:color w:val="auto"/>
        </w:rPr>
        <w:t>OpCo Class A partnership units for shares of Class A common stock or cash from an offering of shares of Class A common stock, the number of PWP OpCo Class A partnership units held by us is correspondingly</w:t>
      </w:r>
    </w:p>
    <w:p>
      <w:pPr>
        <w:spacing w:after="0" w:line="2" w:lineRule="exact"/>
        <w:rPr>
          <w:sz w:val="20"/>
          <w:szCs w:val="20"/>
          <w:color w:val="auto"/>
        </w:rPr>
      </w:pPr>
    </w:p>
    <w:p>
      <w:pPr>
        <w:jc w:val="both"/>
        <w:ind w:left="4500" w:right="20"/>
        <w:spacing w:after="0" w:line="220" w:lineRule="auto"/>
        <w:rPr>
          <w:sz w:val="20"/>
          <w:szCs w:val="20"/>
          <w:color w:val="auto"/>
        </w:rPr>
      </w:pPr>
      <w:r>
        <w:rPr>
          <w:rFonts w:ascii="Times New Roman" w:cs="Times New Roman" w:eastAsia="Times New Roman" w:hAnsi="Times New Roman"/>
          <w:sz w:val="17"/>
          <w:szCs w:val="17"/>
          <w:color w:val="auto"/>
        </w:rPr>
        <w:t>increased as we acquire the exchanged PWP OpCo Class A partnership units (and a corresponding number of shares of Class B common stock are converted). We may in the future cause PWP OpCo to issue additional</w:t>
      </w:r>
    </w:p>
    <w:p>
      <w:pPr>
        <w:spacing w:after="0" w:line="2" w:lineRule="exact"/>
        <w:rPr>
          <w:sz w:val="20"/>
          <w:szCs w:val="20"/>
          <w:color w:val="auto"/>
        </w:rPr>
      </w:pPr>
    </w:p>
    <w:p>
      <w:pPr>
        <w:jc w:val="both"/>
        <w:ind w:left="4500" w:right="20"/>
        <w:spacing w:after="0" w:line="226" w:lineRule="auto"/>
        <w:rPr>
          <w:sz w:val="20"/>
          <w:szCs w:val="20"/>
          <w:color w:val="auto"/>
        </w:rPr>
      </w:pPr>
      <w:r>
        <w:rPr>
          <w:rFonts w:ascii="Times New Roman" w:cs="Times New Roman" w:eastAsia="Times New Roman" w:hAnsi="Times New Roman"/>
          <w:sz w:val="18"/>
          <w:szCs w:val="18"/>
          <w:color w:val="auto"/>
        </w:rPr>
        <w:t>PWP OpCo Class A partnership units that would also be exchangeable for shares of Class A common stock.</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Simultaneously with each such exchange by a PWP Opco Class A</w:t>
      </w:r>
    </w:p>
    <w:p>
      <w:pPr>
        <w:spacing w:after="0" w:line="2" w:lineRule="exact"/>
        <w:rPr>
          <w:sz w:val="20"/>
          <w:szCs w:val="20"/>
          <w:color w:val="auto"/>
        </w:rPr>
      </w:pPr>
    </w:p>
    <w:p>
      <w:pPr>
        <w:jc w:val="both"/>
        <w:ind w:left="4500" w:right="20"/>
        <w:spacing w:after="0" w:line="208" w:lineRule="auto"/>
        <w:rPr>
          <w:sz w:val="20"/>
          <w:szCs w:val="20"/>
          <w:color w:val="auto"/>
        </w:rPr>
      </w:pPr>
      <w:r>
        <w:rPr>
          <w:rFonts w:ascii="Times New Roman" w:cs="Times New Roman" w:eastAsia="Times New Roman" w:hAnsi="Times New Roman"/>
          <w:sz w:val="18"/>
          <w:szCs w:val="18"/>
          <w:color w:val="auto"/>
        </w:rPr>
        <w:t>unitholder, such unitholder will be required to surrender to us a corresponding number of shares of our Class B common stock, and such shares will be converted into shares of our Class A common stock or cash</w:t>
      </w:r>
    </w:p>
    <w:p>
      <w:pPr>
        <w:spacing w:after="0" w:line="2" w:lineRule="exact"/>
        <w:rPr>
          <w:sz w:val="20"/>
          <w:szCs w:val="20"/>
          <w:color w:val="auto"/>
        </w:rPr>
      </w:pPr>
    </w:p>
    <w:p>
      <w:pPr>
        <w:jc w:val="both"/>
        <w:ind w:left="4500" w:right="20"/>
        <w:spacing w:after="0" w:line="226" w:lineRule="auto"/>
        <w:rPr>
          <w:sz w:val="20"/>
          <w:szCs w:val="20"/>
          <w:color w:val="auto"/>
        </w:rPr>
      </w:pPr>
      <w:r>
        <w:rPr>
          <w:rFonts w:ascii="Times New Roman" w:cs="Times New Roman" w:eastAsia="Times New Roman" w:hAnsi="Times New Roman"/>
          <w:sz w:val="18"/>
          <w:szCs w:val="18"/>
          <w:color w:val="auto"/>
        </w:rPr>
        <w:t>which will be delivered to the exchanging holder (at our option) at a conversion rate of 1:1000 (or 0.001).</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Holders of PWP OpCo Class A partnership units and shares of Class B</w:t>
      </w:r>
    </w:p>
    <w:p>
      <w:pPr>
        <w:spacing w:after="0" w:line="2" w:lineRule="exact"/>
        <w:rPr>
          <w:sz w:val="20"/>
          <w:szCs w:val="20"/>
          <w:color w:val="auto"/>
        </w:rPr>
      </w:pPr>
    </w:p>
    <w:p>
      <w:pPr>
        <w:jc w:val="both"/>
        <w:ind w:left="4500"/>
        <w:spacing w:after="0" w:line="208" w:lineRule="auto"/>
        <w:rPr>
          <w:sz w:val="20"/>
          <w:szCs w:val="20"/>
          <w:color w:val="auto"/>
        </w:rPr>
      </w:pPr>
      <w:r>
        <w:rPr>
          <w:rFonts w:ascii="Times New Roman" w:cs="Times New Roman" w:eastAsia="Times New Roman" w:hAnsi="Times New Roman"/>
          <w:sz w:val="18"/>
          <w:szCs w:val="18"/>
          <w:color w:val="auto"/>
        </w:rPr>
        <w:t>common stock may elect to exchange all or some of their PWP OpCo Class A partnership units and related shares of Class B common stock that are not subject to lock-up or other restrictions each quarter. For the</w:t>
      </w:r>
    </w:p>
    <w:p>
      <w:pPr>
        <w:spacing w:after="0" w:line="2" w:lineRule="exact"/>
        <w:rPr>
          <w:sz w:val="20"/>
          <w:szCs w:val="20"/>
          <w:color w:val="auto"/>
        </w:rPr>
      </w:pPr>
    </w:p>
    <w:p>
      <w:pPr>
        <w:jc w:val="both"/>
        <w:ind w:left="4500" w:right="20"/>
        <w:spacing w:after="0" w:line="226" w:lineRule="auto"/>
        <w:rPr>
          <w:sz w:val="20"/>
          <w:szCs w:val="20"/>
          <w:color w:val="auto"/>
        </w:rPr>
      </w:pPr>
      <w:r>
        <w:rPr>
          <w:rFonts w:ascii="Times New Roman" w:cs="Times New Roman" w:eastAsia="Times New Roman" w:hAnsi="Times New Roman"/>
          <w:sz w:val="18"/>
          <w:szCs w:val="18"/>
          <w:color w:val="auto"/>
        </w:rPr>
        <w:t>second quarter of 2024, such exchanges are expected to occur on May 16, 2024 (the “Q2 2024 Quarterly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9860"/>
          </w:cols>
          <w:pgMar w:left="1020" w:top="1440" w:right="10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93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The PWP OpCo LPA contains restrictions on the ability to exchange PWP</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OpCo Class A partnership units for shares of Class A common stock or</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cash from an offering of shares of Class A common stock, for the</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w w:val="99"/>
              </w:rPr>
              <w:t>following periods: (i) PWP OpCo Class A partnership units held by AdCo</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Professionals will be subject to a restriction for time periods that are fully</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back-to-back with the lock-up periods contemplated in the Agreement of</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rPr>
              <w:t>Limited Partnership of AdCo Professionals (generally, such lock-up</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periods (i) for (a) former working limited partners of Professional</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Partners whose tenure was terminated prior to November 1, 2020, the</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rPr>
              <w:t>lock-up period expired on December 24, 2021; and (b) working limited</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partners of AdCo Professionals whose tenure was not terminated prior to</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November 1, 2020, will be between three to five years after June 24,</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rPr>
              <w:t>2021, the closing of the Business Combination (the “Closing Date” or the</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“Closing”)), (ii) the restriction on PWP OpCo Class A partnership units</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held by the ILP existing at the time of the Business Combination expired</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rPr>
              <w:t>on December 24, 2021, and (iii) for any other outstanding PWP OpCo</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Class A partnership units not previously covered by clauses (i) and (ii)</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above will be subject to such restriction for a period of at least twelve</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rPr>
              <w:t>months following the date on which such PWP OpCo Class A partnership</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units were acquired. PWP GP may waive the foregoing restrictions for</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any single holder with respect to all or a portion of such holder’s units,</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with no obligation to do so for any other holder.</w:t>
            </w:r>
          </w:p>
        </w:tc>
        <w:tc>
          <w:tcPr>
            <w:tcW w:w="0" w:type="dxa"/>
            <w:vAlign w:val="bottom"/>
          </w:tcPr>
          <w:p>
            <w:pPr>
              <w:spacing w:after="0"/>
              <w:rPr>
                <w:sz w:val="1"/>
                <w:szCs w:val="1"/>
                <w:color w:val="auto"/>
              </w:rPr>
            </w:pPr>
          </w:p>
        </w:tc>
      </w:tr>
      <w:tr>
        <w:trPr>
          <w:trHeight w:val="34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Lock-up in connection with this offering</w:t>
            </w: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We and our officers and directors have agreed with the underwriter,</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subject to certain exceptions, not to dispose of or hedge any of their Class</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A common stock or securities convertible into or exchangeable for shares</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rPr>
              <w:t>of Class A common stock during the period from the date of this</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prospectus supplement continuing through the date that is 60 days after</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the date of this prospectus supplement, except with the prior written</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consent of the underwriter.</w:t>
            </w: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Before deciding to invest in shares of our Class A common stock, you</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160" w:type="dxa"/>
            <w:vAlign w:val="bottom"/>
            <w:gridSpan w:val="3"/>
          </w:tcPr>
          <w:p>
            <w:pPr>
              <w:ind w:left="800"/>
              <w:spacing w:after="0" w:line="181" w:lineRule="exact"/>
              <w:rPr>
                <w:sz w:val="20"/>
                <w:szCs w:val="20"/>
                <w:color w:val="auto"/>
              </w:rPr>
            </w:pPr>
            <w:r>
              <w:rPr>
                <w:rFonts w:ascii="Times New Roman" w:cs="Times New Roman" w:eastAsia="Times New Roman" w:hAnsi="Times New Roman"/>
                <w:sz w:val="18"/>
                <w:szCs w:val="18"/>
                <w:color w:val="auto"/>
              </w:rPr>
              <w:t>should carefully consider the risk factors contained or incorporated by</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reference in this prospectus supplement, including those described under</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6160" w:type="dxa"/>
            <w:vAlign w:val="bottom"/>
            <w:gridSpan w:val="3"/>
          </w:tcPr>
          <w:p>
            <w:pPr>
              <w:ind w:left="800"/>
              <w:spacing w:after="0" w:line="189" w:lineRule="exact"/>
              <w:rPr>
                <w:sz w:val="20"/>
                <w:szCs w:val="20"/>
                <w:color w:val="auto"/>
              </w:rPr>
            </w:pPr>
            <w:r>
              <w:rPr>
                <w:rFonts w:ascii="Times New Roman" w:cs="Times New Roman" w:eastAsia="Times New Roman" w:hAnsi="Times New Roman"/>
                <w:sz w:val="18"/>
                <w:szCs w:val="18"/>
                <w:color w:val="auto"/>
              </w:rPr>
              <w:t xml:space="preserve">“Risk Factors” beginning on page </w:t>
            </w:r>
            <w:r>
              <w:rPr>
                <w:rFonts w:ascii="Times New Roman" w:cs="Times New Roman" w:eastAsia="Times New Roman" w:hAnsi="Times New Roman"/>
                <w:sz w:val="18"/>
                <w:szCs w:val="18"/>
                <w:color w:val="0000FF"/>
              </w:rPr>
              <w:t>S-15</w:t>
            </w:r>
            <w:r>
              <w:rPr>
                <w:rFonts w:ascii="Times New Roman" w:cs="Times New Roman" w:eastAsia="Times New Roman" w:hAnsi="Times New Roman"/>
                <w:sz w:val="18"/>
                <w:szCs w:val="18"/>
                <w:color w:val="auto"/>
              </w:rPr>
              <w:t>, as well as the risk factors</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60" w:type="dxa"/>
            <w:vAlign w:val="bottom"/>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in our Annual Report on Form</w:t>
            </w:r>
          </w:p>
        </w:tc>
        <w:tc>
          <w:tcPr>
            <w:tcW w:w="0" w:type="dxa"/>
            <w:vAlign w:val="bottom"/>
          </w:tcPr>
          <w:p>
            <w:pPr>
              <w:spacing w:after="0" w:line="20" w:lineRule="exact"/>
              <w:rPr>
                <w:sz w:val="1"/>
                <w:szCs w:val="1"/>
                <w:color w:val="auto"/>
              </w:rPr>
            </w:pPr>
          </w:p>
        </w:tc>
      </w:tr>
      <w:tr>
        <w:trPr>
          <w:trHeight w:val="156"/>
        </w:trPr>
        <w:tc>
          <w:tcPr>
            <w:tcW w:w="3700" w:type="dxa"/>
            <w:vAlign w:val="bottom"/>
          </w:tcPr>
          <w:p>
            <w:pPr>
              <w:spacing w:after="0"/>
              <w:rPr>
                <w:sz w:val="13"/>
                <w:szCs w:val="13"/>
                <w:color w:val="auto"/>
              </w:rPr>
            </w:pPr>
          </w:p>
        </w:tc>
        <w:tc>
          <w:tcPr>
            <w:tcW w:w="3900" w:type="dxa"/>
            <w:vAlign w:val="bottom"/>
            <w:gridSpan w:val="2"/>
          </w:tcPr>
          <w:p>
            <w:pPr>
              <w:ind w:left="800"/>
              <w:spacing w:after="0" w:line="156" w:lineRule="exact"/>
              <w:rPr>
                <w:sz w:val="20"/>
                <w:szCs w:val="20"/>
                <w:color w:val="auto"/>
              </w:rPr>
            </w:pPr>
            <w:r>
              <w:rPr>
                <w:rFonts w:ascii="Times New Roman" w:cs="Times New Roman" w:eastAsia="Times New Roman" w:hAnsi="Times New Roman"/>
                <w:sz w:val="18"/>
                <w:szCs w:val="18"/>
                <w:color w:val="auto"/>
                <w:w w:val="99"/>
              </w:rPr>
              <w:t>described in Part I, Item 1A “Risk Factors”</w:t>
            </w: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6160" w:type="dxa"/>
            <w:vAlign w:val="bottom"/>
            <w:gridSpan w:val="3"/>
          </w:tcPr>
          <w:p>
            <w:pPr>
              <w:ind w:left="800"/>
              <w:spacing w:after="0" w:line="176" w:lineRule="exact"/>
              <w:rPr>
                <w:sz w:val="20"/>
                <w:szCs w:val="20"/>
                <w:color w:val="auto"/>
              </w:rPr>
            </w:pPr>
            <w:r>
              <w:rPr>
                <w:rFonts w:ascii="Times New Roman" w:cs="Times New Roman" w:eastAsia="Times New Roman" w:hAnsi="Times New Roman"/>
                <w:sz w:val="18"/>
                <w:szCs w:val="18"/>
                <w:color w:val="auto"/>
              </w:rPr>
              <w:t>10-K for the year ended December 31, 2023, filed with the SEC on</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6160" w:type="dxa"/>
            <w:vAlign w:val="bottom"/>
            <w:gridSpan w:val="3"/>
          </w:tcPr>
          <w:p>
            <w:pPr>
              <w:ind w:left="800"/>
              <w:spacing w:after="0" w:line="184" w:lineRule="exact"/>
              <w:rPr>
                <w:sz w:val="20"/>
                <w:szCs w:val="20"/>
                <w:color w:val="auto"/>
              </w:rPr>
            </w:pPr>
            <w:r>
              <w:rPr>
                <w:rFonts w:ascii="Times New Roman" w:cs="Times New Roman" w:eastAsia="Times New Roman" w:hAnsi="Times New Roman"/>
                <w:sz w:val="18"/>
                <w:szCs w:val="18"/>
                <w:color w:val="auto"/>
              </w:rPr>
              <w:t>February  23,  2024,  which  is  incorporated  by  reference  into  this</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prospectus supplement.</w:t>
            </w:r>
          </w:p>
        </w:tc>
        <w:tc>
          <w:tcPr>
            <w:tcW w:w="0" w:type="dxa"/>
            <w:vAlign w:val="bottom"/>
          </w:tcPr>
          <w:p>
            <w:pPr>
              <w:spacing w:after="0"/>
              <w:rPr>
                <w:sz w:val="1"/>
                <w:szCs w:val="1"/>
                <w:color w:val="auto"/>
              </w:rPr>
            </w:pPr>
          </w:p>
        </w:tc>
      </w:tr>
      <w:tr>
        <w:trPr>
          <w:trHeight w:val="28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6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“PWP”.</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of our Class A common stock outstanding as of the date of this prospectus supplement excludes 41,630,927 shares of Class A common stock issuable in exchange for PWP OpCo Class A partnership units and upon conversion of shares of our Class B common stock. If all outstanding PWP OpCo Class A partnership units were exchanged and all outstanding shares of Class B common stock were converted, we would have 87,559,105 shares of Class A common stock outstanding as of the date of this prospectus supplement.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unless the context requires otherwise, in this prospectus supplement the number of shares of Class A common stock outstanding as of the date of this prospectus supplement excludes:</w:t>
      </w:r>
    </w:p>
    <w:p>
      <w:pPr>
        <w:spacing w:after="0" w:line="108" w:lineRule="exact"/>
        <w:rPr>
          <w:sz w:val="20"/>
          <w:szCs w:val="20"/>
          <w:color w:val="auto"/>
        </w:rPr>
      </w:pPr>
    </w:p>
    <w:p>
      <w:pPr>
        <w:ind w:left="640" w:right="2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6,813,836 shares of Class A common stock available for future issuance under the Perella Weinberg Partners 2021 Omnibus Incentive Plan (the “Incentive Plan”);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292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29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40" w:hanging="322"/>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11,533,195 shares of our Class A common stock issuable upon the settlement (after giving effect to expected ordinary course net settlement) of outstanding service-based restricted stock units and outstanding service and performance-based restricted stock units that have met their performance-based vesting requirements as of December 31, 2023, 847,175 of which are expected to vest in March 2024 and 92,098 and 1,193,231 of which vested on January 19, 2024 and February 26, 2024, respectively.</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supplement, including the number of shares of Class A common stock that will be outstanding immediately after this offering, assumes no exercise by the underwriter of its option to purchase additional shares, no exchange of the PWP OpCo Class A partnership units, no conversion of the shares of Class B common stock and no settlement of the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9900"/>
          </w:cols>
          <w:pgMar w:left="1000" w:top="1440" w:right="9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96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17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summary consolidated financial data set forth below for the years ended December 31, 2023, 2022 and 2021 has been derived from our audited consolidated financial statements incorporated in this prospectus supplement and accompanying prospectus by reference to our Annual Report on Form 10-K for the year ended December 31, 2023.</w:t>
      </w:r>
    </w:p>
    <w:p>
      <w:pPr>
        <w:spacing w:after="0" w:line="122"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You should read this data together with our consolidated financial statements and related notes and the section titled “Management’s Discussion and Analysis of Financial Condition and Results of Operations” in our Annual Report on Form 10-K for the year ended December 31, 2023 incorporated by reference in this prospectus supplement and the accompanying prospectus. Our historical results are not necessarily indicative of our future results. The summary consolidated financial data in this section are not intended to replace the consolidated financial statements and are qualified in their entirety by the consolidated financial statements and related notes incorporated by reference in this prospectus supplement and the accompanying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504,364</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600,694</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134,384</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763,752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735,078</w:t>
            </w:r>
          </w:p>
        </w:tc>
        <w:tc>
          <w:tcPr>
            <w:tcW w:w="0" w:type="dxa"/>
            <w:vAlign w:val="bottom"/>
          </w:tcPr>
          <w:p>
            <w:pPr>
              <w:spacing w:after="0"/>
              <w:rPr>
                <w:sz w:val="1"/>
                <w:szCs w:val="1"/>
                <w:color w:val="auto"/>
              </w:rPr>
            </w:pPr>
          </w:p>
        </w:tc>
      </w:tr>
      <w:tr>
        <w:trPr>
          <w:trHeight w:val="22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0" w:type="dxa"/>
            <w:vAlign w:val="bottom"/>
          </w:tcPr>
          <w:p>
            <w:pPr>
              <w:spacing w:after="0"/>
              <w:rPr>
                <w:sz w:val="1"/>
                <w:szCs w:val="1"/>
                <w:color w:val="auto"/>
              </w:rPr>
            </w:pPr>
          </w:p>
        </w:tc>
      </w:tr>
      <w:tr>
        <w:trPr>
          <w:trHeight w:val="22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0" w:type="dxa"/>
            <w:vAlign w:val="bottom"/>
          </w:tcPr>
          <w:p>
            <w:pPr>
              <w:spacing w:after="0"/>
              <w:rPr>
                <w:sz w:val="1"/>
                <w:szCs w:val="1"/>
                <w:color w:val="auto"/>
              </w:rPr>
            </w:pPr>
          </w:p>
        </w:tc>
      </w:tr>
      <w:tr>
        <w:trPr>
          <w:trHeight w:val="22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0" w:type="dxa"/>
            <w:vAlign w:val="bottom"/>
          </w:tcPr>
          <w:p>
            <w:pPr>
              <w:spacing w:after="0"/>
              <w:rPr>
                <w:sz w:val="1"/>
                <w:szCs w:val="1"/>
                <w:color w:val="auto"/>
              </w:rPr>
            </w:pPr>
          </w:p>
        </w:tc>
      </w:tr>
      <w:tr>
        <w:trPr>
          <w:trHeight w:val="22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In addition to the financial measures presented in accordance with GAAP, we monitor Adjusted total compensation and benefits, Adjusted non-compensation expenses, Adjusted operating income (loss), Adjusted income (loss) before income taxes, Adjusted income tax expense (benefit), Adjusted net income (loss) and Adjusted if-converted net income (loss), each of which is a non-GAAP measure, to manage our business, make planning decisions, evaluate our performance and allocate resources.</w:t>
      </w:r>
    </w:p>
    <w:p>
      <w:pPr>
        <w:spacing w:after="0" w:line="126" w:lineRule="exact"/>
        <w:rPr>
          <w:sz w:val="20"/>
          <w:szCs w:val="20"/>
          <w:color w:val="auto"/>
        </w:rPr>
      </w:pPr>
    </w:p>
    <w:p>
      <w:pPr>
        <w:jc w:val="both"/>
        <w:ind w:left="660" w:right="20" w:hanging="322"/>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t>
      </w:r>
      <w:r>
        <w:rPr>
          <w:rFonts w:ascii="Times New Roman" w:cs="Times New Roman" w:eastAsia="Times New Roman" w:hAnsi="Times New Roman"/>
          <w:sz w:val="18"/>
          <w:szCs w:val="18"/>
          <w:u w:val="single" w:color="auto"/>
          <w:color w:val="auto"/>
        </w:rPr>
        <w:t>Adjusted total compensation and benefits</w:t>
      </w:r>
      <w:r>
        <w:rPr>
          <w:rFonts w:ascii="Times New Roman" w:cs="Times New Roman" w:eastAsia="Times New Roman" w:hAnsi="Times New Roman"/>
          <w:sz w:val="18"/>
          <w:szCs w:val="18"/>
          <w:color w:val="auto"/>
        </w:rPr>
        <w:t>” as total compensation and benefits excluding (i) equity-based compensation related to the Professional Partners Awards and the Legacy Awards (both as defined below), (ii) transaction-related compensation associated with the Business Combination (as defined below) and (iii) business realignment costs.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S-9</w:t>
      </w:r>
    </w:p>
    <w:p>
      <w:pPr>
        <w:sectPr>
          <w:pgSz w:w="11900" w:h="16838" w:orient="portrait"/>
          <w:cols w:equalWidth="0" w:num="1">
            <w:col w:w="9920"/>
          </w:cols>
          <w:pgMar w:left="98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4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t>
      </w:r>
      <w:r>
        <w:rPr>
          <w:rFonts w:ascii="Times New Roman" w:cs="Times New Roman" w:eastAsia="Times New Roman" w:hAnsi="Times New Roman"/>
          <w:sz w:val="18"/>
          <w:szCs w:val="18"/>
          <w:u w:val="single" w:color="auto"/>
          <w:color w:val="auto"/>
        </w:rPr>
        <w:t>Adjusted non-compensation expenses</w:t>
      </w:r>
      <w:r>
        <w:rPr>
          <w:rFonts w:ascii="Times New Roman" w:cs="Times New Roman" w:eastAsia="Times New Roman" w:hAnsi="Times New Roman"/>
          <w:sz w:val="18"/>
          <w:szCs w:val="18"/>
          <w:color w:val="auto"/>
        </w:rPr>
        <w:t>” as non-compensation expenses excluding (i) TPH Business Combination (as defined below) related expenses, (ii) Business Combination transaction-related non-compensation expenses, (iii) Warrant Exchange (as defined below) transaction expenses and (iv) Settlement (as defined below) related expenses.</w:t>
      </w:r>
    </w:p>
    <w:p>
      <w:pPr>
        <w:spacing w:after="0" w:line="121" w:lineRule="exact"/>
        <w:rPr>
          <w:rFonts w:ascii="Times New Roman" w:cs="Times New Roman" w:eastAsia="Times New Roman" w:hAnsi="Times New Roman"/>
          <w:sz w:val="18"/>
          <w:szCs w:val="18"/>
          <w:color w:val="auto"/>
        </w:rPr>
      </w:pPr>
    </w:p>
    <w:p>
      <w:pPr>
        <w:jc w:val="both"/>
        <w:ind w:left="640" w:hanging="322"/>
        <w:spacing w:after="0" w:line="25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t>
      </w:r>
      <w:r>
        <w:rPr>
          <w:rFonts w:ascii="Times New Roman" w:cs="Times New Roman" w:eastAsia="Times New Roman" w:hAnsi="Times New Roman"/>
          <w:sz w:val="18"/>
          <w:szCs w:val="18"/>
          <w:u w:val="single" w:color="auto"/>
          <w:color w:val="auto"/>
        </w:rPr>
        <w:t>Adjusted operating income (loss)</w:t>
      </w:r>
      <w:r>
        <w:rPr>
          <w:rFonts w:ascii="Times New Roman" w:cs="Times New Roman" w:eastAsia="Times New Roman" w:hAnsi="Times New Roman"/>
          <w:sz w:val="18"/>
          <w:szCs w:val="18"/>
          <w:color w:val="auto"/>
        </w:rPr>
        <w:t>” as operating income (loss) excluding (i) equity-based compensation related to the Professional Partners Awards and the Legacy Awards, (ii) transaction-related compensation associated with the Business Combination, (iii) business realignment costs, (iv) TPH Business Combination related expenses, (v) Business Combination transaction-related non-compensation expenses, (vi) Warrant Exchange transaction expenses and (vii) Settlement related expenses.</w:t>
      </w:r>
    </w:p>
    <w:p>
      <w:pPr>
        <w:spacing w:after="0" w:line="129" w:lineRule="exact"/>
        <w:rPr>
          <w:rFonts w:ascii="Times New Roman" w:cs="Times New Roman" w:eastAsia="Times New Roman" w:hAnsi="Times New Roman"/>
          <w:sz w:val="18"/>
          <w:szCs w:val="18"/>
          <w:color w:val="auto"/>
        </w:rPr>
      </w:pPr>
    </w:p>
    <w:p>
      <w:pPr>
        <w:jc w:val="both"/>
        <w:ind w:left="640" w:right="20" w:hanging="322"/>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t>
      </w:r>
      <w:r>
        <w:rPr>
          <w:rFonts w:ascii="Times New Roman" w:cs="Times New Roman" w:eastAsia="Times New Roman" w:hAnsi="Times New Roman"/>
          <w:sz w:val="18"/>
          <w:szCs w:val="18"/>
          <w:u w:val="single" w:color="auto"/>
          <w:color w:val="auto"/>
        </w:rPr>
        <w:t>Adjusted income (loss) before income taxes</w:t>
      </w:r>
      <w:r>
        <w:rPr>
          <w:rFonts w:ascii="Times New Roman" w:cs="Times New Roman" w:eastAsia="Times New Roman" w:hAnsi="Times New Roman"/>
          <w:sz w:val="18"/>
          <w:szCs w:val="18"/>
          <w:color w:val="auto"/>
        </w:rPr>
        <w:t>” as income (loss) before income taxes excluding (i) equity-based compensation related to the Professional Partners Awards and the Legacy Awards, (ii) transaction-related compensation associated with the Business Combination, (iii) business realignment costs, (iv) TPH Business Combination related expenses,</w:t>
      </w:r>
    </w:p>
    <w:p>
      <w:pPr>
        <w:spacing w:after="0" w:line="1" w:lineRule="exact"/>
        <w:rPr>
          <w:rFonts w:ascii="Times New Roman" w:cs="Times New Roman" w:eastAsia="Times New Roman" w:hAnsi="Times New Roman"/>
          <w:sz w:val="18"/>
          <w:szCs w:val="18"/>
          <w:color w:val="auto"/>
        </w:rPr>
      </w:pPr>
    </w:p>
    <w:p>
      <w:pPr>
        <w:jc w:val="both"/>
        <w:ind w:left="640" w:right="20" w:firstLine="2"/>
        <w:spacing w:after="0" w:line="255" w:lineRule="auto"/>
        <w:tabs>
          <w:tab w:leader="none" w:pos="91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transaction-related non-compensation expenses, (vi) Warrant Exchange transaction expenses, (vii) Settlement related expenses, (viii) the change in fair value of warrant liabilities, (ix) the loss on debt extinguishment, (x) amortization of debt costs and (xi) other adjustments to non-operating income (expenses).</w:t>
      </w:r>
    </w:p>
    <w:p>
      <w:pPr>
        <w:spacing w:after="0" w:line="13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t>
      </w:r>
      <w:r>
        <w:rPr>
          <w:rFonts w:ascii="Times New Roman" w:cs="Times New Roman" w:eastAsia="Times New Roman" w:hAnsi="Times New Roman"/>
          <w:sz w:val="18"/>
          <w:szCs w:val="18"/>
          <w:u w:val="single" w:color="auto"/>
          <w:color w:val="auto"/>
        </w:rPr>
        <w:t>Adjusted income tax expense (benefit)</w:t>
      </w:r>
      <w:r>
        <w:rPr>
          <w:rFonts w:ascii="Times New Roman" w:cs="Times New Roman" w:eastAsia="Times New Roman" w:hAnsi="Times New Roman"/>
          <w:sz w:val="18"/>
          <w:szCs w:val="18"/>
          <w:color w:val="auto"/>
        </w:rPr>
        <w:t>” as income tax expense (benefit) adjusted for the tax impact of non-GAAP adjustments.</w:t>
      </w:r>
    </w:p>
    <w:p>
      <w:pPr>
        <w:spacing w:after="0" w:line="107" w:lineRule="exact"/>
        <w:rPr>
          <w:rFonts w:ascii="Times New Roman" w:cs="Times New Roman" w:eastAsia="Times New Roman" w:hAnsi="Times New Roman"/>
          <w:sz w:val="18"/>
          <w:szCs w:val="18"/>
          <w:color w:val="auto"/>
        </w:rPr>
      </w:pPr>
    </w:p>
    <w:p>
      <w:pPr>
        <w:jc w:val="both"/>
        <w:ind w:left="640" w:hanging="322"/>
        <w:spacing w:after="0" w:line="25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t>
      </w:r>
      <w:r>
        <w:rPr>
          <w:rFonts w:ascii="Times New Roman" w:cs="Times New Roman" w:eastAsia="Times New Roman" w:hAnsi="Times New Roman"/>
          <w:sz w:val="18"/>
          <w:szCs w:val="18"/>
          <w:u w:val="single" w:color="auto"/>
          <w:color w:val="auto"/>
        </w:rPr>
        <w:t>Adjusted net income (loss)</w:t>
      </w:r>
      <w:r>
        <w:rPr>
          <w:rFonts w:ascii="Times New Roman" w:cs="Times New Roman" w:eastAsia="Times New Roman" w:hAnsi="Times New Roman"/>
          <w:sz w:val="18"/>
          <w:szCs w:val="18"/>
          <w:color w:val="auto"/>
        </w:rPr>
        <w:t>” as net income (loss) excluding (i) equity-based compensation related to the Professional Partners Awards and the Legacy Awards, (ii) transaction-related compensation associated with the Business Combination, (iii) business realignment costs, (iv) TPH Business Combination related expenses, (v) Business Combination transaction-related non-compensation expenses, (vi) Warrant Exchange transaction expenses, (vii) Settlement related expenses, (viii) the change in fair value of warrant liabilities, (ix) the loss on debt extinguishment, (x) amortization of debt costs, (xi) other adjustments to non-operating income (expenses) and (xii) the tax impact of non-GAAP adjustments.</w:t>
      </w:r>
    </w:p>
    <w:p>
      <w:pPr>
        <w:spacing w:after="0" w:line="133"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defined “</w:t>
      </w:r>
      <w:r>
        <w:rPr>
          <w:rFonts w:ascii="Times New Roman" w:cs="Times New Roman" w:eastAsia="Times New Roman" w:hAnsi="Times New Roman"/>
          <w:sz w:val="18"/>
          <w:szCs w:val="18"/>
          <w:u w:val="single" w:color="auto"/>
          <w:color w:val="auto"/>
        </w:rPr>
        <w:t>Adjusted if-converted net income (loss)</w:t>
      </w:r>
      <w:r>
        <w:rPr>
          <w:rFonts w:ascii="Times New Roman" w:cs="Times New Roman" w:eastAsia="Times New Roman" w:hAnsi="Times New Roman"/>
          <w:sz w:val="18"/>
          <w:szCs w:val="18"/>
          <w:color w:val="auto"/>
        </w:rPr>
        <w:t>” as Adjusted net income (loss) less Adjusted income tax expense (benefits) and including the if-converted tax impact.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incorporated by reference in this prospectus supplement.</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S-10</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267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26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Set forth in the tables below are unaudited reconciliations of these non-GAAP financial measures to the nearest financial measure prepared in accordance with GAAP.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compensation and benefits-GAAP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608,947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600,694</w:t>
            </w:r>
          </w:p>
        </w:tc>
        <w:tc>
          <w:tcPr>
            <w:tcW w:w="0" w:type="dxa"/>
            <w:vAlign w:val="bottom"/>
          </w:tcPr>
          <w:p>
            <w:pPr>
              <w:spacing w:after="0"/>
              <w:rPr>
                <w:sz w:val="1"/>
                <w:szCs w:val="1"/>
                <w:color w:val="auto"/>
              </w:rPr>
            </w:pPr>
          </w:p>
        </w:tc>
      </w:tr>
      <w:tr>
        <w:trPr>
          <w:trHeight w:val="181"/>
        </w:trPr>
        <w:tc>
          <w:tcPr>
            <w:tcW w:w="55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Equity-based compensation not dilutive to investors in PWP or PWP</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4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OpCo</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Public company transaction related incentives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(44,998)</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realignment costs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total compensation and benefits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504,257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Non-compensation expenses—GAAP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154,805</w:t>
            </w:r>
          </w:p>
        </w:tc>
        <w:tc>
          <w:tcPr>
            <w:tcW w:w="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134,384</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TPH Business Combination related expenses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Combination transaction expenses</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Warrant Exchange transaction expenses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Settlement related expenses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non-compensation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144,024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123,116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122,973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(loss)—GAAP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(115,100)</w:t>
            </w: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(47,733)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66,584</w:t>
            </w:r>
          </w:p>
        </w:tc>
        <w:tc>
          <w:tcPr>
            <w:tcW w:w="0" w:type="dxa"/>
            <w:vAlign w:val="bottom"/>
          </w:tcPr>
          <w:p>
            <w:pPr>
              <w:spacing w:after="0"/>
              <w:rPr>
                <w:sz w:val="1"/>
                <w:szCs w:val="1"/>
                <w:color w:val="auto"/>
              </w:rPr>
            </w:pPr>
          </w:p>
        </w:tc>
      </w:tr>
      <w:tr>
        <w:trPr>
          <w:trHeight w:val="181"/>
        </w:trPr>
        <w:tc>
          <w:tcPr>
            <w:tcW w:w="554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Equity-based compensation not dilutive to investors in PWP or PWP</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4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OpCo</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Public company transaction related incentives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realignment costs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TPH Business Combination related expenses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Combination transaction expenses</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Warrant Exchange transaction expenses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Settlement related expenses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50,028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174,432</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9920"/>
          </w:cols>
          <w:pgMar w:left="980" w:top="1440" w:right="999" w:bottom="1440" w:gutter="0" w:footer="0" w:header="0"/>
        </w:sectPr>
      </w:pPr>
    </w:p>
    <w:bookmarkStart w:id="15" w:name="page16"/>
    <w:bookmarkEnd w:id="15"/>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1"/>
        </w:trPr>
        <w:tc>
          <w:tcPr>
            <w:tcW w:w="660" w:type="dxa"/>
            <w:vAlign w:val="bottom"/>
            <w:tcBorders>
              <w:top w:val="single" w:sz="8" w:color="auto"/>
              <w:left w:val="single" w:sz="8" w:color="auto"/>
            </w:tcBorders>
          </w:tcPr>
          <w:p>
            <w:pPr>
              <w:spacing w:after="0"/>
              <w:rPr>
                <w:sz w:val="24"/>
                <w:szCs w:val="24"/>
                <w:color w:val="auto"/>
              </w:rPr>
            </w:pPr>
          </w:p>
        </w:tc>
        <w:tc>
          <w:tcPr>
            <w:tcW w:w="5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r>
      <w:tr>
        <w:trPr>
          <w:trHeight w:val="23"/>
        </w:trPr>
        <w:tc>
          <w:tcPr>
            <w:tcW w:w="660" w:type="dxa"/>
            <w:vAlign w:val="bottom"/>
            <w:tcBorders>
              <w:left w:val="single" w:sz="8" w:color="auto"/>
            </w:tcBorders>
          </w:tcPr>
          <w:p>
            <w:pPr>
              <w:spacing w:after="0"/>
              <w:rPr>
                <w:sz w:val="2"/>
                <w:szCs w:val="2"/>
                <w:color w:val="auto"/>
              </w:rPr>
            </w:pPr>
          </w:p>
        </w:tc>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r>
      <w:tr>
        <w:trPr>
          <w:trHeight w:val="190"/>
        </w:trPr>
        <w:tc>
          <w:tcPr>
            <w:tcW w:w="660" w:type="dxa"/>
            <w:vAlign w:val="bottom"/>
            <w:tcBorders>
              <w:left w:val="single" w:sz="8" w:color="auto"/>
            </w:tcBorders>
          </w:tcPr>
          <w:p>
            <w:pPr>
              <w:spacing w:after="0"/>
              <w:rPr>
                <w:sz w:val="16"/>
                <w:szCs w:val="16"/>
                <w:color w:val="auto"/>
              </w:rPr>
            </w:pPr>
          </w:p>
        </w:tc>
        <w:tc>
          <w:tcPr>
            <w:tcW w:w="5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right w:val="single" w:sz="8" w:color="auto"/>
            </w:tcBorders>
          </w:tcPr>
          <w:p>
            <w:pPr>
              <w:spacing w:after="0"/>
              <w:rPr>
                <w:sz w:val="16"/>
                <w:szCs w:val="16"/>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taxes—GAAP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22,950</w:t>
            </w:r>
          </w:p>
        </w:tc>
        <w:tc>
          <w:tcPr>
            <w:tcW w:w="680" w:type="dxa"/>
            <w:vAlign w:val="bottom"/>
            <w:tcBorders>
              <w:right w:val="single" w:sz="8" w:color="auto"/>
            </w:tcBorders>
          </w:tcPr>
          <w:p>
            <w:pPr>
              <w:spacing w:after="0"/>
              <w:rPr>
                <w:sz w:val="19"/>
                <w:szCs w:val="19"/>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55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Equity-based compensation not dilutive to investors in PWP or PWP</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8"/>
        </w:trPr>
        <w:tc>
          <w:tcPr>
            <w:tcW w:w="660" w:type="dxa"/>
            <w:vAlign w:val="bottom"/>
            <w:tcBorders>
              <w:left w:val="single" w:sz="8" w:color="auto"/>
            </w:tcBorders>
          </w:tcPr>
          <w:p>
            <w:pPr>
              <w:spacing w:after="0"/>
              <w:rPr>
                <w:sz w:val="20"/>
                <w:szCs w:val="20"/>
                <w:color w:val="auto"/>
              </w:rPr>
            </w:pPr>
          </w:p>
        </w:tc>
        <w:tc>
          <w:tcPr>
            <w:tcW w:w="554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OpCo</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680" w:type="dxa"/>
            <w:vAlign w:val="bottom"/>
            <w:tcBorders>
              <w:right w:val="single" w:sz="8" w:color="auto"/>
            </w:tcBorders>
          </w:tcPr>
          <w:p>
            <w:pPr>
              <w:spacing w:after="0"/>
              <w:rPr>
                <w:sz w:val="20"/>
                <w:szCs w:val="20"/>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Public company transaction related incentives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44,998</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realignment costs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TPH Business Combination related expenses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Combination transaction expenses</w:t>
            </w:r>
            <w:r>
              <w:rPr>
                <w:rFonts w:ascii="Times New Roman" w:cs="Times New Roman" w:eastAsia="Times New Roman" w:hAnsi="Times New Roman"/>
                <w:sz w:val="23"/>
                <w:szCs w:val="23"/>
                <w:color w:val="auto"/>
                <w:vertAlign w:val="superscript"/>
              </w:rPr>
              <w:t>(5)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Warrant Exchange transaction expenses</w:t>
            </w:r>
            <w:r>
              <w:rPr>
                <w:rFonts w:ascii="Times New Roman" w:cs="Times New Roman" w:eastAsia="Times New Roman" w:hAnsi="Times New Roman"/>
                <w:sz w:val="23"/>
                <w:szCs w:val="23"/>
                <w:color w:val="auto"/>
                <w:vertAlign w:val="superscript"/>
              </w:rPr>
              <w:t>(6)</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Settlement related expenses</w:t>
            </w:r>
            <w:r>
              <w:rPr>
                <w:rFonts w:ascii="Times New Roman" w:cs="Times New Roman" w:eastAsia="Times New Roman" w:hAnsi="Times New Roman"/>
                <w:sz w:val="23"/>
                <w:szCs w:val="23"/>
                <w:color w:val="auto"/>
                <w:vertAlign w:val="superscript"/>
              </w:rPr>
              <w:t>(7)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Change in fair value of warrant liabilities</w:t>
            </w:r>
            <w:r>
              <w:rPr>
                <w:rFonts w:ascii="Times New Roman" w:cs="Times New Roman" w:eastAsia="Times New Roman" w:hAnsi="Times New Roman"/>
                <w:sz w:val="23"/>
                <w:szCs w:val="23"/>
                <w:color w:val="auto"/>
                <w:vertAlign w:val="superscript"/>
              </w:rPr>
              <w:t>(8)</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Loss on debt extinguishment</w:t>
            </w:r>
            <w:r>
              <w:rPr>
                <w:rFonts w:ascii="Times New Roman" w:cs="Times New Roman" w:eastAsia="Times New Roman" w:hAnsi="Times New Roman"/>
                <w:sz w:val="23"/>
                <w:szCs w:val="23"/>
                <w:color w:val="auto"/>
                <w:vertAlign w:val="superscript"/>
              </w:rPr>
              <w:t>(9)</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Amortization of debt costs</w:t>
            </w:r>
            <w:r>
              <w:rPr>
                <w:rFonts w:ascii="Times New Roman" w:cs="Times New Roman" w:eastAsia="Times New Roman" w:hAnsi="Times New Roman"/>
                <w:sz w:val="23"/>
                <w:szCs w:val="23"/>
                <w:color w:val="auto"/>
                <w:vertAlign w:val="superscript"/>
              </w:rPr>
              <w:t>(10)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5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Other adjustments to non-operating income (expenses)</w:t>
            </w:r>
            <w:r>
              <w:rPr>
                <w:rFonts w:ascii="Times New Roman" w:cs="Times New Roman" w:eastAsia="Times New Roman" w:hAnsi="Times New Roman"/>
                <w:sz w:val="23"/>
                <w:szCs w:val="23"/>
                <w:color w:val="auto"/>
                <w:vertAlign w:val="superscript"/>
              </w:rPr>
              <w:t>(11)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(loss) before 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177,190</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expense (benefit)—GAAP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18,927</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540" w:type="dxa"/>
            <w:vAlign w:val="bottom"/>
            <w:tcBorders>
              <w:bottom w:val="single" w:sz="8" w:color="CCEEFF"/>
            </w:tcBorders>
          </w:tcPr>
          <w:p>
            <w:pPr>
              <w:ind w:left="40"/>
              <w:spacing w:after="0" w:line="230" w:lineRule="exact"/>
              <w:rPr>
                <w:sz w:val="20"/>
                <w:szCs w:val="20"/>
                <w:color w:val="auto"/>
              </w:rPr>
            </w:pPr>
            <w:r>
              <w:rPr>
                <w:rFonts w:ascii="Times New Roman" w:cs="Times New Roman" w:eastAsia="Times New Roman" w:hAnsi="Times New Roman"/>
                <w:sz w:val="18"/>
                <w:szCs w:val="18"/>
                <w:color w:val="auto"/>
              </w:rPr>
              <w:t>Tax impact of non-GAAP adjustments</w:t>
            </w:r>
            <w:r>
              <w:rPr>
                <w:rFonts w:ascii="Times New Roman" w:cs="Times New Roman" w:eastAsia="Times New Roman" w:hAnsi="Times New Roman"/>
                <w:sz w:val="23"/>
                <w:szCs w:val="23"/>
                <w:color w:val="auto"/>
                <w:vertAlign w:val="superscript"/>
              </w:rPr>
              <w:t>(12)</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tax expense (benefit)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16,654</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-3130550</wp:posOffset>
            </wp:positionV>
            <wp:extent cx="628332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-2719070</wp:posOffset>
            </wp:positionV>
            <wp:extent cx="628332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-2427605</wp:posOffset>
            </wp:positionV>
            <wp:extent cx="628332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-2136140</wp:posOffset>
            </wp:positionV>
            <wp:extent cx="628332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-1844675</wp:posOffset>
            </wp:positionV>
            <wp:extent cx="628332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-1553210</wp:posOffset>
            </wp:positionV>
            <wp:extent cx="628332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-1235710</wp:posOffset>
            </wp:positionV>
            <wp:extent cx="62833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-918845</wp:posOffset>
            </wp:positionV>
            <wp:extent cx="628332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47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4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(loss)—GAAP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4,023</w:t>
            </w:r>
          </w:p>
        </w:tc>
        <w:tc>
          <w:tcPr>
            <w:tcW w:w="0" w:type="dxa"/>
            <w:vAlign w:val="bottom"/>
          </w:tcPr>
          <w:p>
            <w:pPr>
              <w:spacing w:after="0"/>
              <w:rPr>
                <w:sz w:val="1"/>
                <w:szCs w:val="1"/>
                <w:color w:val="auto"/>
              </w:rPr>
            </w:pPr>
          </w:p>
        </w:tc>
      </w:tr>
      <w:tr>
        <w:trPr>
          <w:trHeight w:val="181"/>
        </w:trPr>
        <w:tc>
          <w:tcPr>
            <w:tcW w:w="53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Equity-based compensation not dilutive to investors in PWP or PWP</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OpCo</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Public company transaction related incentives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44,998</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realignment costs</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TPH Business Combination related expenses</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Business Combination transaction expenses</w:t>
            </w:r>
            <w:r>
              <w:rPr>
                <w:rFonts w:ascii="Times New Roman" w:cs="Times New Roman" w:eastAsia="Times New Roman" w:hAnsi="Times New Roman"/>
                <w:sz w:val="23"/>
                <w:szCs w:val="23"/>
                <w:color w:val="auto"/>
                <w:vertAlign w:val="superscript"/>
              </w:rPr>
              <w:t>(5)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Warrant Exchange transaction expenses</w:t>
            </w:r>
            <w:r>
              <w:rPr>
                <w:rFonts w:ascii="Times New Roman" w:cs="Times New Roman" w:eastAsia="Times New Roman" w:hAnsi="Times New Roman"/>
                <w:sz w:val="23"/>
                <w:szCs w:val="23"/>
                <w:color w:val="auto"/>
                <w:vertAlign w:val="superscript"/>
              </w:rPr>
              <w:t>(6)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Settlement related expenses</w:t>
            </w:r>
            <w:r>
              <w:rPr>
                <w:rFonts w:ascii="Times New Roman" w:cs="Times New Roman" w:eastAsia="Times New Roman" w:hAnsi="Times New Roman"/>
                <w:sz w:val="23"/>
                <w:szCs w:val="23"/>
                <w:color w:val="auto"/>
                <w:vertAlign w:val="superscript"/>
              </w:rPr>
              <w:t>(7)</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Change in fair value of warrant liabilities</w:t>
            </w:r>
            <w:r>
              <w:rPr>
                <w:rFonts w:ascii="Times New Roman" w:cs="Times New Roman" w:eastAsia="Times New Roman" w:hAnsi="Times New Roman"/>
                <w:sz w:val="23"/>
                <w:szCs w:val="23"/>
                <w:color w:val="auto"/>
                <w:vertAlign w:val="superscript"/>
              </w:rPr>
              <w:t>(8)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29"/>
        </w:trPr>
        <w:tc>
          <w:tcPr>
            <w:tcW w:w="53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Loss on debt extinguishment</w:t>
            </w:r>
            <w:r>
              <w:rPr>
                <w:rFonts w:ascii="Times New Roman" w:cs="Times New Roman" w:eastAsia="Times New Roman" w:hAnsi="Times New Roman"/>
                <w:sz w:val="23"/>
                <w:szCs w:val="23"/>
                <w:color w:val="auto"/>
                <w:vertAlign w:val="superscript"/>
              </w:rPr>
              <w:t>(9)</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Amortization of debt costs</w:t>
            </w:r>
            <w:r>
              <w:rPr>
                <w:rFonts w:ascii="Times New Roman" w:cs="Times New Roman" w:eastAsia="Times New Roman" w:hAnsi="Times New Roman"/>
                <w:sz w:val="23"/>
                <w:szCs w:val="23"/>
                <w:color w:val="auto"/>
                <w:vertAlign w:val="superscript"/>
              </w:rPr>
              <w:t>(10)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Other adjustments to non-operating income (expenses)</w:t>
            </w:r>
            <w:r>
              <w:rPr>
                <w:rFonts w:ascii="Times New Roman" w:cs="Times New Roman" w:eastAsia="Times New Roman" w:hAnsi="Times New Roman"/>
                <w:sz w:val="23"/>
                <w:szCs w:val="23"/>
                <w:color w:val="auto"/>
                <w:vertAlign w:val="superscript"/>
              </w:rPr>
              <w:t>(11)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Tax impact of non-GAAP adjustments</w:t>
            </w:r>
            <w:r>
              <w:rPr>
                <w:rFonts w:ascii="Times New Roman" w:cs="Times New Roman" w:eastAsia="Times New Roman" w:hAnsi="Times New Roman"/>
                <w:sz w:val="23"/>
                <w:szCs w:val="23"/>
                <w:color w:val="auto"/>
                <w:vertAlign w:val="superscript"/>
              </w:rPr>
              <w:t>(12)</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160,536</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Adjusted income tax expense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40"/>
              <w:spacing w:after="0" w:line="230" w:lineRule="exact"/>
              <w:rPr>
                <w:sz w:val="20"/>
                <w:szCs w:val="20"/>
                <w:color w:val="auto"/>
              </w:rPr>
            </w:pPr>
            <w:r>
              <w:rPr>
                <w:rFonts w:ascii="Times New Roman" w:cs="Times New Roman" w:eastAsia="Times New Roman" w:hAnsi="Times New Roman"/>
                <w:sz w:val="18"/>
                <w:szCs w:val="18"/>
                <w:color w:val="auto"/>
              </w:rPr>
              <w:t>Add: If-converted tax impact</w:t>
            </w:r>
            <w:r>
              <w:rPr>
                <w:rFonts w:ascii="Times New Roman" w:cs="Times New Roman" w:eastAsia="Times New Roman" w:hAnsi="Times New Roman"/>
                <w:sz w:val="23"/>
                <w:szCs w:val="23"/>
                <w:color w:val="auto"/>
                <w:vertAlign w:val="superscript"/>
              </w:rPr>
              <w:t>(13)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if-converted 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Weighted-average diluted shares of Class A common stock</w:t>
            </w: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86,779,052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89,755,632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Weighted average number of incremental shares from assumed vesting</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00" w:type="dxa"/>
            <w:vAlign w:val="bottom"/>
            <w:tcBorders>
              <w:bottom w:val="single" w:sz="8" w:color="CCEEFF"/>
            </w:tcBorders>
          </w:tcPr>
          <w:p>
            <w:pPr>
              <w:ind w:left="200"/>
              <w:spacing w:after="0" w:line="237" w:lineRule="exact"/>
              <w:rPr>
                <w:sz w:val="20"/>
                <w:szCs w:val="20"/>
                <w:color w:val="auto"/>
              </w:rPr>
            </w:pPr>
            <w:r>
              <w:rPr>
                <w:rFonts w:ascii="Times New Roman" w:cs="Times New Roman" w:eastAsia="Times New Roman" w:hAnsi="Times New Roman"/>
                <w:sz w:val="18"/>
                <w:szCs w:val="18"/>
                <w:color w:val="auto"/>
              </w:rPr>
              <w:t>of RSUs and PSUs</w:t>
            </w:r>
            <w:r>
              <w:rPr>
                <w:rFonts w:ascii="Times New Roman" w:cs="Times New Roman" w:eastAsia="Times New Roman" w:hAnsi="Times New Roman"/>
                <w:sz w:val="23"/>
                <w:szCs w:val="23"/>
                <w:color w:val="auto"/>
                <w:vertAlign w:val="superscript"/>
              </w:rPr>
              <w:t>(14)</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2,186,189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369,413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40"/>
              <w:spacing w:after="0" w:line="160" w:lineRule="exact"/>
              <w:rPr>
                <w:sz w:val="20"/>
                <w:szCs w:val="20"/>
                <w:color w:val="auto"/>
              </w:rPr>
            </w:pPr>
            <w:r>
              <w:rPr>
                <w:rFonts w:ascii="Times New Roman" w:cs="Times New Roman" w:eastAsia="Times New Roman" w:hAnsi="Times New Roman"/>
                <w:sz w:val="18"/>
                <w:szCs w:val="18"/>
                <w:b w:val="1"/>
                <w:bCs w:val="1"/>
                <w:color w:val="auto"/>
                <w:w w:val="99"/>
              </w:rPr>
              <w:t>Adjusted Weighted-average diluted shares of Class A common stock</w:t>
            </w: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88,965,241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90,125,045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CCEEFF"/>
          </w:tcPr>
          <w:p>
            <w:pPr>
              <w:ind w:left="40"/>
              <w:spacing w:after="0" w:line="179" w:lineRule="exact"/>
              <w:rPr>
                <w:sz w:val="20"/>
                <w:szCs w:val="20"/>
                <w:color w:val="auto"/>
              </w:rPr>
            </w:pPr>
            <w:r>
              <w:rPr>
                <w:rFonts w:ascii="Times New Roman" w:cs="Times New Roman" w:eastAsia="Times New Roman" w:hAnsi="Times New Roman"/>
                <w:sz w:val="18"/>
                <w:szCs w:val="18"/>
                <w:b w:val="1"/>
                <w:bCs w:val="1"/>
                <w:color w:val="auto"/>
              </w:rPr>
              <w:t>Adjusted net income (loss) per Class A share - diluted, if-</w:t>
            </w: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440" w:type="dxa"/>
            <w:vAlign w:val="bottom"/>
            <w:gridSpan w:val="2"/>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40"/>
        </w:trPr>
        <w:tc>
          <w:tcPr>
            <w:tcW w:w="5300" w:type="dxa"/>
            <w:vAlign w:val="bottom"/>
            <w:shd w:val="clear" w:color="auto" w:fill="CCEEFF"/>
          </w:tcPr>
          <w:p>
            <w:pPr>
              <w:ind w:left="200"/>
              <w:spacing w:after="0" w:line="240" w:lineRule="exact"/>
              <w:rPr>
                <w:sz w:val="20"/>
                <w:szCs w:val="20"/>
                <w:color w:val="auto"/>
              </w:rPr>
            </w:pP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23"/>
                <w:szCs w:val="23"/>
                <w:b w:val="1"/>
                <w:bCs w:val="1"/>
                <w:color w:val="auto"/>
                <w:vertAlign w:val="superscript"/>
              </w:rPr>
              <w:t>(15)</w:t>
            </w:r>
          </w:p>
        </w:tc>
        <w:tc>
          <w:tcPr>
            <w:tcW w:w="3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5" w:lineRule="exact"/>
        <w:rPr>
          <w:sz w:val="20"/>
          <w:szCs w:val="20"/>
          <w:color w:val="auto"/>
        </w:rPr>
      </w:pPr>
    </w:p>
    <w:p>
      <w:pPr>
        <w:jc w:val="both"/>
        <w:ind w:left="340" w:hanging="326"/>
        <w:spacing w:after="0" w:line="257"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Equity-based compensation not dilutive to investors in PWP or PWP OpCo includes amortization of legacy awards granted to certain partners prior to the business combination that closed on June 24, 2021 (the “Business Combination,” and such awards, the “Legacy Awards”) and amortization of Professional Partners alignment capital units and value capital units awards (the “Professional Partners Awards”). The vesting of these awards does not dilute PWP shareholders relative to Professional Partners as Professional Partners' interest in PWP OpCo does not change as a result of granting those equity awards to its working partners. The Legacy Awards were fully amortized as of September 30, 2023.</w:t>
      </w:r>
    </w:p>
    <w:p>
      <w:pPr>
        <w:spacing w:after="0" w:line="2" w:lineRule="exact"/>
        <w:rPr>
          <w:rFonts w:ascii="Times New Roman" w:cs="Times New Roman" w:eastAsia="Times New Roman" w:hAnsi="Times New Roman"/>
          <w:sz w:val="14"/>
          <w:szCs w:val="14"/>
          <w:color w:val="auto"/>
        </w:rPr>
      </w:pPr>
    </w:p>
    <w:p>
      <w:pPr>
        <w:jc w:val="both"/>
        <w:ind w:left="340" w:right="20" w:hanging="326"/>
        <w:spacing w:after="0" w:line="254"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company transaction-related incentives includes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Times New Roman" w:cs="Times New Roman" w:eastAsia="Times New Roman" w:hAnsi="Times New Roman"/>
          <w:sz w:val="14"/>
          <w:szCs w:val="14"/>
          <w:color w:val="auto"/>
        </w:rPr>
      </w:pPr>
    </w:p>
    <w:p>
      <w:pPr>
        <w:jc w:val="both"/>
        <w:ind w:left="340" w:hanging="326"/>
        <w:spacing w:after="0" w:line="258"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2023, we began a review of the business, which resulted in headcount reductions in order to improve compensation alignment and to provide greater flexibility to advance strategic opportunities. Costs include separation and transition benefits and the accelerated amortization (net of forfeitures) of certain equity-based awards. For the year ended December 31, 2023, such amortization includes $9.6 million for certain Professional Partners Awards and $1.7 million for certain transaction-related RSUs, which are excluded from Equity-based compensation not dilutive to investors in PWP or PWP OpCo and Public company transaction related incentives, respectively. Currently, we are estimating $40 million of total business realignment costs, including cash benefits and non-cash accelerated amortization of equity-based awards, with approximately $3 million remaining and expected to be incurred during the first quarter of 2024.</w:t>
      </w:r>
    </w:p>
    <w:p>
      <w:pPr>
        <w:spacing w:after="0" w:line="1" w:lineRule="exact"/>
        <w:rPr>
          <w:rFonts w:ascii="Times New Roman" w:cs="Times New Roman" w:eastAsia="Times New Roman" w:hAnsi="Times New Roman"/>
          <w:sz w:val="14"/>
          <w:szCs w:val="14"/>
          <w:color w:val="auto"/>
        </w:rPr>
      </w:pPr>
    </w:p>
    <w:p>
      <w:pPr>
        <w:jc w:val="both"/>
        <w:ind w:left="340" w:right="20" w:hanging="326"/>
        <w:spacing w:after="0" w:line="254"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30, 2016, we completed a business combination with Tudor, Pickering, Holt &amp; Co., LLC (the “TPH Business Combination”), an independent advisory firm focused on the energy industry. The adjustment reflects the amortization of intangible assets associated with the acquisition, and such assets will be fully amortized by November 30, 2026.</w:t>
      </w:r>
    </w:p>
    <w:p>
      <w:pPr>
        <w:spacing w:after="0" w:line="1" w:lineRule="exact"/>
        <w:rPr>
          <w:rFonts w:ascii="Times New Roman" w:cs="Times New Roman" w:eastAsia="Times New Roman" w:hAnsi="Times New Roman"/>
          <w:sz w:val="14"/>
          <w:szCs w:val="14"/>
          <w:color w:val="auto"/>
        </w:rPr>
      </w:pPr>
    </w:p>
    <w:p>
      <w:pPr>
        <w:ind w:left="340" w:right="20" w:hanging="326"/>
        <w:spacing w:after="0" w:line="283"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that were expensed associated with the Business Combination, including (i) legal and consulting fees directly related to the Business Combination, (ii) equity-based vesting for transaction-related RSUs issued to non-employees and (iii) costs incurred related to</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S-13</w:t>
      </w:r>
    </w:p>
    <w:p>
      <w:pPr>
        <w:sectPr>
          <w:pgSz w:w="11900" w:h="16838" w:orient="portrait"/>
          <w:cols w:equalWidth="0" w:num="1">
            <w:col w:w="9920"/>
          </w:cols>
          <w:pgMar w:left="98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935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9356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4"/>
          <w:szCs w:val="14"/>
          <w:color w:val="auto"/>
        </w:rPr>
        <w:t>a potential future partnership restructuring that was contemplated during the implementation of the up-C structure at the time of the Business Combination.</w:t>
      </w:r>
    </w:p>
    <w:p>
      <w:pPr>
        <w:spacing w:after="0" w:line="27" w:lineRule="exact"/>
        <w:rPr>
          <w:sz w:val="20"/>
          <w:szCs w:val="20"/>
          <w:color w:val="auto"/>
        </w:rPr>
      </w:pPr>
    </w:p>
    <w:p>
      <w:pPr>
        <w:ind w:left="326" w:right="20" w:hanging="326"/>
        <w:spacing w:after="0" w:line="261" w:lineRule="auto"/>
        <w:tabs>
          <w:tab w:leader="none" w:pos="31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that were expensed associated with the exchange offer and solicitation relating to the Company’s then-outstanding warrants, which the Company commenced on July 22, 2022 (the “Warrant Exchange”).</w:t>
      </w:r>
    </w:p>
    <w:p>
      <w:pPr>
        <w:ind w:left="326" w:right="20" w:hanging="326"/>
        <w:spacing w:after="0" w:line="254" w:lineRule="auto"/>
        <w:tabs>
          <w:tab w:leader="none" w:pos="31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expenses incurred related to a settlement we reached with the staff of the SEC in connection with self-reporting relating to record keeping of business communications on “off-channel” messaging applications (the “Settlement”).</w:t>
      </w:r>
    </w:p>
    <w:p>
      <w:pPr>
        <w:ind w:left="326" w:hanging="326"/>
        <w:spacing w:after="0"/>
        <w:tabs>
          <w:tab w:leader="none" w:pos="32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warrant liabilities is non-cash and we believe not indicative of our core performance. Not applicable after the Warrant Exchange.</w:t>
      </w:r>
    </w:p>
    <w:p>
      <w:pPr>
        <w:spacing w:after="0" w:line="11" w:lineRule="exact"/>
        <w:rPr>
          <w:rFonts w:ascii="Times New Roman" w:cs="Times New Roman" w:eastAsia="Times New Roman" w:hAnsi="Times New Roman"/>
          <w:sz w:val="14"/>
          <w:szCs w:val="14"/>
          <w:color w:val="auto"/>
        </w:rPr>
      </w:pPr>
    </w:p>
    <w:p>
      <w:pPr>
        <w:ind w:left="326" w:hanging="326"/>
        <w:spacing w:after="0" w:line="261" w:lineRule="auto"/>
        <w:tabs>
          <w:tab w:leader="none" w:pos="31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debt extinguishment resulted from the payoff of the 7.0% Subordinated Unsecured Convertible Notes due 2026 in conjunction with the Business Combination.</w:t>
      </w:r>
    </w:p>
    <w:p>
      <w:pPr>
        <w:spacing w:after="0" w:line="175" w:lineRule="exact"/>
        <w:rPr>
          <w:rFonts w:ascii="Times New Roman" w:cs="Times New Roman" w:eastAsia="Times New Roman" w:hAnsi="Times New Roman"/>
          <w:sz w:val="14"/>
          <w:szCs w:val="14"/>
          <w:color w:val="auto"/>
        </w:rPr>
      </w:pPr>
    </w:p>
    <w:p>
      <w:pPr>
        <w:ind w:left="326" w:hanging="326"/>
        <w:spacing w:after="0"/>
        <w:tabs>
          <w:tab w:leader="none" w:pos="32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debt costs is composed of the amortization of debt discounts and issuance costs, which is included in interest expense.</w:t>
      </w:r>
    </w:p>
    <w:p>
      <w:pPr>
        <w:spacing w:after="0" w:line="14" w:lineRule="exact"/>
        <w:rPr>
          <w:rFonts w:ascii="Times New Roman" w:cs="Times New Roman" w:eastAsia="Times New Roman" w:hAnsi="Times New Roman"/>
          <w:sz w:val="14"/>
          <w:szCs w:val="14"/>
          <w:color w:val="auto"/>
        </w:rPr>
      </w:pPr>
    </w:p>
    <w:p>
      <w:pPr>
        <w:ind w:left="306" w:hanging="306"/>
        <w:spacing w:after="0"/>
        <w:tabs>
          <w:tab w:leader="none" w:pos="30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$1.25 million charge related to the Settlement and a non-operating loss on investment of $1.4 million.</w:t>
      </w:r>
    </w:p>
    <w:p>
      <w:pPr>
        <w:spacing w:after="0" w:line="4" w:lineRule="exact"/>
        <w:rPr>
          <w:rFonts w:ascii="Times New Roman" w:cs="Times New Roman" w:eastAsia="Times New Roman" w:hAnsi="Times New Roman"/>
          <w:sz w:val="14"/>
          <w:szCs w:val="14"/>
          <w:color w:val="auto"/>
        </w:rPr>
      </w:pPr>
    </w:p>
    <w:p>
      <w:pPr>
        <w:jc w:val="both"/>
        <w:ind w:left="326" w:hanging="326"/>
        <w:spacing w:after="0" w:line="260" w:lineRule="auto"/>
        <w:tabs>
          <w:tab w:leader="none" w:pos="32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ind w:left="326" w:hanging="326"/>
        <w:spacing w:after="0" w:line="251" w:lineRule="auto"/>
        <w:tabs>
          <w:tab w:leader="none" w:pos="32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if-converted tax expense represents the Company's calculated tax expense on adjusted non-GAAP income assuming the exchange of all partnership units for Class A common stock, resulting in all of the Company’s income being subject to corporate-level tax.</w:t>
      </w:r>
    </w:p>
    <w:p>
      <w:pPr>
        <w:ind w:left="326" w:hanging="326"/>
        <w:spacing w:after="0" w:line="261" w:lineRule="auto"/>
        <w:tabs>
          <w:tab w:leader="none" w:pos="32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vesting of RSUs and performance restricted stock units (“PSUs”) as calculated using the treasury stock method and to the extent dilutive to Adjusted net income (loss) per Class A share—diluted, if-converted.</w:t>
      </w:r>
    </w:p>
    <w:p>
      <w:pPr>
        <w:ind w:left="326" w:right="20" w:hanging="326"/>
        <w:spacing w:after="0" w:line="283" w:lineRule="auto"/>
        <w:tabs>
          <w:tab w:leader="none" w:pos="32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(loss) per Class A share—diluted, if-converted for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9906"/>
          </w:cols>
          <w:pgMar w:left="994" w:top="1440" w:right="999" w:bottom="1440" w:gutter="0" w:footer="0" w:header="0"/>
        </w:sectPr>
      </w:pPr>
    </w:p>
    <w:bookmarkStart w:id="18" w:name="page19"/>
    <w:bookmarkEnd w:id="1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 See the risk factors described in our Annual Report on Form 10-K for the year ended December 31, 2023, filed with the SEC on February 23, 2024 and those contained in our other filings with the SEC that are incorporated by reference into this prospectus supplement and the accompanying prospectus. Before making an investment decision, you should carefully consider these risks as well as other information we include or incorporate by reference into this prospectus supplement and the accompanying prospectus. See “Where You Can Find More Information; Incorporation By Reference.” These risks could materially affect our business, financial condition or results of operations and cause the value of our securities, including our Class A common stock, to decline and you could lose all of part of your investment. These risks are not intended as, and should not be construed as, an exhaustive list of relevant risk factors. There may be other risks that a prospective investor should consider that are relevant to the investor’s own particular circumstances or generally.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we receive in this offering.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the sale of shares by us in this offering, including for any of the purposes described in the section entitled “Use of Proceeds,” and investors will be relying on the judgment of our management regarding the application of the net proceeds. Because of the variability of factors that will determine our use of the net proceeds from the sale of shares by us in this offering their ultimate use may vary substantially from their currently intended use. For example, certain of the purposes described in the section entitled “Use of Proceeds” are contingent on completion of transactions or other events, including the completion of the Partnership Merger, and board of directors, audit committee and other approvals. In addition, our management may not apply the net proceeds in ways that ultimately increase the value of your investment and our stockholders may not agree with the manner in which our management chooses to allocate the net proceeds from this offering. If we do not invest or apply the net proceeds from the sale of shares by us in this offering in ways that enhance stockholder value, the price of our Class A common stock could decline.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Class A common stock may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performance does not meet market expectations, the price of our Class A common stock may decline.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 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 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 fluctuations, international hostilities and acts of war or terrorism.</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our Class A common stock, our incentive plans, acquisitions, capital raises or otherwise.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1,500,000,000 shares of Class A common stock authorized, of which 57,361,073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common stock or Class B-2 common stock into Class A common stock.</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following this offering,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may reduce the market price of our Class A common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signing of the Business Combination Agreement, dated as of December 29, 2020, by and among FTIV, FinTech Investor Holdings IV, LLC, a Delaware limited liability company, FinTech Masala Advisors, LLC, a Delaware limited liability company (together with FinTech Investor Holdings IV, LLC, “Sponsor”), PWP OpCo, PWP GP, Professional Partners, and Perella Weinberg Partners LLC, a Delaware limited liability company and the general partner of Professional Partners, the Sponsor entered into the Sponsor Share Surrender and Share Restriction Agreement, which was amended on May 4, 2021 (the “Sponsor Share Surrender and Share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Agreement”). Pursuant to the Sponsor Share Surrender and Share Restriction Agreement, as amended, the 6,846,667 shares of Class B common stock that were not forfeited by the Sponsor and converted to an equivalent number of shares of our Class A common stock at the closing of the Business Combination (the “Founder Shares”) and the 610,000 shares of our Class A common stock underlying the Sponsor’s 610,000 units issued in connection with FTIV’s initial public offering (the “Placement Shares”) owned by the Sponsor were subject to transfer restrictions for six months following the closing of the Business Combination and certain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warrants to its members (the “Sponsor Distribution”), after which the Sponsor owned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amended and restated the existing registration rights agreement with the Sponsor by entering into an amended and restated registration rights agreement (the “Amended and Restated Registration Rights Agreement”) with the parties thereto (the “RRA Parties”) with respect to the shares of our Class A common stock and certain other equity securities held by the RRA Parties. On July 15, 2021, we filed with the SEC a registration statement pursuant to Rule 415 under the Securities Act, which was amended by post-effective amendment no. 1, filed with the SEC on March 11, 2022, and post-effective amendment no. 2, filed with the SEC on July 7, 2022 (as amended, the “Resale Shelf Registration Statement”), registering the resale of certain shares of our Class A common stock and certain of our other equity securities held by the RRA Parties, which post-effective amendment no. 2 to the Resale Shelf Registration Statement became effective on July 15, 2022.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VoteCo Professionals beneficially owns all of the outstanding shares of our Class B-1 common stock, representing approximately 89.8% of our total voting power, the ILP beneficially owns all of the outstanding shares of our Class B-2 common stock, representing approximately 0.3% of our total voting power, and holders of Class A common stock own shares of our Class A common stock, representing approximately 9.9% of our total voting power (in each case as of December 31, 2023). As long as VoteCo Professionals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tabs>
          <w:tab w:leader="none" w:pos="6700" w:val="left"/>
          <w:tab w:leader="none" w:pos="9340" w:val="left"/>
        </w:tabs>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8"/>
          <w:szCs w:val="18"/>
          <w:color w:val="auto"/>
        </w:rPr>
        <w:t>million if the underwriter</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exercises in full its option to purchase additional shares), after deducting estimated underwriting discounts and commissions and estimated offering expenses payable by us. We intend to contribute the net proceeds from our issuance and sale of 4,500,000 shares (or 5,175,000 shares if the underwriter exercises in full its option to purchase additional shares) of Class A common stock in this offering to PWP OpCo in exchange for 4,500,000 PWP OpCo Class A partnership units (or 5,175,000 PWP OpCo Class A partnership units if the underwriter exercises in full its option to purchase additional shares). PWP OpCo intends to use the net proceeds received from us, together, to the extent necessary, with any cash on hand, for (i) the Cash Conversion, subject to the required board of directors, audit committee and other approvals, (ii) the purchase from certain holders of (A) outstanding PWP OpCo Class A partnership units and (B) outstanding shares of Class B common stock in connection with the Q2 2024 Quarterly Exchange, and (iii) general corporate purposes (provided that (i) and (ii) are subject to completion of the Partnership Merger). The amount of the consideration to be paid for any PWP OpCo Class A partnership units and shares of Class B common stock purchased will be determined based on the market price per share of our Class A common stock at the time of such purchase, which may not be the same as the public offering price per share of our Class A common stock in this offering.</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expected uses of net proceeds from this offering represent our present intentions based on our current plans and business conditions, which could change in the future as our plans and business conditions evolve. As a result, our management will have broad discretion over the uses of the net proceeds from this offering and investors will be relying on the judgment of our management regarding the application of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December 31, 2023:</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by the Company of 4,500,000 shares of Class A common stock in this offering (assuming no exercise of the underwriter’s option to purchase additional shares) at an assumed public offering price of $13.01 per share, which was the last reported closing sale price of our Class A common stock on the Nasdaq Global Select Market on February 26, 2024, after deducting estimated underwriting discounts and commissions and estimated offering expenses payable by us and the application of the proceeds therefrom as described under “Use of Proceeds”.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this information in conjunction with “Management’s Discussion and Analysis of Financial Condition and Results of Operations” and our consolidated financial statements and the related notes in our Annual Report on Form 10-K for the year ended December 31, 2023, filed with the SEC on February 23, 2024, which is incorporated by reference in this prospectus supplement and the accompanying prospectus. The information below is illustrative only, and our as adjusted cash and cash equivalents, as adjusted additional paid-in capital, as adjusted non-controlling interests, as adjusted total equity, and as adjusted total capitalization following the closing of this offering will be adjusted based on the actual public offering price and other terms of the offering determined at the pricing of this offering.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7"/>
                <w:szCs w:val="17"/>
                <w:color w:val="auto"/>
              </w:rPr>
            </w:pPr>
          </w:p>
        </w:tc>
        <w:tc>
          <w:tcPr>
            <w:tcW w:w="1360" w:type="dxa"/>
            <w:vAlign w:val="bottom"/>
          </w:tcPr>
          <w:p>
            <w:pPr>
              <w:jc w:val="right"/>
              <w:ind w:right="212"/>
              <w:spacing w:after="0" w:line="196"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8"/>
                <w:szCs w:val="18"/>
                <w:b w:val="1"/>
                <w:bCs w:val="1"/>
                <w:color w:val="auto"/>
                <w:vertAlign w:val="superscript"/>
              </w:rPr>
              <w:t>(1)(2)</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(3)</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303,233</w:t>
            </w:r>
          </w:p>
        </w:tc>
        <w:tc>
          <w:tcPr>
            <w:tcW w:w="0" w:type="dxa"/>
            <w:vAlign w:val="bottom"/>
          </w:tcPr>
          <w:p>
            <w:pPr>
              <w:spacing w:after="0"/>
              <w:rPr>
                <w:sz w:val="1"/>
                <w:szCs w:val="1"/>
                <w:color w:val="auto"/>
              </w:rPr>
            </w:pPr>
          </w:p>
        </w:tc>
      </w:tr>
      <w:tr>
        <w:trPr>
          <w:trHeight w:val="155"/>
        </w:trPr>
        <w:tc>
          <w:tcPr>
            <w:tcW w:w="8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57,361,073 issued and</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44,642,849 outstanding, actual; 61,861,073 issued and 49,142,849 outstanding, as adjusted)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41,589,339 issued and</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41,589,339 issued and outstanding, as adjusted)</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344,143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(12,718,224 shares of Class A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(100,747)</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184,276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324,308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324,308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give effect to Partnership Merger, the LPA Amendments and the related reclassification of interests described in “Summary—Organizational Structure—Internal Reorganization”, the Vesting Acceleration and the related expense amortization described in “Summary—Organization Structure—Vesting Acceleration and Cash Conversion”, the Q2 2024 Quarterly Exchange or the Assumptions described in “The Offering”.</w:t>
      </w:r>
    </w:p>
    <w:p>
      <w:pPr>
        <w:jc w:val="both"/>
        <w:ind w:left="340" w:hanging="332"/>
        <w:spacing w:after="0" w:line="256"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public offering price of $13.01 per share, which was the last reported closing sale price of our Class A common stock on the Nasdaq Global Select Market on February 26, 2024, would increase or decrease as adjusted additional paid-in capital by approximately $2.3 million, as adjusted non-controlling interests by approximately $2.0 million, as adjusted cash and cash equivalents, total equity and total capitalization by approximately $4.3 million, assuming that the number of shares of Class A common stock offered by us, as set forth on the cover page of this prospectus supplement, remains the same, and after deducting estimated underwriting discounts and commissions. Each increase or decrease of 1.0 million shares of Class A common stock offered by us would increase or decrease as adjusted additional paid-in capital by approximately $8.3 million, as adjusted non-controlling interests by approximately $4.1 million, as adjusted cash and cash equivalents, total equity and total capitalization by approximately $12.4 million, assuming that the assumed public offering price remains the same, and after deducting estimated underwriting discounts and commissions.</w:t>
      </w:r>
    </w:p>
    <w:p>
      <w:pPr>
        <w:spacing w:after="0" w:line="2" w:lineRule="exact"/>
        <w:rPr>
          <w:rFonts w:ascii="Times New Roman" w:cs="Times New Roman" w:eastAsia="Times New Roman" w:hAnsi="Times New Roman"/>
          <w:sz w:val="14"/>
          <w:szCs w:val="14"/>
          <w:color w:val="auto"/>
        </w:rPr>
      </w:pPr>
    </w:p>
    <w:p>
      <w:pPr>
        <w:ind w:left="340" w:hanging="332"/>
        <w:spacing w:after="0" w:line="278"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pay a significant portion of our annual cash incentive compensation during the first quarter of each calendar year with respect to the prior year’s results. Therefore, levels of cash and/or investments in short-term marketable debt securities generally decline during the first quarter and build over the remainder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excludes the following as of December 31, 2023:</w:t>
      </w:r>
    </w:p>
    <w:p>
      <w:pPr>
        <w:spacing w:after="0" w:line="171"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41,630,927 shares of Class A common stock issuable in exchange for PWP OpCo Class A partnership units and upon conversion of shares of our Class B common stock;</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6,813,836 shares of Class A common stock available for future issuance under the Incentive Plan; and</w:t>
      </w:r>
    </w:p>
    <w:p>
      <w:pPr>
        <w:spacing w:after="0" w:line="171" w:lineRule="exact"/>
        <w:rPr>
          <w:rFonts w:ascii="Times New Roman" w:cs="Times New Roman" w:eastAsia="Times New Roman" w:hAnsi="Times New Roman"/>
          <w:sz w:val="16"/>
          <w:szCs w:val="16"/>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11,533,195 shares of our Class A common stock issuable upon the settlement (after giving effect to expected ordinary course net settlement) of outstanding service-based restricted stock units and outstanding service and performance-based restricted stock units that have met their performance-based vesting requirements as of December 31, 2023, 847,175 of which are expected to vest in March 2024 and 92,098 and 1,193,231 of which vested on January 19, 2024 and February 26,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U.S. federal income tax considerations generally applicable to non-U.S. holders (as defined below) of shares of our Class A common stock that hold such shares as capital assets (generally, for investment). This summary does not consider specific facts and circumstances that may be relevant to a particular holder’s tax position and does not consider the non-income tax consequences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common stock as part of a hedging, integrated, or conversion transaction, a constructive sale, or a straddle; a person that received shares of our common stock as compensation; a controlled foreign corporation; a passive foreign investment company; or a former U.S. citizen). This summary is based upon the Internal Revenue Code of 1986, as amended (the “Code”), existing and proposed Treasury regulations, Internal Revenue Service (“IRS”) rulings and pronouncements, and judicial decisions in effect, all of which are subject to change, possibly on a retroactive basis, or differing interpretations.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our Class A common stock who is:</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U.S.,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“non-U.S. holder” is any beneficial owner of shares of our Class A common stock that is not an entity classified as a partnership for U.S. federal income tax purposes and is not a U.S. holder.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pass-through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and estate tax consequences of the purchase, ownership, and disposition of shares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that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(as defined and discussed below),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 Instead, such dividends are subject to U.S. federal income tax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regular rates applicable to U.S. persons generally and, for corporate holders, may also be subject to a 30% “branch profits tax” unless the non-U.S. holder qualifies for a lower rate under an applicable U.S. income tax treaty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any gain on a sale, exchange or other taxable disposition of shares of our Class A common stock unless:</w:t>
      </w:r>
    </w:p>
    <w:p>
      <w:pPr>
        <w:spacing w:after="0" w:line="108"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trade or business in the U.S. and, in the case of certain income tax treaties, is attributable to a permanent establishment or fixed base maintained by the non-U.S. holder in the 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183 or more days in the tax year of the disposition and meets certain other conditions;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(“USRPHC”) under Section 897 of the Code during the applicable statutory period and the shares of Class A common stock owned by the non-U.S. holder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Estate Taxes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our Class A common stock owned or treated as owned by an individual at the time of death will be included in the individual’s gross estate for U.S. federal estate tax purposes and may be subject to U.S. federal estate tax, unless an applicable estate tax treaty provides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Foreign Account Tax Compliance Act (“FATCA”),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IRS.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PWP OpCo and Citizens JMP Securities, LLC have entered into an underwriting agreement with respect to the shares being offered. Citizens JMP Securities, LLC is the sole underwriter for this offering. Subject to certain conditions, the underwriter has agreed to purchase all of the shares of Class A common stock in the offering if any are purchased other than the shares covered by the option described below unless and until this option is exercised.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 an option, exercisable for 30 days from the date of this prospectus, to purchase up to 675,000 additional shares of our Class A common stock at the public offering price, less the underwriting discounts and commissions.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 by the Company. Such amounts are shown assuming both no exercise and full exercise of the underwriter’s option to purchase 675,000 additional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by the Company</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5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56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sold by the underwriter to the public will initially be offered at the public offering price set forth on the cover of this prospectus supplement. Any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shares sold by the underwriter to securities dealers may be sold at a discount of up to $ per share from the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our directors and executive officers have agreed with the underwriter, for the period beginning from the date of this prospectus supplement continuing through the date that is 60 days after the date of this prospectus supplement, not to offer, sell, contract to sell, pledge, grant any option to purchase, make any short sale or otherwise dispose of any shares of Class A common stock, or any options or warrants to purchase any shares of Class A common stock, or any securities convertible into, exchangeable for or that represent the right to receive shares of Class A common stock without the prior written consent of the underwriter and subject to certain additional exceptions. This agreement does not apply to any existing employee benefit plans.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“PWP.”</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 may purchase and sell shares of Class A common stock in the open market. These transactions may include short sales, stabilizing transactions and purchases to cover positions created by short sales. Short sales involve the sale by the underwriter of a greater number of shares than it is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 may cover any covered short position by either exercising its option to purchase additional shares or purchasing shares in the open market. In determining the source of shares to cover the covered short position, the underwriter will consider, among other things, the price of shares available for purchase in the open market as compared to the price at which it may purchase additional shares pursuant to the option described above. “Naked” short sales are any short sales that create a short position greater than the amount of additional shares for which the option described above may be exercised. The underwriter must cover any such naked short position by purchasing shares in the open market. A naked short position is more likely to be created if the underwriter is concerned that there may be downward pressure on the price of the common stock in the open market after pricing that could adversely affect investors who purchase in this offering. Stabilizing transactions consist of various bids for or purchases of Class A common stock made by the underwriter in the open market prior to the completion of this offering.</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 for its own accounts, may have the effect of preventing or limiting a decline in the market price of the Company’s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common stock, and may stabilize, maintain or otherwise affect the market price of the Class A common stock. As a result, the price of the Class A common stock may be higher than the price that otherwise might exist in the open market. The underwriter is not required to engage in these activities and may end any of these activities at any time. These transactions may be effected on the Nasdaq, in the over-the-counter market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that its share of the total expenses of this offering, including the fees of Perella Weinberg Partners LP but excluding underwriting</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discounts and commissions, will be approximately $ million. We have agreed to reimburse the underwriter for expenses relating to clearance of this offering with the Financial Industry Regulatory Authority and the qualification of the shares under blue sky securities laws up to $30,000. The underwriter has agreed to reimburse the Company for certain expenses in connection with this offering.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agreed to indemnify the underwriter against certain liabilities, including liabilities under the Securities Act.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issuer and to persons and entities with relationships with the issuer, for which they received or will receive customary fees and expenses.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Perella Weinberg Partners LP is acting as our capital markets advisor in connection with the offering. We expect to pay Perella Weinberg Partners LP, upon</w:t>
      </w:r>
    </w:p>
    <w:p>
      <w:pPr>
        <w:spacing w:after="0" w:line="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successful completion of this offering, a fee of $ for its services. The services provided to us by Perella Weinberg Partners LP include, among other things, assisting in preparing our positioning and investment thesis; assisting us in our interactions with the underwriter; and assisting us in investor relations. Perella Weinberg Partners LP will not sell or offer to sell any securities in this offering and will not identify, solicit or engage directly with potential investors in this offering. In addition, Perella Weinberg Partners LP will not purchase any of the offered securities.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who they should acquire, long and/or short positions in such assets, securities and instruments.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any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 and each person who initially acquires any shares of our Class A common stock or to whom any offer is made will be deemed to have represented, acknowledged and agreed to and with the underwriter and the Company that it is a “qualified investor” within the meaning of Article 2(e) of the Prospectus Regulation.</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 have been obtained to each such proposed offer or resale.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1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FSMA,</w:t>
      </w:r>
    </w:p>
    <w:p>
      <w:pPr>
        <w:spacing w:after="0" w:line="169" w:lineRule="exact"/>
        <w:rPr>
          <w:rFonts w:ascii="Times New Roman" w:cs="Times New Roman" w:eastAsia="Times New Roman" w:hAnsi="Times New Roman"/>
          <w:sz w:val="18"/>
          <w:szCs w:val="18"/>
          <w:color w:val="auto"/>
        </w:rPr>
      </w:pPr>
    </w:p>
    <w:p>
      <w:pPr>
        <w:ind w:lef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the issuer or any underwriter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w:t>
      </w:r>
    </w:p>
    <w:p>
      <w:pPr>
        <w:spacing w:after="0" w:line="106"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6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issuance of our Class A common stock offered hereby will be passed upon for us by Skadden, Arps, Slate, Meagher &amp; Flom LLP, New York, New York. Certain legal matters in connection with this offering will be passed upon for the underwriter by Davis Polk &amp; Wardwell LLP, New York, New York.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supplement. Our consolidated financial statements are incorporated by reference in reliance on Ernst &amp; Young LLP’s report, given on their authority as experts in accounting and auditing.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filed a registration statement on Form S-3 with the SEC with respect to the registration of the Class A common stock offered by this prospectus supplement. This prospectus supplement does not contain all of the information set forth in the registration statement and the exhibits to the registration statement. For further information about us, the Class A common stock we are offering by this prospectus supplement, and related matters, you should review the registration statement, including the exhibits filed as a part of the registration statement. Statements contained in this prospectus supplement about the contents of any contract or any other document that is filed as an exhibit to the registration statement are not necessarily complete, and we refer you to the full text of the contract or other document filed as an exhibit to the registration statement. The SEC maintains a website that contains reports, proxy and information statements, and other information regarding registrants that file electronically with the SEC. The address of the site is http://www.sec.gov.</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website of the SEC referred to above.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 this prospectus supplement the documents listed below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3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SEC on </w:t>
      </w:r>
      <w:hyperlink r:id="rId30">
        <w:r>
          <w:rPr>
            <w:rFonts w:ascii="Times New Roman" w:cs="Times New Roman" w:eastAsia="Times New Roman" w:hAnsi="Times New Roman"/>
            <w:sz w:val="18"/>
            <w:szCs w:val="18"/>
            <w:u w:val="single" w:color="auto"/>
            <w:color w:val="0000FF"/>
          </w:rPr>
          <w:t>February 23,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with the SEC on </w:t>
      </w:r>
      <w:hyperlink r:id="rId31">
        <w:r>
          <w:rPr>
            <w:rFonts w:ascii="Times New Roman" w:cs="Times New Roman" w:eastAsia="Times New Roman" w:hAnsi="Times New Roman"/>
            <w:sz w:val="18"/>
            <w:szCs w:val="18"/>
            <w:u w:val="single" w:color="auto"/>
            <w:color w:val="0000FF"/>
          </w:rPr>
          <w:t>January 2,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Schedule 14A, filed with the SEC on </w:t>
      </w:r>
      <w:hyperlink r:id="rId32">
        <w:r>
          <w:rPr>
            <w:rFonts w:ascii="Times New Roman" w:cs="Times New Roman" w:eastAsia="Times New Roman" w:hAnsi="Times New Roman"/>
            <w:sz w:val="18"/>
            <w:szCs w:val="18"/>
            <w:u w:val="single" w:color="auto"/>
            <w:color w:val="0000FF"/>
          </w:rPr>
          <w:t>April 14, 2023</w:t>
        </w:r>
      </w:hyperlink>
      <w:r>
        <w:rPr>
          <w:rFonts w:ascii="Times New Roman" w:cs="Times New Roman" w:eastAsia="Times New Roman" w:hAnsi="Times New Roman"/>
          <w:sz w:val="18"/>
          <w:szCs w:val="18"/>
          <w:color w:val="auto"/>
        </w:rPr>
        <w:t>, that are incorporated by reference into Part III of our Annual Report on Form 10-K for the year ended December 31, 2022;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Exhibit 4.2 to our Annual Report on Form 10-K for the fiscal year ended December 31, 2023, filed with the SEC on </w:t>
      </w:r>
      <w:hyperlink r:id="rId33">
        <w:r>
          <w:rPr>
            <w:rFonts w:ascii="Times New Roman" w:cs="Times New Roman" w:eastAsia="Times New Roman" w:hAnsi="Times New Roman"/>
            <w:sz w:val="18"/>
            <w:szCs w:val="18"/>
            <w:u w:val="single" w:color="auto"/>
            <w:color w:val="0000FF"/>
          </w:rPr>
          <w:t>February 23, 2024</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this prospectus supplement is delivered, upon his or her written or oral request, a copy of any or all documents referred to above which have been or may be incorporated by reference into this prospectus supplement, excluding exhibits to those documents unless they are specifically incorporated by reference into those documents. You may request copies of those documents from Perella Weinberg Partners, 767 Fifth Avenue, New York, New York 10153. You also may contact us at (212) 287-3200 or visit the “Investors” section of our website at https://pwpartners.com/ for copies of those documents. Our website and the information contained on our website are not a part of this prospectus supplement, and you should not rely on any such information in making your decision whether to acquire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122555</wp:posOffset>
            </wp:positionV>
            <wp:extent cx="1714500" cy="65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6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32"/>
          <w:szCs w:val="32"/>
          <w:b w:val="1"/>
          <w:bCs w:val="1"/>
          <w:color w:val="auto"/>
        </w:rPr>
        <w:t>20,000,000 Shares of Class A Common Stock</w:t>
      </w:r>
    </w:p>
    <w:p>
      <w:pPr>
        <w:spacing w:after="0" w:line="6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5"/>
          <w:szCs w:val="25"/>
          <w:b w:val="1"/>
          <w:bCs w:val="1"/>
          <w:color w:val="auto"/>
        </w:rPr>
        <w:t>by Perella Weinberg Partners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1,942,590 Shares of Class A Common Stock</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by Selling Stockholder</w:t>
      </w:r>
    </w:p>
    <w:p>
      <w:pPr>
        <w:spacing w:after="0" w:line="6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may offer and sell up to 20,000,000 shares of our Class A common stock, par value $0.0001 per share (“Class A common stock”) from time to time in one or more offerings. In addition, a selling stockholder named herein may offer and resell up to 1,942,590 shares of our Class A common stock from time to time in one or more offerings. We will not receive any proceeds from the sale of our Class A common stock by such selling stockholder.</w:t>
      </w:r>
    </w:p>
    <w:p>
      <w:pPr>
        <w:spacing w:after="0" w:line="10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This prospectus describes the general terms of the Class A common stock and the general manner in which the shares of Class A common stock will be offered. The specific amounts, prices and terms of the offering of the Class A common stock will be provided in one or more supplements to this prospectus at the time of offering. The prospectus supplements will also describe the specific manner in which the shares of Class A common stock will be offered and may also supplement, update or amend information contained in this document. You should read this prospectus and any applicable prospectus supplement before you invest.</w:t>
      </w:r>
    </w:p>
    <w:p>
      <w:pPr>
        <w:spacing w:after="0" w:line="1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shares of Class A common stock may be sold directly to you, through agents, or through underwriters and dealers. If agents, underwriters or dealers are used to sell the shares of Class A common stock, they will be named and their compensation will be described in a prospectus supplement.</w:t>
      </w:r>
    </w:p>
    <w:p>
      <w:pPr>
        <w:spacing w:after="0" w:line="12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selling stockholder will pay all underwriting discounts and selling commissions, if any, in connection with the resale of the shares of Class A common stock by the selling stockholder. We have agreed to pay certain expenses in connection with this registration statement and to indemnify the selling stockholder and certain related persons against certain liabilities. As of the date of this prospectus, no underwriter or other person has been engaged to facilitate the sale of shares of Class A common stock held by the selling stockholder.</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“PWP.” On July 5, 2022, the closing price of our Class A common stock on the Nasdaq was $6.09 per share.</w:t>
      </w:r>
    </w:p>
    <w:p>
      <w:pPr>
        <w:spacing w:after="0" w:line="10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11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Investing in our Class A common stock involves certain risks. See “Risk Factors” on page </w:t>
      </w:r>
      <w:r>
        <w:rPr>
          <w:rFonts w:ascii="Times New Roman" w:cs="Times New Roman" w:eastAsia="Times New Roman" w:hAnsi="Times New Roman"/>
          <w:sz w:val="18"/>
          <w:szCs w:val="18"/>
          <w:b w:val="1"/>
          <w:bCs w:val="1"/>
          <w:u w:val="single" w:color="auto"/>
          <w:color w:val="0000FF"/>
        </w:rPr>
        <w:t>8</w:t>
      </w:r>
      <w:r>
        <w:rPr>
          <w:rFonts w:ascii="Times New Roman" w:cs="Times New Roman" w:eastAsia="Times New Roman" w:hAnsi="Times New Roman"/>
          <w:sz w:val="18"/>
          <w:szCs w:val="18"/>
          <w:b w:val="1"/>
          <w:bCs w:val="1"/>
          <w:color w:val="auto"/>
        </w:rPr>
        <w:t xml:space="preserve"> of this prospectus and any similar section included in any accompanying prospectus supplement and in the documents incorporated by reference herein and therein. You should carefully consider these risks before you make your investment decision.</w:t>
      </w:r>
    </w:p>
    <w:p>
      <w:pPr>
        <w:spacing w:after="0" w:line="126"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We and/or the selling stockholder may offer shares of Class A common stock through underwriting syndicates managed or co-managed by one or more underwriters or dealers, through agents or directly to purchasers. If required, the prospectus supplement for each offering of shares of Class A common stock will describe the plan of distribution for that offering. For general information about the distribution of the shares of Class A common stock offered, please see “Plan of Distribution” in this prospectus.</w:t>
      </w:r>
    </w:p>
    <w:p>
      <w:pPr>
        <w:spacing w:after="0" w:line="127"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19, 2022.</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14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2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460" w:type="dxa"/>
            <w:vAlign w:val="bottom"/>
            <w:gridSpan w:val="6"/>
          </w:tcPr>
          <w:p>
            <w:pPr>
              <w:spacing w:after="0"/>
              <w:rPr>
                <w:sz w:val="24"/>
                <w:szCs w:val="24"/>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1960" w:type="dxa"/>
            <w:vAlign w:val="bottom"/>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1960" w:type="dxa"/>
            <w:vAlign w:val="bottom"/>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4280" w:type="dxa"/>
            <w:vAlign w:val="bottom"/>
            <w:gridSpan w:val="4"/>
          </w:tcPr>
          <w:p>
            <w:pPr>
              <w:spacing w:after="0"/>
              <w:rPr>
                <w:sz w:val="18"/>
                <w:szCs w:val="18"/>
                <w:color w:val="auto"/>
              </w:rPr>
            </w:pPr>
          </w:p>
        </w:tc>
        <w:tc>
          <w:tcPr>
            <w:tcW w:w="2360" w:type="dxa"/>
            <w:vAlign w:val="bottom"/>
            <w:gridSpan w:val="3"/>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6640" w:type="dxa"/>
            <w:vAlign w:val="bottom"/>
            <w:gridSpan w:val="7"/>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6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COMPARATIVE PER SHARE INFORMATION</w:t>
            </w:r>
          </w:p>
        </w:tc>
        <w:tc>
          <w:tcPr>
            <w:tcW w:w="2120" w:type="dxa"/>
            <w:vAlign w:val="bottom"/>
            <w:gridSpan w:val="2"/>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1040" w:type="dxa"/>
            <w:vAlign w:val="bottom"/>
          </w:tcPr>
          <w:p>
            <w:pPr>
              <w:spacing w:after="0"/>
              <w:rPr>
                <w:sz w:val="18"/>
                <w:szCs w:val="18"/>
                <w:color w:val="auto"/>
              </w:rPr>
            </w:pPr>
          </w:p>
        </w:tc>
        <w:tc>
          <w:tcPr>
            <w:tcW w:w="5140" w:type="dxa"/>
            <w:vAlign w:val="bottom"/>
            <w:gridSpan w:val="4"/>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18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SELLING STOCKHOLDER</w:t>
            </w:r>
          </w:p>
        </w:tc>
        <w:tc>
          <w:tcPr>
            <w:tcW w:w="460" w:type="dxa"/>
            <w:vAlign w:val="bottom"/>
            <w:gridSpan w:val="2"/>
          </w:tcPr>
          <w:p>
            <w:pPr>
              <w:spacing w:after="0"/>
              <w:rPr>
                <w:sz w:val="18"/>
                <w:szCs w:val="18"/>
                <w:color w:val="auto"/>
              </w:rPr>
            </w:pPr>
          </w:p>
        </w:tc>
        <w:tc>
          <w:tcPr>
            <w:tcW w:w="6180" w:type="dxa"/>
            <w:vAlign w:val="bottom"/>
            <w:gridSpan w:val="5"/>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40" w:type="dxa"/>
            <w:vAlign w:val="bottom"/>
            <w:tcBorders>
              <w:left w:val="single" w:sz="8" w:color="0000FF"/>
            </w:tcBorders>
            <w:gridSpan w:val="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6640" w:type="dxa"/>
            <w:vAlign w:val="bottom"/>
            <w:gridSpan w:val="7"/>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6640" w:type="dxa"/>
            <w:vAlign w:val="bottom"/>
            <w:gridSpan w:val="7"/>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7240" w:type="dxa"/>
            <w:vAlign w:val="bottom"/>
            <w:gridSpan w:val="9"/>
          </w:tcPr>
          <w:p>
            <w:pPr>
              <w:spacing w:after="0"/>
              <w:rPr>
                <w:sz w:val="18"/>
                <w:szCs w:val="18"/>
                <w:color w:val="auto"/>
              </w:rPr>
            </w:pPr>
          </w:p>
        </w:tc>
        <w:tc>
          <w:tcPr>
            <w:tcW w:w="21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340" w:top="1440" w:right="719" w:bottom="1440" w:gutter="0" w:footer="0" w:header="0"/>
        </w:sectPr>
      </w:pPr>
    </w:p>
    <w:bookmarkStart w:id="35" w:name="page36"/>
    <w:bookmarkEnd w:id="3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Under this shelf registration process, we may from time to time sell up to 20,000,000 shares of Class A common stock in one or more offerings and the selling stockholder named herein may from time to time resell up to 1,942,590 shares of our Class A common stock in one or more offerings.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you with a general description of the shares of Class A common stock we and/or the selling stockholder may offer. Each time we and/or the selling stockholder sell shares of Class A common stock, we and/or the selling stockholder will provide one or more prospectus supplements that will contain specific information about the terms of the offering, including the specific amounts, prices and terms of the shares of Class A common stock offered. The prospectus supplement may also add, update or change information contained in this prospectus. You should read both this prospectus, the accompanying prospectus supplement and any free writing prospectus prepared by or on behalf of us, together with the additional information described under the heading “Where You Can Find More Information; Incorporation by Reference” beginning on page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of this prospectus.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Neither we nor the selling stockholder have authorized anyone to provide you with different information. We and the selling stockholder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We and the selling stockholder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June 24, 2021 (the “Closing Date”), Perella Weinberg Partners (formerly known as FinTech Acquisition Corp. IV (“FTIV”)), consummated its business combination pursuant to that certain Business Combination Agreement, dated as of December 29, 2020 (the “Business Combination Agreement”), by and among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w:t>
      </w:r>
    </w:p>
    <w:p>
      <w:pPr>
        <w:spacing w:after="0" w:line="1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the “Company,” “we,” “our” and “us” refer, collectively, to Perella Weinberg Partners, a Delaware corporation, and its consolidated subsidiaries, and references to “PWP” (i) prior to the Business Combination are to PWP OpCo and its consolidated subsidiaries and (ii) following the consummation of the Business Combination are to Perella Weinberg Partners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https://pwpartners.com/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included our website address as an inactive textual reference only.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Securities Exchange Act of 1934, as amended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our Annual Report on Form </w:t>
      </w:r>
      <w:hyperlink r:id="rId35">
        <w:r>
          <w:rPr>
            <w:rFonts w:ascii="Times New Roman" w:cs="Times New Roman" w:eastAsia="Times New Roman" w:hAnsi="Times New Roman"/>
            <w:sz w:val="18"/>
            <w:szCs w:val="18"/>
            <w:u w:val="single" w:color="auto"/>
            <w:color w:val="0000FF"/>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July 7,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w:t>
      </w:r>
      <w:hyperlink r:id="rId36">
        <w:r>
          <w:rPr>
            <w:rFonts w:ascii="Times New Roman" w:cs="Times New Roman" w:eastAsia="Times New Roman" w:hAnsi="Times New Roman"/>
            <w:sz w:val="18"/>
            <w:szCs w:val="18"/>
            <w:u w:val="single" w:color="auto"/>
            <w:color w:val="0000FF"/>
          </w:rPr>
          <w:t>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2022, filed with the SEC on May 5, 2022;</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Schedule 14A for our 2022 Annual Meeting of Stockholders specifically incorporated by reference into Amendment No. 1 our Annual Report on Form 10-K/A for the year ended December 31, 2021, filed with the SEC on </w:t>
      </w:r>
      <w:hyperlink r:id="rId37">
        <w:r>
          <w:rPr>
            <w:rFonts w:ascii="Times New Roman" w:cs="Times New Roman" w:eastAsia="Times New Roman" w:hAnsi="Times New Roman"/>
            <w:sz w:val="18"/>
            <w:szCs w:val="18"/>
            <w:u w:val="single" w:color="auto"/>
            <w:color w:val="0000FF"/>
          </w:rPr>
          <w:t>April 13,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as supplemented on </w:t>
      </w:r>
      <w:hyperlink r:id="rId38">
        <w:r>
          <w:rPr>
            <w:rFonts w:ascii="Times New Roman" w:cs="Times New Roman" w:eastAsia="Times New Roman" w:hAnsi="Times New Roman"/>
            <w:sz w:val="18"/>
            <w:szCs w:val="18"/>
            <w:u w:val="single" w:color="auto"/>
            <w:color w:val="0000FF"/>
          </w:rPr>
          <w:t>April 13, 2022</w:t>
        </w:r>
      </w:hyperlink>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9">
        <w:r>
          <w:rPr>
            <w:rFonts w:ascii="Times New Roman" w:cs="Times New Roman" w:eastAsia="Times New Roman" w:hAnsi="Times New Roman"/>
            <w:sz w:val="18"/>
            <w:szCs w:val="18"/>
            <w:u w:val="single" w:color="auto"/>
            <w:color w:val="0000FF"/>
          </w:rPr>
          <w:t>February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w:t>
      </w:r>
      <w:hyperlink r:id="rId40">
        <w:r>
          <w:rPr>
            <w:rFonts w:ascii="Times New Roman" w:cs="Times New Roman" w:eastAsia="Times New Roman" w:hAnsi="Times New Roman"/>
            <w:sz w:val="18"/>
            <w:szCs w:val="18"/>
            <w:u w:val="single" w:color="auto"/>
            <w:color w:val="0000FF"/>
          </w:rPr>
          <w:t>May 25,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FF"/>
          </w:rPr>
          <w:t>June 2, 2022</w:t>
        </w:r>
      </w:hyperlink>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42">
        <w:r>
          <w:rPr>
            <w:rFonts w:ascii="Times New Roman" w:cs="Times New Roman" w:eastAsia="Times New Roman" w:hAnsi="Times New Roman"/>
            <w:sz w:val="18"/>
            <w:szCs w:val="18"/>
            <w:u w:val="single" w:color="auto"/>
            <w:color w:val="0000FF"/>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Amendment No. 1 to our Annual Report on Form 10-K/A for the fiscal year ended December 31, 2021, filed with the SEC on July 7, 2022, including any amendments or reports filed for the purpose of updating such description.</w:t>
      </w:r>
    </w:p>
    <w:p>
      <w:pPr>
        <w:spacing w:after="0" w:line="108"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4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767 Fifth Avenue</w:t>
      </w:r>
    </w:p>
    <w:p>
      <w:pPr>
        <w:spacing w:after="0" w:line="2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2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(212) 287-3200</w:t>
      </w:r>
    </w:p>
    <w:p>
      <w:pPr>
        <w:spacing w:after="0" w:line="26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and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1440" w:right="1059" w:bottom="1440" w:gutter="0" w:footer="0" w:header="0"/>
        </w:sectPr>
      </w:pPr>
    </w:p>
    <w:bookmarkStart w:id="38" w:name="page39"/>
    <w:bookmarkEnd w:id="3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statements included or incorporated by reference in this prospectus are “forward looking statements” within the meaning of the federal securities laws, including the Private Securities Litigation Reform Act of 1995, Section 27A of the Securities Act, and Section 21E of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3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(as defined herein) on Nasdaq following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07"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17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07"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left="980" w:right="140" w:hanging="324"/>
        <w:spacing w:after="0" w:line="282" w:lineRule="auto"/>
        <w:tabs>
          <w:tab w:leader="none" w:pos="9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Company’s operations, financial results, financial condition, business prospects, growth strategy and liquidity;</w:t>
      </w:r>
    </w:p>
    <w:p>
      <w:pPr>
        <w:spacing w:after="0" w:line="171" w:lineRule="exact"/>
        <w:rPr>
          <w:rFonts w:ascii="Times New Roman" w:cs="Times New Roman" w:eastAsia="Times New Roman" w:hAnsi="Times New Roman"/>
          <w:sz w:val="18"/>
          <w:szCs w:val="18"/>
          <w:color w:val="auto"/>
        </w:rPr>
      </w:pPr>
    </w:p>
    <w:p>
      <w:pPr>
        <w:ind w:left="980" w:right="420" w:hanging="324"/>
        <w:spacing w:after="0" w:line="312" w:lineRule="auto"/>
        <w:tabs>
          <w:tab w:leader="none" w:pos="97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5" w:lineRule="exact"/>
        <w:rPr>
          <w:rFonts w:ascii="Times New Roman" w:cs="Times New Roman" w:eastAsia="Times New Roman" w:hAnsi="Times New Roman"/>
          <w:sz w:val="17"/>
          <w:szCs w:val="17"/>
          <w:color w:val="auto"/>
        </w:rPr>
      </w:pPr>
    </w:p>
    <w:p>
      <w:pPr>
        <w:ind w:left="980" w:hanging="324"/>
        <w:spacing w:after="0" w:line="282" w:lineRule="auto"/>
        <w:tabs>
          <w:tab w:leader="none" w:pos="9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“Risk Factors,” included in our most recent Annual Report on Form 10-K, as amended by any amendments thereto, and the other documents we file with the SEC from time to time incorporated by reference herein.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440" w:right="39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highlights some information about PWP. It is not complete and does not contain all of the information that you should consider before making an investment decision. You should read this entire prospectus, including the “Risk Factors” section on page </w:t>
      </w:r>
      <w:r>
        <w:rPr>
          <w:rFonts w:ascii="Times New Roman" w:cs="Times New Roman" w:eastAsia="Times New Roman" w:hAnsi="Times New Roman"/>
          <w:sz w:val="18"/>
          <w:szCs w:val="18"/>
          <w:i w:val="1"/>
          <w:iCs w:val="1"/>
          <w:u w:val="single" w:color="auto"/>
          <w:color w:val="0000FF"/>
        </w:rPr>
        <w:t>8</w:t>
      </w:r>
      <w:r>
        <w:rPr>
          <w:rFonts w:ascii="Times New Roman" w:cs="Times New Roman" w:eastAsia="Times New Roman" w:hAnsi="Times New Roman"/>
          <w:sz w:val="18"/>
          <w:szCs w:val="18"/>
          <w:i w:val="1"/>
          <w:iCs w:val="1"/>
          <w:color w:val="auto"/>
        </w:rPr>
        <w:t xml:space="preserve">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execution, shareholder and defense advisory, capital raising, and liability management and restructuring, as well as specialized underwriting and research services primarily for the energy and related industries.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an independent advisory firm, focused on the energy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1000" w:top="1440" w:right="99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870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80"/>
          </w:cols>
          <w:pgMar w:left="1000" w:top="1440" w:right="1019" w:bottom="1440" w:gutter="0" w:footer="0" w:header="0"/>
        </w:sectPr>
      </w:pPr>
    </w:p>
    <w:bookmarkStart w:id="42" w:name="page43"/>
    <w:bookmarkEnd w:id="4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Investing in our Class A common stock involves significant risks. Please see the risk factors under the heading “Risk Factors” in our most recent Annual Report on Form 10-K, as amended by any amendments thereto,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prospectus supplement. These risks could materially affect our business, financial condition or results of operations and cause the value of our Class A common stock to decline.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under the heading “Cautionary Statement Regarding Forward-Looking Statements”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440" w:right="379" w:bottom="1440" w:gutter="0" w:footer="0" w:header="0"/>
        </w:sectPr>
      </w:pPr>
    </w:p>
    <w:bookmarkStart w:id="43" w:name="page44"/>
    <w:bookmarkEnd w:id="4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any shares of Class A common stock offered by us under this prospectus for general corporate purposes unless otherwise indicated in the applicable prospectus supplement. General corporate purposes may include working capital and purchasing from certain holders of outstanding Class A common units (“PWP OpCo Class A partnership units”) of PWP OpCo, issued pursuant to the Amended and Restated Agreement of Limited Partnership of PWP OpCo, dated as of June 24, 2021 (as amended, restated, modified or supplemented from time to time, the “PWP OpCo LPA”) and outstanding shares of our Class B common stock (as defined herein). We have not determined the amount of net proceeds to be used specifically for such purposes. As a result, management will retain broad discretion over the allocation of net proceeds from the sale of any shares of Class A common stock we may offer under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case of a sale of shares of Class A common stock by the selling stockholder, we will not receive any of the proceeds from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20" w:top="1440" w:right="399" w:bottom="1440" w:gutter="0" w:footer="0" w:header="0"/>
        </w:sectPr>
      </w:pPr>
    </w:p>
    <w:bookmarkStart w:id="44" w:name="page45"/>
    <w:bookmarkEnd w:id="4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following financial information sets forth the unaudited pro forma condensed combined statements of operations for (i) the year ended December 31, 2021 after giving effect to the Business Combination, the underwritten public offering of 3,502,033 shares of our Class A common stock completed on January 21, 2022 (the “January 2022 Offering”) and related adjustments as if they had been consummated on January 1, 2021 and (ii) the three months ended March 31, 2022 after only giving effect to the January 2022 Offering as if it had been consummated on January 1, 2021 since the Business Combination is already reflected in PWP’s historical unaudited condensed consolidated financial statements for the three months ended March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FTIV for the period from January 1, 2021 through June 24, 2021 (the Closing Date), which are not included in this prospectus;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PWP for the year ended December 31, 2021 included in Amendment No. 1 to the Company’s Annual Report on Form 10-K/A for the year ended December 31, 2021, which is incorporated by reference in this prospectus;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PWP for the three months ended March 31, 2022 included in the Company’s Quarterly Report on Form 10-Q for the three months ended March 31, 2022, which is incorporated by reference in this prospectus.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that would actually have occurred had the Business Combination and the January 2022 Offering been consummated on January 1, 2021 or to project our consolidated results of operations for any future date or period.</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the section entitled “Risk Factors” herein, as well as the sections titled “Risk Factors” and “Management’s Discussion and Analysis of Financial Condition and Results of Operations” and our consolidated financial statements and related notes, all of which are included in Amendment No. 1 to the Company’s Annual Report on Form 10-K/A for the year ended December 31, 2021 and the Company’s Quarterly Report on Form 10-Q for the three months ended March 31, 2022, each of which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subject to certain conditions set forth therein, and in connection with the closing of the Business Combination (the “Closing”):</w:t>
      </w:r>
    </w:p>
    <w:p>
      <w:pPr>
        <w:spacing w:after="0" w:line="108" w:lineRule="exact"/>
        <w:rPr>
          <w:sz w:val="20"/>
          <w:szCs w:val="20"/>
          <w:color w:val="auto"/>
        </w:rPr>
      </w:pPr>
    </w:p>
    <w:p>
      <w:pPr>
        <w:ind w:left="660" w:hanging="328"/>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newly-issued common units of PWP OpCo in exchange for cash in an amount equal to the outstanding excess cash balances of the Company (including the proceeds from the PIPE Investment (as defined herein)) as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the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new shares of Class B-1 common stock (as defined herein) and Class B-2 common stock (as defined herein)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(as defined herein), respectively, following the Closing; and</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repaid certain indebtedness of PWP OpCo and its subsidiaries, and paid certain expenses, and PWP OpCo first redeemed PWP OpCo units held by certain electing ILPs, and second, redeemed PWP OpCo units held by certain former working limited partners of Professional Partners, whose tenure was terminated prior to November 1, 2020, and retained remaining proceeds for general corporate purposes.</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also entered into a subscription agreement with certain private investors (the “PIPE Investors”) pursuant to, and on the terms and subject to the conditions of, which the PIPE Investors have collectively subscribed for 12.5 million shares of the Company’s Class A common stock for an aggregate purchase price equal to $125 million (the “PIPE Investment”), including $1.5 million subscribed by entities related to the Sponsor. The PIPE Investment was consummated concurrently with the Closing.</w:t>
      </w:r>
    </w:p>
    <w:p>
      <w:pPr>
        <w:spacing w:after="0" w:line="12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ownership interests in the Company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Class A Common Stock (Excluding Founder Shares (as defined herein) and Placement Shares (as defined</w:t>
            </w: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herein))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35,500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2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jc w:val="both"/>
        <w:ind w:left="340" w:hanging="332"/>
        <w:spacing w:after="0" w:line="261" w:lineRule="auto"/>
        <w:tabs>
          <w:tab w:leader="none" w:pos="35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hanging="332"/>
        <w:spacing w:after="0" w:line="263" w:lineRule="auto"/>
        <w:tabs>
          <w:tab w:leader="none" w:pos="40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January 2022 Offering and the use of proceeds thereof, the ownership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jc w:val="both"/>
        <w:ind w:left="340" w:hanging="332"/>
        <w:spacing w:after="0" w:line="257" w:lineRule="auto"/>
        <w:tabs>
          <w:tab w:leader="none" w:pos="37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certain existing investor limited partners of PWP OpCo who hold interests in PWP OpCo, alongside Professional Partners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2" w:lineRule="exact"/>
        <w:rPr>
          <w:rFonts w:ascii="Times New Roman" w:cs="Times New Roman" w:eastAsia="Times New Roman" w:hAnsi="Times New Roman"/>
          <w:sz w:val="14"/>
          <w:szCs w:val="14"/>
          <w:color w:val="auto"/>
        </w:rPr>
      </w:pPr>
    </w:p>
    <w:p>
      <w:pPr>
        <w:ind w:left="340" w:hanging="332"/>
        <w:spacing w:after="0" w:line="278" w:lineRule="auto"/>
        <w:tabs>
          <w:tab w:leader="none" w:pos="40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Times New Roman" w:cs="Times New Roman" w:eastAsia="Times New Roman" w:hAnsi="Times New Roman"/>
          <w:sz w:val="18"/>
          <w:szCs w:val="18"/>
          <w:i w:val="1"/>
          <w:iCs w:val="1"/>
          <w:color w:val="auto"/>
        </w:rPr>
        <w:t>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and consummation of the January 2022 Offering.</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59"/>
        <w:spacing w:after="0" w:line="226" w:lineRule="auto"/>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January 2022</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FTIV</w:t>
            </w:r>
          </w:p>
        </w:tc>
        <w:tc>
          <w:tcPr>
            <w:tcW w:w="20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PWP</w:t>
            </w:r>
          </w:p>
        </w:tc>
        <w:tc>
          <w:tcPr>
            <w:tcW w:w="100" w:type="dxa"/>
            <w:vAlign w:val="bottom"/>
          </w:tcPr>
          <w:p>
            <w:pPr>
              <w:spacing w:after="0"/>
              <w:rPr>
                <w:sz w:val="12"/>
                <w:szCs w:val="12"/>
                <w:color w:val="auto"/>
              </w:rPr>
            </w:pPr>
          </w:p>
        </w:tc>
        <w:tc>
          <w:tcPr>
            <w:tcW w:w="96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(c)</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 and occupancy</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799,099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income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(h)</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 (k)</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(43,634)</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7,596</w:t>
            </w:r>
          </w:p>
        </w:tc>
        <w:tc>
          <w:tcPr>
            <w:tcW w:w="3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(41,571)</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(53,520)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(10,698) (e)</w:t>
            </w:r>
          </w:p>
        </w:tc>
        <w:tc>
          <w:tcPr>
            <w:tcW w:w="100" w:type="dxa"/>
            <w:vAlign w:val="bottom"/>
          </w:tcPr>
          <w:p>
            <w:pPr>
              <w:spacing w:after="0"/>
              <w:rPr>
                <w:sz w:val="18"/>
                <w:szCs w:val="18"/>
                <w:color w:val="auto"/>
              </w:rPr>
            </w:pP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rPr>
              <w:t>(1,696) (j)</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(64,218)</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(35,195) (f)</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(998) (j)</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(64,991)</w:t>
            </w: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(29,501) (c)</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(12,741) (i)</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(loss) per share attributable to Class A common</w:t>
            </w: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(0.11) (g)</w:t>
            </w: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(0.71) (g)</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42,595,712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46,899,646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92,749,911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93,556,111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320" w:top="914" w:right="3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19"/>
        <w:spacing w:after="0" w:line="226"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PWP</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2022</w:t>
            </w:r>
          </w:p>
        </w:tc>
        <w:tc>
          <w:tcPr>
            <w:tcW w:w="260" w:type="dxa"/>
            <w:vAlign w:val="bottom"/>
          </w:tcPr>
          <w:p>
            <w:pPr>
              <w:spacing w:after="0"/>
              <w:rPr>
                <w:sz w:val="16"/>
                <w:szCs w:val="16"/>
                <w:color w:val="auto"/>
              </w:rPr>
            </w:pPr>
          </w:p>
        </w:tc>
        <w:tc>
          <w:tcPr>
            <w:tcW w:w="13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Offering Adjustments</w:t>
            </w:r>
          </w:p>
        </w:tc>
        <w:tc>
          <w:tcPr>
            <w:tcW w:w="2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color w:val="auto"/>
              </w:rPr>
              <w:t>(l)</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color w:val="auto"/>
              </w:rPr>
              <w:t>(m)</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 and occupancy</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income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w:t>
            </w:r>
          </w:p>
        </w:tc>
        <w:tc>
          <w:tcPr>
            <w:tcW w:w="6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48,828,952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95,364,897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420" w:type="dxa"/>
            <w:vAlign w:val="bottom"/>
          </w:tcPr>
          <w:p>
            <w:pPr>
              <w:spacing w:after="0"/>
              <w:rPr>
                <w:sz w:val="24"/>
                <w:szCs w:val="24"/>
                <w:color w:val="auto"/>
              </w:rPr>
            </w:pP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14" w:right="359" w:bottom="1440" w:gutter="0" w:footer="0" w:header="0"/>
        </w:sectPr>
      </w:pPr>
    </w:p>
    <w:bookmarkStart w:id="50" w:name="page51"/>
    <w:bookmarkEnd w:id="50"/>
    <w:p>
      <w:pPr>
        <w:spacing w:after="0" w:line="379"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pro forma adjustments have been prepared as if the January 2022 Offering and the Business Combination had been consummated on January 1, 2021, the beginning of the earliest period presented, in the case of the unaudited pro forma condensed combined statements of operations.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United States generally accepted accounting principles (“GAAP”).</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Year Ended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reflects the following adjustments:</w:t>
      </w:r>
    </w:p>
    <w:p>
      <w:pPr>
        <w:spacing w:after="0" w:line="171" w:lineRule="exact"/>
        <w:rPr>
          <w:sz w:val="20"/>
          <w:szCs w:val="20"/>
          <w:color w:val="auto"/>
        </w:rPr>
      </w:pPr>
    </w:p>
    <w:p>
      <w:pPr>
        <w:ind w:left="660" w:hanging="328"/>
        <w:spacing w:after="0" w:line="282"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FTIV historical unaudited condensed statement of operations for the period from January 1, 2021 through June 24, 2021 (the Closing Date).</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audited consolidated statement of operations for the year ended December 31, 2021.</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Transaction RSUs.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Transaction RSUs during the year ended December 31, 2021. Historical equity-based compensation amounts and the expense related to ACUs and VCUs discussed in adjustment (c) have been allocated to non-controlling interests as the vesting of ACUs and VCUs do not impact the Company as there is no additional dilution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shareholders and no impact to the allocation of distributions from PWP OpCo to each of its investors (including the Company).</w:t>
      </w:r>
    </w:p>
    <w:p>
      <w:pPr>
        <w:spacing w:after="0" w:line="171" w:lineRule="exact"/>
        <w:rPr>
          <w:sz w:val="20"/>
          <w:szCs w:val="20"/>
          <w:color w:val="auto"/>
        </w:rPr>
      </w:pPr>
    </w:p>
    <w:p>
      <w:pPr>
        <w:jc w:val="both"/>
        <w:ind w:left="328" w:hanging="328"/>
        <w:spacing w:after="0" w:line="261" w:lineRule="auto"/>
        <w:tabs>
          <w:tab w:leader="none" w:pos="3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328"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number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and an adjustment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328"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year ended December 31, 2021:</w:t>
      </w:r>
    </w:p>
    <w:p>
      <w:pPr>
        <w:spacing w:after="0" w:line="220"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8"/>
          </w:cols>
          <w:pgMar w:left="652" w:top="1440" w:right="339" w:bottom="1440" w:gutter="0" w:footer="0" w:header="0"/>
        </w:sectPr>
      </w:pPr>
    </w:p>
    <w:p>
      <w:pPr>
        <w:spacing w:after="0" w:line="3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-125095</wp:posOffset>
            </wp:positionV>
            <wp:extent cx="618934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11" w:lineRule="exact"/>
        <w:rPr>
          <w:sz w:val="20"/>
          <w:szCs w:val="20"/>
          <w:color w:val="auto"/>
        </w:rPr>
      </w:pPr>
    </w:p>
    <w:p>
      <w:pPr>
        <w:ind w:left="348" w:right="2022"/>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-167005</wp:posOffset>
            </wp:positionV>
            <wp:extent cx="618934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ind w:left="348" w:right="1422"/>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-245110</wp:posOffset>
            </wp:positionV>
            <wp:extent cx="618934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618934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46,899,646</w:t>
      </w:r>
    </w:p>
    <w:p>
      <w:pPr>
        <w:spacing w:after="0" w:line="27"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1"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8"/>
          <w:szCs w:val="18"/>
          <w:color w:val="auto"/>
        </w:rPr>
        <w:t>93,556,111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51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57" w:lineRule="exact"/>
        <w:rPr>
          <w:sz w:val="20"/>
          <w:szCs w:val="20"/>
          <w:color w:val="auto"/>
        </w:rPr>
      </w:pPr>
    </w:p>
    <w:p>
      <w:pPr>
        <w:ind w:left="1018" w:hanging="1018"/>
        <w:spacing w:after="0"/>
        <w:tabs>
          <w:tab w:leader="none" w:pos="10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51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7870" w:space="720"/>
            <w:col w:w="2318"/>
          </w:cols>
          <w:pgMar w:left="652" w:top="1440" w:right="33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171" w:lineRule="exact"/>
        <w:rPr>
          <w:sz w:val="20"/>
          <w:szCs w:val="20"/>
          <w:color w:val="auto"/>
        </w:rPr>
      </w:pPr>
    </w:p>
    <w:p>
      <w:pPr>
        <w:ind w:left="328" w:right="20" w:hanging="328"/>
        <w:spacing w:after="0" w:line="282" w:lineRule="auto"/>
        <w:tabs>
          <w:tab w:leader="none" w:pos="3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interest expense assuming the paydown of all outstanding debt from the proceeds of the Business Combination as if it occurred on January 1, 2021.</w:t>
      </w:r>
    </w:p>
    <w:p>
      <w:pPr>
        <w:spacing w:after="0" w:line="107"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adjust non-controlling interests for the portion of net income (loss) attributable to non-controlling interests resulting from adjustments (d), (h) and (k) based on the aggregate Professional Partners and ILPs ownership as depicted in the Capitalization table above, adjusted for the assumed vesting of Transaction RSUs during the year ended December 31, 2021 and for treasury stock purchases that occurred in 2021.</w:t>
      </w:r>
    </w:p>
    <w:p>
      <w:pPr>
        <w:spacing w:after="0" w:line="1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1"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eliminate the interest income on the investments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8"/>
          </w:cols>
          <w:pgMar w:left="652" w:top="1440" w:right="339" w:bottom="1440" w:gutter="0" w:footer="0" w:header="0"/>
          <w:type w:val="continuous"/>
        </w:sectPr>
      </w:pPr>
    </w:p>
    <w:bookmarkStart w:id="52" w:name="page53"/>
    <w:bookmarkEnd w:id="52"/>
    <w:p>
      <w:pPr>
        <w:spacing w:after="0" w:line="136" w:lineRule="exact"/>
        <w:rPr>
          <w:sz w:val="20"/>
          <w:szCs w:val="20"/>
          <w:color w:val="auto"/>
        </w:rPr>
      </w:pPr>
    </w:p>
    <w:p>
      <w:pPr>
        <w:ind w:left="340" w:hanging="332"/>
        <w:spacing w:after="0" w:line="286" w:lineRule="auto"/>
        <w:tabs>
          <w:tab w:leader="none" w:pos="3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Three Months Ended March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2022 reflects the following adjustments:</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operations for the three months ended March 31, 2022.</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Net income (loss) attributable to non-controlling interests as if PWP’s increased ownership in PWP OpCo as a result of the January 2022 Offering, and the related acquisition described in (j) above, was reflected for the full three months ended March 31, 2022. The related pro forma impact to Income tax benefit (expense) is not material.</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6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Class A common stock outstanding Basic and Diluted for the three months ended March 31, 2022 as reported in PWP’s historical unaudited condensed consolidated financial statements are adjusted to assume 3,502,033 shares related to the January 2022 Offering and 2,132,788 additional shares related to Transaction RSUs subject to a time-based vesting schedule were outstanding for the whole period presented.</w:t>
      </w:r>
    </w:p>
    <w:p>
      <w:pPr>
        <w:spacing w:after="0" w:line="125" w:lineRule="exact"/>
        <w:rPr>
          <w:rFonts w:ascii="Times New Roman" w:cs="Times New Roman" w:eastAsia="Times New Roman" w:hAnsi="Times New Roman"/>
          <w:sz w:val="18"/>
          <w:szCs w:val="18"/>
          <w:color w:val="auto"/>
        </w:rPr>
      </w:pPr>
    </w:p>
    <w:p>
      <w:pPr>
        <w:ind w:left="66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three months ended March 31, 2022:</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-125095</wp:posOffset>
            </wp:positionV>
            <wp:extent cx="618934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11" w:lineRule="exact"/>
        <w:rPr>
          <w:sz w:val="20"/>
          <w:szCs w:val="20"/>
          <w:color w:val="auto"/>
        </w:rPr>
      </w:pPr>
    </w:p>
    <w:p>
      <w:pPr>
        <w:ind w:left="680" w:right="2020"/>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-167005</wp:posOffset>
            </wp:positionV>
            <wp:extent cx="618934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ind w:left="680" w:right="1420"/>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-245110</wp:posOffset>
            </wp:positionV>
            <wp:extent cx="618934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18934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48,828,952</w:t>
      </w:r>
    </w:p>
    <w:p>
      <w:pPr>
        <w:spacing w:after="0" w:line="27"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46,535,945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951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95,364,897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9518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57" w:lineRule="exact"/>
        <w:rPr>
          <w:sz w:val="20"/>
          <w:szCs w:val="20"/>
          <w:color w:val="auto"/>
        </w:rPr>
      </w:pPr>
    </w:p>
    <w:p>
      <w:pPr>
        <w:ind w:left="1100" w:hanging="109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951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8200" w:space="720"/>
            <w:col w:w="2320"/>
          </w:cols>
          <w:pgMar w:left="320" w:top="1440"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Net income (loss) per share of Class B common stock has not been presented as the shares have de minimis economic and participating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type w:val="continuous"/>
        </w:sectPr>
      </w:pPr>
    </w:p>
    <w:bookmarkStart w:id="53" w:name="page54"/>
    <w:bookmarkEnd w:id="5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unaudited pro forma per share information of the Company for (i) the year ended December 31, 2021 after giving effect to the Business Combination and the January 2022 Offering as if they had occurred on January 1, 2021 and (ii) the three months ended March 31, 2022 after giving effect to the January 2022 Offering as if it had occurred on January 1, 2021.</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section entitled “Management’s Discussion and Analysis of Financial Condition and Results of Operations” and the audited and unaudited historical financial statements and the related notes of PWP included in Amendment No. 1 to the Company’s Annual Report on Form 10-K/A for the year ended December 31, 2021 and in the Company’s Quarterly Report on Form 10-Q for the three months ended March 31, 2022, as the case may be, each of which is incorporated by reference herein.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consolidated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January 2022 Offering nor the book value per share for any future date or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PWP Historical</w:t>
            </w:r>
          </w:p>
        </w:tc>
        <w:tc>
          <w:tcPr>
            <w:tcW w:w="10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2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Book value per share, March 31, 2022</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March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March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March 31, 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48,828,952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March 31, 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95,364,897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December 31, 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December 31,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December 31, 2021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46,899,646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December 31, 2021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93,556,111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share equals historical total equity of $285.6 million as of March 31, 2022 divided by historical or pro forma combined weighted average shares of Class A common stock outstanding—diluted,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Delaware General Corporation Law (the “DGCL”), as applicable.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2,200,000,000 shares, consisting of (a) 2,100,000,000 shares of common stock including (i) 1,500,000,000 shares of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June 27, 2022, our issued and outstanding share capital consisted of: (i) 41,867,059 shares of Class A common stock, (ii) 43,725,944 shares of Class B-1 common stock, (iii) 1,964,044 shares of Class B-2 common stock, (iv) no shares of preferred stock and (v) 7,869,975 warrants to purchase shares of our Class A common stock (“Warrants”), consisting of 7,666,642 redeemable warrants that were underlying the units sold in FTIV’s initial public offering (the “Public Warrants”) and 203,333 warrants that were underlying units sold as part of a private placement in connection with FTIV’s initial public offering (the “Private Placement Warrants”). Such numbers do not include DTC participants or beneficial owners holding shares through nominee names.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do not have preemptive or subscription rights.</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Upon the terms and subject to the conditions of the PWP OpCo LPA, holders of PWP OpCo Class A partnership units (other than us) may redeem such PWP OpCo Class A partnership units for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on a one-for-one basis or cash equal to the value of such shares, with the form of consideration determined by us.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Pursuant to the Sponsor Share Surrender and Share Restriction Agreement, dated as of December 29, 2020, among the Company, PWP OpCo, the Sponsor and the other parties thereto (as amended on May 4, 2021, the “Sponsor Share Surrender and Share Restriction Agreement”), the Sponsor, concurrently with the Closing, agreed that the 610,000 shares of Class A common stock purchased by the Sponsor as part of private placement units in connection with FTIV’s initial public offering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33" w:lineRule="exact"/>
        <w:rPr>
          <w:sz w:val="20"/>
          <w:szCs w:val="20"/>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or December 24, 2021 (the “6-Month Anniversary”);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7, 2022, the Sponsor distributed 5,456,667 shares of Class A common stock (Founder Shares and Placement Shares) and 203,333 Private Placement Warrants to its members, pursuant to its contractual obligation under the limited liability company agreement (the “Sponsor Distribution”), after which the Sponsor owns 1,000,000 shares of our Class A common stock and no Private Placement Warrants. The 1,000,000 shares of Class A common stock retained by the Sponsor continue to be subject to transfer restrictions until the $15 Threshold is met. 1,738,680 of the shares distributed in the Sponsor Distribution remain subject to transfer restrictions described above until the $15 Threshold or the $17 Threshold is met, as applicable.</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repurchase up to 1,000,000 Founder Shares, in aggregate, per Trigger Date for a purchase price of $12.00 per share or $15.00 per share, respectively, by providing written notice of such repurchase election to the holder, and such repurchase shall be consummated within five business days after the date of such written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the filing of our second amended and restated certificate of incorporation with the Secretary of State of the State of Delaware in connection with the closing of the Business Combination, each share of Pre-Business Combination Class B Common Stock (as defined herein) owned by the Sponsor prior to the Closing (each, a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(“Pre-Business Combination Class B Common Stock”), into one share of Class A common stock and the number of authorized shares of Pre-Business Combination Class B Common Stock was reduced to zero.</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so long as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B common stock do not have preemptive or subscription rights.</w:t>
      </w:r>
    </w:p>
    <w:p>
      <w:pPr>
        <w:spacing w:after="0" w:line="17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2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full or limited, or no voting powers of such class or series;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designations, preferences and relative, participating, optional or other special rights and such qualifications, limitations or restrictions thereof,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such class or series;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related dividend rates, conditions and times for payment and preferences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class or series upon our dissolution or upon any distribution of our assets;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for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1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with American Stock Transfer &amp; Trust Company, LLC,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w:t>
      </w:r>
    </w:p>
    <w:p>
      <w:pPr>
        <w:spacing w:after="0" w:line="3" w:lineRule="exact"/>
        <w:rPr>
          <w:sz w:val="20"/>
          <w:szCs w:val="20"/>
          <w:color w:val="auto"/>
        </w:rPr>
      </w:pPr>
    </w:p>
    <w:p>
      <w:pPr>
        <w:ind w:right="20" w:firstLine="8"/>
        <w:spacing w:after="0" w:line="255"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provides that our board of directors will be divided into three classes that will be, as nearly as may be possible, of equal size. The initial term of the Class I directors expired at the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of our stockholders, at which the Class I directors were renominated and reelected to serve a three-year term. The initial terms of the Class</w:t>
      </w:r>
    </w:p>
    <w:p>
      <w:pPr>
        <w:spacing w:after="0" w:line="27" w:lineRule="exact"/>
        <w:rPr>
          <w:sz w:val="20"/>
          <w:szCs w:val="20"/>
          <w:color w:val="auto"/>
        </w:rPr>
      </w:pPr>
    </w:p>
    <w:p>
      <w:pPr>
        <w:ind w:right="20" w:firstLine="8"/>
        <w:spacing w:after="0" w:line="255" w:lineRule="auto"/>
        <w:tabs>
          <w:tab w:leader="none" w:pos="1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Class III directors will expire at the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in connection with the Closing,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for our Class A common stock and warrant agent for the Public Warrants and Private Placement Warrants is American Stock Transfer &amp; Trust Company,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80"/>
          </w:cols>
          <w:pgMar w:left="320" w:top="1440" w:right="399" w:bottom="1440" w:gutter="0" w:footer="0" w:header="0"/>
        </w:sectPr>
      </w:pPr>
    </w:p>
    <w:bookmarkStart w:id="64" w:name="page65"/>
    <w:bookmarkEnd w:id="6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selling stockholder named in the table below may from time to time on a delayed or continuous basis offer and sell pursuant to this prospectus and any applicable prospectus supplement the shares set forth in the table below. The selling stockholder may sell all, a portion or none of the shares included in the table below at any time.</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selling stockholder has advised the Company that notwithstanding its inclusion as a selling stockholder in this prospectus, it may continue to evaluate whether to make purchases of the Company’s Class A common stock. Such purchases, if any, would be in accordance with the applicable provisions of the Exchange Act and the rules and regulations under the Exchange Act, including Regulation M. We may amend or supplement this prospectus from time to time in the future to update or change this selling stockholder list and the securities that may be resold.</w:t>
      </w:r>
    </w:p>
    <w:p>
      <w:pPr>
        <w:spacing w:after="0" w:line="12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The following table is prepared based on information provided to us by the selling stockholder. It sets forth the name and address of the selling stockholder, the aggregate number of shares of Class A common stock that the selling stockholder may offer pursuant to this prospectus, and the beneficial ownership of the selling stockholder both before and after the offering. We have based percentage ownership on 42,278,973 shares of Class A common stock outstanding as of June 17, 2022. In calculating percentages of shares of Class A common stock owned by the selling stockholder, we treated as outstanding the number of shares of our Class A common stock issuable upon exercise of the selling stockholder’s Warrants and did not assume the exercise of any other Warrants. The information regarding shares beneficially owned after the offering assumes the sale of all shares offered by the selling stockholder.</w:t>
      </w:r>
    </w:p>
    <w:p>
      <w:pPr>
        <w:spacing w:after="0" w:line="11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stockholder will in fact sell any or all of such Class A common stock. In addition, the selling stockholder may have sold or transferred some or all of the shares of Class A common stock indicated below and may in the future sell, transfer or otherwise dispose of, at any time and from time to time, the Class A common stock in transactions exempt from the registration requirements of the Securities Act after the date of this prospectus.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3"/>
            <w:vMerge w:val="restart"/>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to be Sold in</w:t>
            </w:r>
          </w:p>
        </w:tc>
        <w:tc>
          <w:tcPr>
            <w:tcW w:w="1660" w:type="dxa"/>
            <w:vAlign w:val="bottom"/>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244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Holder</w:t>
            </w:r>
          </w:p>
        </w:tc>
        <w:tc>
          <w:tcPr>
            <w:tcW w:w="1280" w:type="dxa"/>
            <w:vAlign w:val="bottom"/>
            <w:gridSpan w:val="2"/>
          </w:tcPr>
          <w:p>
            <w:pPr>
              <w:ind w:left="2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ind w:left="2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vMerge w:val="restart"/>
          </w:tcPr>
          <w:p>
            <w:pPr>
              <w:jc w:val="right"/>
              <w:ind w:right="472"/>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1"/>
                <w:szCs w:val="11"/>
                <w:color w:val="auto"/>
              </w:rPr>
            </w:pPr>
          </w:p>
        </w:tc>
        <w:tc>
          <w:tcPr>
            <w:tcW w:w="1660" w:type="dxa"/>
            <w:vAlign w:val="bottom"/>
            <w:gridSpan w:val="3"/>
          </w:tcPr>
          <w:p>
            <w:pPr>
              <w:jc w:val="center"/>
              <w:ind w:right="4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ind w:right="392"/>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00"/>
        </w:trPr>
        <w:tc>
          <w:tcPr>
            <w:tcW w:w="3440" w:type="dxa"/>
            <w:vAlign w:val="bottom"/>
            <w:gridSpan w:val="2"/>
            <w:vMerge w:val="continue"/>
          </w:tcPr>
          <w:p>
            <w:pPr>
              <w:spacing w:after="0"/>
              <w:rPr>
                <w:sz w:val="17"/>
                <w:szCs w:val="17"/>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FinTech Masala, LLC</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1,942,593</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1,942,590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42,278,973 shares of Class A common stock outstanding as of June 17, 2022.</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62" w:lineRule="auto"/>
        <w:tabs>
          <w:tab w:leader="none" w:pos="3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Class A common stock beneficially owned by the selling stockholder includes 3 Warrants held by the selling stockholder, which are exercisable for shares of Class A common stock within 60 days.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FinTech Masala, LLC and FinTech Masala Holdings, LLC shares voting and investment power over the shares of common stock held directly by the selling stockholder. The address for the selling stockholder is 2929 Arch Street, Suite 1703, Philadelphia, PA 19104.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G. Cohen is a member of our board of directors and a managing member of FinTech Masala,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and/or the selling stockholder may sell the shares of Class A common stock being offered hereby in one or more of the following ways from time to time, which may involve crosses or block transactions:</w:t>
      </w:r>
    </w:p>
    <w:p>
      <w:pPr>
        <w:spacing w:after="0" w:line="10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for resale to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to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including affiliates;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block trades in which the broker-dealer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w:t>
      </w:r>
    </w:p>
    <w:p>
      <w:pPr>
        <w:spacing w:after="0" w:line="17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and/or the selling stockholder may directly solicit offers to purchase shares of Class A common stock, or agents may be designated to solicit such offers. We and/or the selling stockholder will, in the prospectus supplement relating to such offering, name any agent that could be viewed as an underwriter under the Securities Act, and describe any commissions that we or the selling stockholder, as applicable, must pay. Any such agent will be acting on a best efforts basis for the period of its appointment or, if indicated in the applicable prospectus supplement, on a firm commitment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shares of Class A common stock may be effected from time to time in one or more transactions:</w:t>
      </w:r>
    </w:p>
    <w:p>
      <w:pPr>
        <w:spacing w:after="0" w:line="17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shares of Class A common stock and any applicable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will describe the terms of the offering of the shares of Class A common stock, including the following:</w:t>
      </w:r>
    </w:p>
    <w:p>
      <w:pPr>
        <w:spacing w:after="0" w:line="17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dealer or any underwriters;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and/or the selling stockholder, as applicable, will receive from the sale of the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offered shares may be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shares of Class A common stock in respect of which this prospectus is delivered, we and/or the selling stockholder will enter into an underwriting agreement or other agreement with them at the time of sale to them, and the prospectus supplement relating to such offering will set forth the names of the underwriters or agents and the terms of the related agreement with them.</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shares of Class A common stock in respect of which this prospectus is delivered, we and/or the selling stockholder will sell such shares to the dealer, as principal. The dealer may then resell such shares to the public at varying prices to be determined by such dealer at the time of resale.</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offer shares of Class A common stock in a subscription rights offering to our existing security holders, we may enter into a standby underwriting agreement with dealers, acting as standby underwriters. We may pay the standby underwriters a commitment fee for the shares they commit to purchase on a standby basis. If we do not enter into a standby underwriting arrangement, we may retain a dealer-manager to manage a subscription rights offering for us.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and/or the selling stockholder will authorize underwriters or other persons acting as our or its agents to solicit offers by certain institutions to purchase shares of Class A common stock from us and/or the selling stockholder pursuant to delayed delivery contracts providing for payment and delivery on the date stated in the prospectus supplement. Each contract will be for an amount not less than, and the aggregate amount of shares of Class A common stock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35" w:lineRule="exact"/>
        <w:rPr>
          <w:sz w:val="20"/>
          <w:szCs w:val="20"/>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shares covered under that contract shall not, at the time of delivery, be prohibited under the laws of the jurisdiction to which that institution is subject;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also being sold to underwriters acting as principals for their own account, the underwriters shall have purchased such shares not sold for delayed delivery. The underwriters and other persons acting as our agents will not have any responsibility in respect of the validity or performance of delayed delivery contracts.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selling stockholder may also sell our securities short and deliver the securities to close out their short positions or loan or pledge the securities to broker-dealers that in turn may sell the securities. The selling stockholder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the selling stockholder or one or more of our or their respective affiliates in the ordinary course of business.</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the shares of Class A common stock, any underwriters may engage in transactions that stabilize, maintain or otherwise affect the price of the Class A common stock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Class A common stock or of any such other securities, the underwriters may bid for, and purchase, the Class A common stock or any such other securities in the open market. Finally,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offering of the shares of Class A common stock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Class A common stock above independent market levels. Any such underwriters are not required to engage in these activities and may end any of these activities at any time.</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selling stockholder is subject to the applicable provisions of the Exchange Act and the rules and regulations under the Exchange Act, including Regulation M. This regulation may limit the timing of purchases and sales of any of the securities offered in this prospectus by the selling stockholder. The anti-manipulation rules under the Exchange Act may apply to sales of the securities in the market and to the activities of the selling stockholder and its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3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Instead of selling the shares of Class A common stock under this prospectus, the selling stockholder may sell the shares of Class A common stock in compliance with the provisions of Rule 144 under the Securities Act, if available, or pursuant to other available exemptions from the registration requirements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7, 2022, the Sponsor distributed 1,942,590 shares of Class A common stock to the selling stockholder as part of the Sponsor Distribution, all of which may be offered by the selling stockholder under this prospectus. 148,032 and 548,842 of the shares of Class A common stock distributed to the selling stockholder in the Sponsor Distribution remain subject to the transfer restrictions set forth in the Sponsor Share Surrender and Share Restriction Agreement described above under “Description of Securities” until the $15 Threshold and the $17 Threshold, respectively, is met.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additional lock-up arrangements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440" w:right="379" w:bottom="1440" w:gutter="0" w:footer="0" w:header="0"/>
        </w:sectPr>
      </w:pPr>
    </w:p>
    <w:bookmarkStart w:id="68" w:name="page69"/>
    <w:bookmarkEnd w:id="6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Skadden, Arps, Slate, Meagher &amp; Flom LLP, New York, New York, will pass upon certain legal matters relating to the issuance and/or sale of the securities offered hereby.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of Perella Weinberg Partners as of December 31, 2021 and 2020, and for each of the three years in the period ended December 31, 2021, appearing in Perella Weinberg Partner’s Amendment No. 1 to the Annual Report on Form 10-K/A for the year ended December 31,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440" w:right="37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165100</wp:posOffset>
            </wp:positionV>
            <wp:extent cx="1397000" cy="53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1397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567690</wp:posOffset>
            </wp:positionV>
            <wp:extent cx="1971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113030</wp:posOffset>
            </wp:positionV>
            <wp:extent cx="1971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 Running Manager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Citizens JMP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1768475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1794510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lvl w:ilvl="1">
      <w:lvlJc w:val="left"/>
      <w:lvlText w:val="(%2)"/>
      <w:numFmt w:val="lowerRoman"/>
      <w:start w:val="5"/>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lvl w:ilvl="1">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Roman"/>
      <w:start w:val="1"/>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7"/>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lowerLetter"/>
      <w:start w:val="8"/>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1)"/>
      <w:numFmt w:val="lowerLetter"/>
      <w:start w:val="12"/>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upperLetter"/>
      <w:start w:val="35"/>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jpe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jpe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30" Type="http://schemas.openxmlformats.org/officeDocument/2006/relationships/hyperlink" Target="https://www.sec.gov/Archives/edgar/data/1777835/000177783524000031/pwp-20231231.htm" TargetMode="External"/><Relationship Id="rId31" Type="http://schemas.openxmlformats.org/officeDocument/2006/relationships/hyperlink" Target="https://www.sec.gov/Archives/edgar/data/1777835/000177783524000003/pwp-20231231.htm" TargetMode="External"/><Relationship Id="rId32" Type="http://schemas.openxmlformats.org/officeDocument/2006/relationships/hyperlink" Target="https://www.sec.gov/Archives/edgar/data/1777835/000177783523000083/pwp-def14ax2022proxy.htm" TargetMode="External"/><Relationship Id="rId33" Type="http://schemas.openxmlformats.org/officeDocument/2006/relationships/hyperlink" Target="https://www.sec.gov/Archives/edgar/data/1777835/000177783524000031/ex-42xdescriptionofsecurit.htm" TargetMode="External"/><Relationship Id="rId35" Type="http://schemas.openxmlformats.org/officeDocument/2006/relationships/hyperlink" Target="https://www.sec.gov/ix?doc=/Archives/edgar/data/0001777835/000177783522000054/pwp-20211231.htm" TargetMode="External"/><Relationship Id="rId36" Type="http://schemas.openxmlformats.org/officeDocument/2006/relationships/hyperlink" Target="https://www.sec.gov/ix?doc=/Archives/edgar/data/0001777835/000177783522000028/pwp-20220331.htm" TargetMode="External"/><Relationship Id="rId37" Type="http://schemas.openxmlformats.org/officeDocument/2006/relationships/hyperlink" Target="https://www.sec.gov/Archives/edgar/data/0001777835/000177783522000015/pwp-def14ax2021proxyamendm.htm" TargetMode="External"/><Relationship Id="rId38" Type="http://schemas.openxmlformats.org/officeDocument/2006/relationships/hyperlink" Target="https://www.sec.gov/Archives/edgar/data/0001777835/000177783522000017/defa14a-proxynotice.htm" TargetMode="External"/><Relationship Id="rId39" Type="http://schemas.openxmlformats.org/officeDocument/2006/relationships/hyperlink" Target="https://www.sec.gov/ix?doc=/Archives/edgar/data/0001777835/000177783522000003/pwp-20220217.htm" TargetMode="External"/><Relationship Id="rId40" Type="http://schemas.openxmlformats.org/officeDocument/2006/relationships/hyperlink" Target="https://www.sec.gov/ix?doc=/Archives/edgar/data/0001777835/000177783522000031/pwp-20220524.htm" TargetMode="External"/><Relationship Id="rId41" Type="http://schemas.openxmlformats.org/officeDocument/2006/relationships/hyperlink" Target="https://www.sec.gov/ix?doc=/Archives/edgar/data/0001777835/000177783522000049/pwp-20220531.htm" TargetMode="External"/><Relationship Id="rId42" Type="http://schemas.openxmlformats.org/officeDocument/2006/relationships/hyperlink" Target="https://www.sec.gov/Archives/edgar/data/1777835/000177783522000008/pwp-20211231xex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2024-02-27T15:40:33Z</dcterms:created>
  <dcterms:modified xsi:type="dcterms:W3CDTF">2024-02-27T15:40:33Z</dcterms:modified>
</cp:coreProperties>
</file>