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July 7, 2022</w:t>
      </w:r>
    </w:p>
    <w:p>
      <w:pPr>
        <w:spacing w:after="0" w:line="1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PERELLA WEINBERG PARTNERS</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1" w:lineRule="exact"/>
        <w:rPr>
          <w:sz w:val="24"/>
          <w:szCs w:val="24"/>
          <w:color w:val="auto"/>
        </w:rPr>
      </w:pPr>
    </w:p>
    <w:tbl>
      <w:tblPr>
        <w:tblLayout w:type="fixed"/>
        <w:tblInd w:w="2520" w:type="dxa"/>
        <w:tblCellMar>
          <w:top w:w="0" w:type="dxa"/>
          <w:left w:w="0" w:type="dxa"/>
          <w:bottom w:w="0" w:type="dxa"/>
          <w:right w:w="0" w:type="dxa"/>
        </w:tblCellMar>
      </w:tblP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84-1770732</w:t>
            </w:r>
          </w:p>
        </w:tc>
      </w:tr>
    </w:tbl>
    <w:p>
      <w:pPr>
        <w:spacing w:after="0" w:line="20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17" w:lineRule="exact"/>
        <w:rPr>
          <w:sz w:val="24"/>
          <w:szCs w:val="24"/>
          <w:color w:val="auto"/>
        </w:rPr>
      </w:pPr>
    </w:p>
    <w:p>
      <w:pPr>
        <w:ind w:left="7760" w:right="2140" w:hanging="5332"/>
        <w:spacing w:after="0" w:line="278" w:lineRule="auto"/>
        <w:tabs>
          <w:tab w:leader="none" w:pos="7740" w:val="left"/>
        </w:tabs>
        <w:rPr>
          <w:sz w:val="20"/>
          <w:szCs w:val="20"/>
          <w:color w:val="auto"/>
        </w:rPr>
      </w:pPr>
      <w:r>
        <w:rPr>
          <w:rFonts w:ascii="Times New Roman" w:cs="Times New Roman" w:eastAsia="Times New Roman" w:hAnsi="Times New Roman"/>
          <w:sz w:val="14"/>
          <w:szCs w:val="14"/>
          <w:color w:val="auto"/>
        </w:rPr>
        <w:t>organization)</w:t>
      </w:r>
      <w:r>
        <w:rPr>
          <w:sz w:val="20"/>
          <w:szCs w:val="20"/>
          <w:color w:val="auto"/>
        </w:rPr>
        <w:tab/>
      </w:r>
      <w:r>
        <w:rPr>
          <w:rFonts w:ascii="Times New Roman" w:cs="Times New Roman" w:eastAsia="Times New Roman" w:hAnsi="Times New Roman"/>
          <w:sz w:val="14"/>
          <w:szCs w:val="14"/>
          <w:color w:val="auto"/>
        </w:rPr>
        <w:t>(I.R.S. Employer Identification Number)</w:t>
      </w:r>
    </w:p>
    <w:p>
      <w:pPr>
        <w:spacing w:after="0" w:line="13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767 Fifth Avenue</w:t>
      </w:r>
    </w:p>
    <w:p>
      <w:pPr>
        <w:spacing w:after="0" w:line="2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New York, New York 10153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287-3200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5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Vladimir Shendelman, Esq.</w:t>
      </w:r>
    </w:p>
    <w:p>
      <w:pPr>
        <w:spacing w:after="0" w:line="2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General Counsel</w:t>
      </w:r>
    </w:p>
    <w:p>
      <w:pPr>
        <w:spacing w:after="0" w:line="1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Perella Weinberg Partners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767 Fifth Avenue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10153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287-3200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5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Joseph A. Coco, Esq.</w:t>
      </w:r>
    </w:p>
    <w:p>
      <w:pPr>
        <w:spacing w:after="0" w:line="2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Michael J. Schwartz, Esq.</w:t>
      </w:r>
    </w:p>
    <w:p>
      <w:pPr>
        <w:spacing w:after="0" w:line="1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Blair T. Thetford, Esq.</w:t>
      </w:r>
    </w:p>
    <w:p>
      <w:pPr>
        <w:spacing w:after="0" w:line="1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Skadden, Arps, Slate, Meagher &amp; Flom LLP</w:t>
      </w:r>
    </w:p>
    <w:p>
      <w:pPr>
        <w:spacing w:after="0" w:line="1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One Manhattan West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(212) 735-3000</w:t>
      </w:r>
    </w:p>
    <w:p>
      <w:pPr>
        <w:spacing w:after="0" w:line="5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from time to time after this registration statement becomes effective.</w:t>
      </w:r>
    </w:p>
    <w:p>
      <w:pPr>
        <w:spacing w:after="0" w:line="8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60"/>
        <w:spacing w:after="0" w:line="18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540"/>
        <w:spacing w:after="0" w:line="189" w:lineRule="exact"/>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MS PGothic" w:cs="MS PGothic" w:eastAsia="MS PGothic" w:hAnsi="MS PGothic"/>
          <w:sz w:val="14"/>
          <w:szCs w:val="14"/>
          <w:color w:val="auto"/>
        </w:rPr>
        <w:t>☐</w:t>
      </w:r>
    </w:p>
    <w:p>
      <w:pPr>
        <w:spacing w:after="0" w:line="28"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260"/>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180"/>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5"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7" w:right="339" w:bottom="1440" w:gutter="0" w:footer="0" w:header="0"/>
        </w:sectPr>
      </w:pPr>
    </w:p>
    <w:p>
      <w:pPr>
        <w:spacing w:after="0" w:line="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both"/>
        <w:spacing w:after="0" w:line="342" w:lineRule="auto"/>
        <w:rPr>
          <w:sz w:val="20"/>
          <w:szCs w:val="20"/>
          <w:color w:val="auto"/>
        </w:rPr>
      </w:pPr>
      <w:r>
        <w:rPr>
          <w:rFonts w:ascii="Times New Roman" w:cs="Times New Roman" w:eastAsia="Times New Roman" w:hAnsi="Times New Roman"/>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05" w:lineRule="exact"/>
        <w:rPr>
          <w:sz w:val="24"/>
          <w:szCs w:val="24"/>
          <w:color w:val="auto"/>
        </w:rPr>
      </w:pPr>
    </w:p>
    <w:p>
      <w:pPr>
        <w:sectPr>
          <w:pgSz w:w="11900" w:h="16838" w:orient="portrait"/>
          <w:cols w:equalWidth="0" w:num="8">
            <w:col w:w="1320" w:space="360"/>
            <w:col w:w="420" w:space="720"/>
            <w:col w:w="960" w:space="300"/>
            <w:col w:w="820" w:space="720"/>
            <w:col w:w="1220" w:space="340"/>
            <w:col w:w="560" w:space="720"/>
            <w:col w:w="1560" w:space="420"/>
            <w:col w:w="800"/>
          </w:cols>
          <w:pgMar w:left="320" w:top="1037"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4"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jc w:val="both"/>
        <w:ind w:right="200"/>
        <w:spacing w:after="0" w:line="245"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Neither we nor the selling stockholder may sell these securities until the registration statement filed with the Securities and Exchange Commission is effective. This prospectus is not an offer to sell these securities and neither we nor the selling stockholder are soliciting offers to buy these securities in any jurisdiction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July 7, 2022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114300</wp:posOffset>
            </wp:positionV>
            <wp:extent cx="171450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6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32"/>
          <w:szCs w:val="32"/>
          <w:b w:val="1"/>
          <w:bCs w:val="1"/>
          <w:color w:val="auto"/>
        </w:rPr>
        <w:t>20,000,000 Shares of Class A Common Stock</w:t>
      </w:r>
    </w:p>
    <w:p>
      <w:pPr>
        <w:spacing w:after="0" w:line="6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5"/>
          <w:szCs w:val="25"/>
          <w:b w:val="1"/>
          <w:bCs w:val="1"/>
          <w:color w:val="auto"/>
        </w:rPr>
        <w:t>by Perella Weinberg Partners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1,942,590 Shares of Class A Common Stock</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by Selling Stockholder</w:t>
      </w:r>
    </w:p>
    <w:p>
      <w:pPr>
        <w:spacing w:after="0" w:line="74"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We may offer and sell up to 20,000,000 shares of our Class A common stock, par value $0.0001 per share (“Class A common stock”) from time to time in one or more offerings. In addition, a selling stockholder named herein may offer and resell up to 1,942,590 shares of our Class A common stock from time to time in one or more offerings. We will not receive any proceeds from the sale of our Class A common stock by such selling stockholder.</w:t>
      </w:r>
    </w:p>
    <w:p>
      <w:pPr>
        <w:spacing w:after="0" w:line="13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This prospectus describes the general terms of the Class A common stock and the general manner in which the shares of Class A common stock will be offered. The specific amounts, prices and terms of the offering of the Class A common stock will be provided in one or more supplements to this prospectus at the time of offering. The prospectus supplements will also describe the specific manner in which the shares of Class A common stock will be offered and may also supplement, update or amend information contained in this document. You should read this prospectus and any applicable prospectus supplement before you invest.</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may be sold directly to you, through agents, or through underwriters and dealers. If agents, underwriters or dealers are used to sell the shares of Class A common stock, they will be named and their compensation will be described in a prospectus supplement.</w:t>
      </w:r>
    </w:p>
    <w:p>
      <w:pPr>
        <w:spacing w:after="0" w:line="9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selling stockholder will pay all underwriting discounts and selling commissions, if any, in connection with the resale of the shares of Class A common stock by the selling stockholder. We have agreed to pay certain expenses in connection with this registration statement and to indemnify the selling stockholder and certain related persons against certain liabilities. As of the date of this prospectus, no underwriter or other person has been engaged to facilitate the sale of shares of Class A common stock held by the selling stockholder.</w:t>
      </w:r>
    </w:p>
    <w:p>
      <w:pPr>
        <w:spacing w:after="0" w:line="13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“PWP.” On July 5, 2022, the closing price of our Class A common stock on the Nasdaq was $6.09 per share.</w:t>
      </w:r>
    </w:p>
    <w:p>
      <w:pPr>
        <w:spacing w:after="0" w:line="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Investing in our Class A common stock involves certain risks. See “Risk Factors” on page </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b w:val="1"/>
          <w:bCs w:val="1"/>
          <w:color w:val="auto"/>
        </w:rPr>
        <w:t xml:space="preserve"> of this prospectus and any similar section included in any accompanying prospectus supplement and in the documents incorporated by reference herein and therein. You should carefully consider these risks before you make your investment decision.</w:t>
      </w:r>
    </w:p>
    <w:p>
      <w:pPr>
        <w:spacing w:after="0" w:line="12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We and/or the selling stockholder may offer shares of Class A common stock through underwriting syndicates managed or co-managed by one or more underwriters or dealers, through agents or directly to purchasers. If required, the prospectus supplement for each offering of shares of Class A common stock will describe the plan of distribution for that offering. For general information about the distribution of the shares of Class A common stock offered, please see “Plan of Distribution” in this prospectus.</w:t>
      </w:r>
    </w:p>
    <w:p>
      <w:pPr>
        <w:spacing w:after="0" w:line="113"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spacing w:after="0" w:line="104" w:lineRule="exact"/>
        <w:rPr>
          <w:sz w:val="20"/>
          <w:szCs w:val="20"/>
          <w:color w:val="auto"/>
        </w:rPr>
      </w:pPr>
    </w:p>
    <w:tbl>
      <w:tblPr>
        <w:tblLayout w:type="fixed"/>
        <w:tblInd w:w="392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240"/>
          </w:cols>
          <w:pgMar w:left="320" w:top="914" w:right="339" w:bottom="1440" w:gutter="0" w:footer="0" w:header="0"/>
        </w:sectPr>
      </w:pPr>
    </w:p>
    <w:bookmarkStart w:id="2" w:name="page3"/>
    <w:bookmarkEnd w:id="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14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460" w:type="dxa"/>
            <w:vAlign w:val="bottom"/>
            <w:gridSpan w:val="6"/>
          </w:tcPr>
          <w:p>
            <w:pPr>
              <w:spacing w:after="0"/>
              <w:rPr>
                <w:sz w:val="24"/>
                <w:szCs w:val="24"/>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1960" w:type="dxa"/>
            <w:vAlign w:val="bottom"/>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1960" w:type="dxa"/>
            <w:vAlign w:val="bottom"/>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4280" w:type="dxa"/>
            <w:vAlign w:val="bottom"/>
            <w:gridSpan w:val="4"/>
          </w:tcPr>
          <w:p>
            <w:pPr>
              <w:spacing w:after="0"/>
              <w:rPr>
                <w:sz w:val="18"/>
                <w:szCs w:val="18"/>
                <w:color w:val="auto"/>
              </w:rPr>
            </w:pPr>
          </w:p>
        </w:tc>
        <w:tc>
          <w:tcPr>
            <w:tcW w:w="2360" w:type="dxa"/>
            <w:vAlign w:val="bottom"/>
            <w:gridSpan w:val="3"/>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2120" w:type="dxa"/>
            <w:vAlign w:val="bottom"/>
            <w:gridSpan w:val="2"/>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040" w:type="dxa"/>
            <w:vAlign w:val="bottom"/>
          </w:tcPr>
          <w:p>
            <w:pPr>
              <w:spacing w:after="0"/>
              <w:rPr>
                <w:sz w:val="18"/>
                <w:szCs w:val="18"/>
                <w:color w:val="auto"/>
              </w:rPr>
            </w:pPr>
          </w:p>
        </w:tc>
        <w:tc>
          <w:tcPr>
            <w:tcW w:w="5140" w:type="dxa"/>
            <w:vAlign w:val="bottom"/>
            <w:gridSpan w:val="4"/>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SELLING STOCKHOLDER</w:t>
            </w:r>
          </w:p>
        </w:tc>
        <w:tc>
          <w:tcPr>
            <w:tcW w:w="460" w:type="dxa"/>
            <w:vAlign w:val="bottom"/>
            <w:gridSpan w:val="2"/>
          </w:tcPr>
          <w:p>
            <w:pPr>
              <w:spacing w:after="0"/>
              <w:rPr>
                <w:sz w:val="18"/>
                <w:szCs w:val="18"/>
                <w:color w:val="auto"/>
              </w:rPr>
            </w:pPr>
          </w:p>
        </w:tc>
        <w:tc>
          <w:tcPr>
            <w:tcW w:w="6180" w:type="dxa"/>
            <w:vAlign w:val="bottom"/>
            <w:gridSpan w:val="5"/>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40" w:type="dxa"/>
            <w:vAlign w:val="bottom"/>
            <w:tcBorders>
              <w:left w:val="single" w:sz="8" w:color="0000FF"/>
            </w:tcBorders>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7240" w:type="dxa"/>
            <w:vAlign w:val="bottom"/>
            <w:gridSpan w:val="9"/>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340" w:top="1440" w:right="719" w:bottom="1440" w:gutter="0" w:footer="0" w:header="0"/>
        </w:sectPr>
      </w:pPr>
    </w:p>
    <w:bookmarkStart w:id="3" w:name="page4"/>
    <w:bookmarkEnd w:id="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registration process, we may from time to time sell up to 20,000,000 shares of Class A common stock in one or more offerings and the selling stockholder named herein may from time to time resell up to 1,942,590 shares of our Class A common stock in one or more offerings.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shares of Class A common stock we and/or the selling stockholder may offer. Each time we and/or the selling stockholder sell shares of Class A common stock, we and/or the selling stockholder will provide one or more prospectus supplements that will contain specific information about the terms of the offering, including the specific amounts, prices and terms of the shares of Class A common stock offered. The prospectus supplement may also add, update or change information contained in this prospectus. You should read both this prospectus, the accompanying prospectus supplement and any free writing prospectus prepared by or on behalf of us, together with the additional information described under the heading “Where You Can Find More Information; Incorporation by Reference” beginning on page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of this prospectus.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Neither we nor the selling stockholder have authorized anyone to provide you with different information. We and the selling stockholder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We and the selling stockholder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June 24, 2021 (the “Closing Date”), Perella Weinberg Partners (formerly known as FinTech Acquisition Corp. IV (“FTIV”)), consummated its business combination pursuant to that certain Business Combination Agreement, dated as of December 29, 2020 (the “Business Combination Agreement”),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w:t>
      </w:r>
    </w:p>
    <w:p>
      <w:pPr>
        <w:spacing w:after="0" w:line="1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“Company,” “we,” “our” and “us” refer, collectively, to Perella Weinberg Partners, a Delaware corporation, and its consolidated subsidiaries, and references to “PWP” (i) prior to the Business Combination are to PWP OpCo and its consolidated subsidiaries and (ii) following the consummation of the Business Combination are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https://pwpartners.com/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included our website address as an inactive textual reference only.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our Annual Report on Form </w:t>
      </w:r>
      <w:hyperlink r:id="rId13">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July 7,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w:t>
      </w:r>
      <w:hyperlink r:id="rId14">
        <w:r>
          <w:rPr>
            <w:rFonts w:ascii="Times New Roman" w:cs="Times New Roman" w:eastAsia="Times New Roman" w:hAnsi="Times New Roman"/>
            <w:sz w:val="18"/>
            <w:szCs w:val="18"/>
            <w:u w:val="single" w:color="auto"/>
            <w:color w:val="0000FF"/>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2022, filed with the SEC on May 5, 2022;</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Schedule 14A for our 2022 Annual Meeting of Stockholders specifically incorporated by reference into Amendment No. 1 our Annual Report on Form 10-K/A for the year ended December 31, 2021, filed with the SEC on </w:t>
      </w:r>
      <w:hyperlink r:id="rId15">
        <w:r>
          <w:rPr>
            <w:rFonts w:ascii="Times New Roman" w:cs="Times New Roman" w:eastAsia="Times New Roman" w:hAnsi="Times New Roman"/>
            <w:sz w:val="18"/>
            <w:szCs w:val="18"/>
            <w:u w:val="single" w:color="auto"/>
            <w:color w:val="0000FF"/>
          </w:rPr>
          <w:t>April 13,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as supplemented on </w:t>
      </w:r>
      <w:hyperlink r:id="rId16">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7">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w:t>
      </w:r>
      <w:hyperlink r:id="rId18">
        <w:r>
          <w:rPr>
            <w:rFonts w:ascii="Times New Roman" w:cs="Times New Roman" w:eastAsia="Times New Roman" w:hAnsi="Times New Roman"/>
            <w:sz w:val="18"/>
            <w:szCs w:val="18"/>
            <w:u w:val="single" w:color="auto"/>
            <w:color w:val="0000FF"/>
          </w:rPr>
          <w:t>May 25,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contained in </w:t>
      </w:r>
      <w:hyperlink r:id="rId20">
        <w:r>
          <w:rPr>
            <w:rFonts w:ascii="Times New Roman" w:cs="Times New Roman" w:eastAsia="Times New Roman" w:hAnsi="Times New Roman"/>
            <w:sz w:val="17"/>
            <w:szCs w:val="17"/>
            <w:u w:val="single" w:color="auto"/>
            <w:color w:val="0000FF"/>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Amendment No. 1 to our Annual Report on Form 10-K/A for the fiscal year ended December 31, 2021, filed with the SEC on July 7, 2022, including any amendments or reports filed for the purpose of updating such description.</w:t>
      </w:r>
    </w:p>
    <w:p>
      <w:pPr>
        <w:spacing w:after="0" w:line="86"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4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(212) 287-3200</w:t>
      </w:r>
    </w:p>
    <w:p>
      <w:pPr>
        <w:spacing w:after="0" w:line="26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and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1440" w:right="1059" w:bottom="1440" w:gutter="0" w:footer="0" w:header="0"/>
        </w:sectPr>
      </w:pPr>
    </w:p>
    <w:bookmarkStart w:id="6" w:name="page7"/>
    <w:bookmarkEnd w:id="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included or incorporated by reference in this prospectus are “forward looking statements” within the meaning of the federal securities laws, including the Private Securities Litigation Reform Act of 1995, Section 27A of the Securities Act,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3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(as defined herein) on Nasdaq following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left="980" w:right="140" w:hanging="324"/>
        <w:spacing w:after="0" w:line="282" w:lineRule="auto"/>
        <w:tabs>
          <w:tab w:leader="none" w:pos="9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71" w:lineRule="exact"/>
        <w:rPr>
          <w:rFonts w:ascii="Times New Roman" w:cs="Times New Roman" w:eastAsia="Times New Roman" w:hAnsi="Times New Roman"/>
          <w:sz w:val="18"/>
          <w:szCs w:val="18"/>
          <w:color w:val="auto"/>
        </w:rPr>
      </w:pPr>
    </w:p>
    <w:p>
      <w:pPr>
        <w:ind w:left="980" w:right="420" w:hanging="324"/>
        <w:spacing w:after="0" w:line="312" w:lineRule="auto"/>
        <w:tabs>
          <w:tab w:leader="none" w:pos="9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5" w:lineRule="exact"/>
        <w:rPr>
          <w:rFonts w:ascii="Times New Roman" w:cs="Times New Roman" w:eastAsia="Times New Roman" w:hAnsi="Times New Roman"/>
          <w:sz w:val="17"/>
          <w:szCs w:val="17"/>
          <w:color w:val="auto"/>
        </w:rPr>
      </w:pPr>
    </w:p>
    <w:p>
      <w:pPr>
        <w:ind w:left="980" w:hanging="324"/>
        <w:spacing w:after="0" w:line="282" w:lineRule="auto"/>
        <w:tabs>
          <w:tab w:leader="none" w:pos="9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highlights some information about PWP. It is not complete and does not contain all of the information that you should consider before making an investment decision. You should read this entire prospectus, including the “Risk Factors” section on page </w:t>
      </w:r>
      <w:r>
        <w:rPr>
          <w:rFonts w:ascii="Times New Roman" w:cs="Times New Roman" w:eastAsia="Times New Roman" w:hAnsi="Times New Roman"/>
          <w:sz w:val="18"/>
          <w:szCs w:val="18"/>
          <w:i w:val="1"/>
          <w:iCs w:val="1"/>
          <w:u w:val="single" w:color="auto"/>
          <w:color w:val="0000FF"/>
        </w:rPr>
        <w:t>8</w:t>
      </w:r>
      <w:r>
        <w:rPr>
          <w:rFonts w:ascii="Times New Roman" w:cs="Times New Roman" w:eastAsia="Times New Roman" w:hAnsi="Times New Roman"/>
          <w:sz w:val="18"/>
          <w:szCs w:val="18"/>
          <w:i w:val="1"/>
          <w:iCs w:val="1"/>
          <w:color w:val="auto"/>
        </w:rPr>
        <w:t xml:space="preserve">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execution, shareholder and defense advisory, capital raising, and liability management and restructuring, as well as specialized underwriting and research services primarily for the energy and related industries.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an independent advisory firm, focused on the energy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7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80"/>
          </w:cols>
          <w:pgMar w:left="1000" w:top="1440" w:right="1019" w:bottom="1440" w:gutter="0" w:footer="0" w:header="0"/>
        </w:sectPr>
      </w:pPr>
    </w:p>
    <w:bookmarkStart w:id="10" w:name="page11"/>
    <w:bookmarkEnd w:id="1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Class A common stock involves significant risks. Please see the risk factors under the heading “Risk Factors” in our most recent Annual Report on Form 10-K, as amended by any amendments thereto,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prospectus supplement. These risks could materially affect our business, financial condition or results of operations and cause the value of our Class A common stock to decline.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under the heading “Cautionary Statement Regarding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40" w:right="379" w:bottom="1440" w:gutter="0" w:footer="0" w:header="0"/>
        </w:sectPr>
      </w:pPr>
    </w:p>
    <w:bookmarkStart w:id="11" w:name="page12"/>
    <w:bookmarkEnd w:id="1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any shares of Class A common stock offered by us under this prospectus for general corporate purposes unless otherwise indicated in the applicable prospectus supplement. General corporate purposes may include working capital and purchasing from certain holders of outstanding Class A common units (“PWP OpCo Class A partnership units”) of PWP OpCo, issued pursuant to the Amended and Restated Agreement of Limited Partnership of PWP OpCo, dated as of June 24, 2021 (as amended, restated, modified or supplemented from time to time, the “PWP OpCo LPA”) and outstanding shares of our Class B common stock (as defined herein). We have not determined the amount of net proceeds to be used specifically for such purposes. As a result, management will retain broad discretion over the allocation of net proceeds from the sale of any shares of Class A common stock we may offer under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a sale of shares of Class A common stock by the selling stockholder, we will not receive any of the proceeds from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440" w:right="39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sets forth the unaudited pro forma condensed combined statements of operations for (i) the year ended December 31, 2021 after giving effect to the Business Combination, the underwritten public offering of 3,502,033 shares of our Class A common stock completed on January 21, 2022 (the “January 2022 Offering”) and related adjustments as if they had been consummated on January 1, 2021 and (ii) the three months ended March 31, 2022 after only giving effect to the January 2022 Offering as if it had been consummated on January 1, 2021 since the Business Combination is already reflected in PWP’s historical unaudited condensed consolidated financial statements for the three months ended March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w:t>
      </w:r>
    </w:p>
    <w:p>
      <w:pPr>
        <w:spacing w:after="0" w:line="107"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PWP for the year ended December 31, 2021 included in Amendment No. 1 to the Company’s Annual Report on Form 10-K/A for the year ended December 31, 2021, which is incorporated by reference in this prospectus; and</w:t>
      </w:r>
    </w:p>
    <w:p>
      <w:pPr>
        <w:spacing w:after="0" w:line="85" w:lineRule="exact"/>
        <w:rPr>
          <w:rFonts w:ascii="Times New Roman" w:cs="Times New Roman" w:eastAsia="Times New Roman" w:hAnsi="Times New Roman"/>
          <w:sz w:val="17"/>
          <w:szCs w:val="17"/>
          <w:color w:val="auto"/>
        </w:rPr>
      </w:pPr>
    </w:p>
    <w:p>
      <w:pPr>
        <w:ind w:left="660" w:right="32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unaudited condensed consolidated financial statements of PWP for the three months ended March 31, 2022 included in the Company’s Quarterly Report on Form 10-Q for the three months ended March 31, 2022, which is incorporated by reference in this prospectus.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that would actually have occurred had the Business Combination and the January 2022 Offering been consummated on January 1, 2021 or to project our consolidated results of operations for any future date or period.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“Risk Factors” herein, as well as the sections titled “Risk Factors” and “Management’s Discussion and Analysis of Financial Condition and Results of Operations” and our consolidated financial statements and related notes, all of which are included in Amendment No. 1 to the Company’s Annual Report on Form 10-K/A for the year ended December 31, 2021 and the Company’s Quarterly Report on Form 10-Q for the three months ended March 31, 2022, each of which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 of the Business Combination (the “Closing”):</w:t>
      </w:r>
    </w:p>
    <w:p>
      <w:pPr>
        <w:spacing w:after="0" w:line="108" w:lineRule="exact"/>
        <w:rPr>
          <w:sz w:val="20"/>
          <w:szCs w:val="20"/>
          <w:color w:val="auto"/>
        </w:rPr>
      </w:pPr>
    </w:p>
    <w:p>
      <w:pPr>
        <w:ind w:left="660" w:righ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common units of PWP OpCo in exchange for cash in an amount equal to the outstanding excess cash balances of the Company (including the proceeds from the PIPE Investment (as defined herein)) as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(as defined herein) and Class B-2 common stock (as defined herein)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(as defined herein), respectively, following the Closing; and</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former working limited partners of Professional Partners, whose tenure was terminated prior to November 1, 2020, and retained remaining proceeds for general corporate purposes.</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certain private investors (the “PIPE Investors”) pursuant to, and on the terms and subject to the conditions of, which the PIPE Investors have collectively subscribed for 12.5 million shares of the Company’s Class A common stock for an aggregate purchase price equal to $125 million (the “PIPE Investment”), including $1.5 million subscribed by entities related to the Sponsor. The PIPE Investment was consummated concurrently with the Closing.</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Class A Common Stock (Excluding Founder Shares (as defined herein) and Placement Shares (as defined</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80" w:hanging="332"/>
        <w:spacing w:after="0" w:line="261" w:lineRule="auto"/>
        <w:tabs>
          <w:tab w:leader="none" w:pos="30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280" w:hanging="332"/>
        <w:spacing w:after="0" w:line="263"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40" w:hanging="332"/>
        <w:spacing w:after="0" w:line="257" w:lineRule="auto"/>
        <w:tabs>
          <w:tab w:leader="none" w:pos="30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certain existing investor limited partners of PWP OpCo who hold interests in PWP OpCo, alongside Professional Partners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2" w:lineRule="exact"/>
        <w:rPr>
          <w:rFonts w:ascii="Times New Roman" w:cs="Times New Roman" w:eastAsia="Times New Roman" w:hAnsi="Times New Roman"/>
          <w:sz w:val="14"/>
          <w:szCs w:val="14"/>
          <w:color w:val="auto"/>
        </w:rPr>
      </w:pPr>
    </w:p>
    <w:p>
      <w:pPr>
        <w:ind w:left="340" w:right="280" w:hanging="332"/>
        <w:spacing w:after="0" w:line="278" w:lineRule="auto"/>
        <w:tabs>
          <w:tab w:leader="none" w:pos="3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59"/>
        <w:spacing w:after="0" w:line="226" w:lineRule="auto"/>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January 2022</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FTIV</w:t>
            </w:r>
          </w:p>
        </w:tc>
        <w:tc>
          <w:tcPr>
            <w:tcW w:w="2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PWP</w:t>
            </w:r>
          </w:p>
        </w:tc>
        <w:tc>
          <w:tcPr>
            <w:tcW w:w="100" w:type="dxa"/>
            <w:vAlign w:val="bottom"/>
          </w:tcPr>
          <w:p>
            <w:pPr>
              <w:spacing w:after="0"/>
              <w:rPr>
                <w:sz w:val="12"/>
                <w:szCs w:val="12"/>
                <w:color w:val="auto"/>
              </w:rPr>
            </w:pPr>
          </w:p>
        </w:tc>
        <w:tc>
          <w:tcPr>
            <w:tcW w:w="9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 and occupancy</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799,099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income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(h)</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 (k)</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3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(41,571)</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(53,520)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(10,698) (e)</w:t>
            </w:r>
          </w:p>
        </w:tc>
        <w:tc>
          <w:tcPr>
            <w:tcW w:w="100" w:type="dxa"/>
            <w:vAlign w:val="bottom"/>
          </w:tcPr>
          <w:p>
            <w:pPr>
              <w:spacing w:after="0"/>
              <w:rPr>
                <w:sz w:val="18"/>
                <w:szCs w:val="18"/>
                <w:color w:val="auto"/>
              </w:rPr>
            </w:pP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rPr>
              <w:t>(1,696) (j)</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(64,218)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(35,195) (f)</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(998) (j)</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(64,991)</w:t>
            </w: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(29,501) (c)</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(12,741) (i)</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(0.11) (g)</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(0.71) (g)</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46,899,646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93,556,111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914" w:right="3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PWP</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260" w:type="dxa"/>
            <w:vAlign w:val="bottom"/>
          </w:tcPr>
          <w:p>
            <w:pPr>
              <w:spacing w:after="0"/>
              <w:rPr>
                <w:sz w:val="16"/>
                <w:szCs w:val="16"/>
                <w:color w:val="auto"/>
              </w:rPr>
            </w:pPr>
          </w:p>
        </w:tc>
        <w:tc>
          <w:tcPr>
            <w:tcW w:w="13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Offering Adjustments</w:t>
            </w:r>
          </w:p>
        </w:tc>
        <w:tc>
          <w:tcPr>
            <w:tcW w:w="2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color w:val="auto"/>
              </w:rPr>
              <w:t>(l)</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(m)</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48,828,952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95,364,897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420" w:type="dxa"/>
            <w:vAlign w:val="bottom"/>
          </w:tcPr>
          <w:p>
            <w:pPr>
              <w:spacing w:after="0"/>
              <w:rPr>
                <w:sz w:val="24"/>
                <w:szCs w:val="24"/>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14" w:right="359" w:bottom="1440" w:gutter="0" w:footer="0" w:header="0"/>
        </w:sectPr>
      </w:pPr>
    </w:p>
    <w:bookmarkStart w:id="18" w:name="page19"/>
    <w:bookmarkEnd w:id="18"/>
    <w:p>
      <w:pPr>
        <w:spacing w:after="0" w:line="37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 forma adjustments have been prepared as if the January 2022 Offering and the Business Combination had been consummated on January 1, 2021, the beginning of the earliest period presented, in the case of the unaudited pro forma condensed combined statements of operations.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Adjustments and Assumptions to the Unaudited Pro Forma Condensed Combined Statement of Operations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right="440" w:hanging="328"/>
        <w:spacing w:after="0" w:line="282"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ind w:left="660" w:hanging="328"/>
        <w:spacing w:after="0" w:line="258" w:lineRule="auto"/>
        <w:tabs>
          <w:tab w:leader="none" w:pos="6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Transaction RSUs during the year ended December 31, 2021. Historical equity-based compensation amounts and the expense related to ACUs and VCUs discussed in adjustment (c) have been allocated to non-controlling interests as the vesting of ACUs and VCUs do not impact the Company as there is no additional dilution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440" w:right="399" w:bottom="1440" w:gutter="0" w:footer="0" w:header="0"/>
        </w:sectPr>
      </w:pPr>
    </w:p>
    <w:bookmarkStart w:id="19" w:name="page20"/>
    <w:bookmarkEnd w:id="19"/>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shareholders and no impact to the allocation of distributions from PWP OpCo to each of its investors (including the Company).</w:t>
      </w:r>
    </w:p>
    <w:p>
      <w:pPr>
        <w:spacing w:after="0" w:line="171" w:lineRule="exact"/>
        <w:rPr>
          <w:sz w:val="20"/>
          <w:szCs w:val="20"/>
          <w:color w:val="auto"/>
        </w:rPr>
      </w:pPr>
    </w:p>
    <w:p>
      <w:pPr>
        <w:ind w:left="328" w:right="260" w:hanging="328"/>
        <w:spacing w:after="0" w:line="261"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328"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8"/>
          </w:cols>
          <w:pgMar w:left="652" w:top="1440" w:right="379" w:bottom="1440" w:gutter="0" w:footer="0" w:header="0"/>
        </w:sectPr>
      </w:pPr>
    </w:p>
    <w:p>
      <w:pPr>
        <w:spacing w:after="0" w:line="3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-125095</wp:posOffset>
            </wp:positionV>
            <wp:extent cx="618934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348" w:right="2022"/>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-167005</wp:posOffset>
            </wp:positionV>
            <wp:extent cx="618934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6189345" cy="145415"/>
                    </a:xfrm>
                    <a:prstGeom prst="rect">
                      <a:avLst/>
                    </a:prstGeom>
                    <a:noFill/>
                  </pic:spPr>
                </pic:pic>
              </a:graphicData>
            </a:graphic>
          </wp:anchor>
        </w:drawing>
      </w:r>
    </w:p>
    <w:p>
      <w:pPr>
        <w:ind w:left="348" w:right="1422"/>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-245110</wp:posOffset>
            </wp:positionV>
            <wp:extent cx="61893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618934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46,899,646</w:t>
      </w:r>
    </w:p>
    <w:p>
      <w:pPr>
        <w:spacing w:after="0" w:line="27"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8"/>
          <w:szCs w:val="18"/>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57" w:lineRule="exact"/>
        <w:rPr>
          <w:sz w:val="20"/>
          <w:szCs w:val="20"/>
          <w:color w:val="auto"/>
        </w:rPr>
      </w:pPr>
    </w:p>
    <w:p>
      <w:pPr>
        <w:ind w:left="1018" w:hanging="1018"/>
        <w:spacing w:after="0"/>
        <w:tabs>
          <w:tab w:leader="none" w:pos="10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7870" w:space="720"/>
            <w:col w:w="2278"/>
          </w:cols>
          <w:pgMar w:left="652" w:top="1440" w:right="379" w:bottom="1440" w:gutter="0" w:footer="0" w:header="0"/>
          <w:type w:val="continuous"/>
        </w:sectPr>
      </w:pPr>
    </w:p>
    <w:p>
      <w:pPr>
        <w:jc w:val="center"/>
        <w:ind w:right="-27"/>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ind w:left="328" w:right="880" w:hanging="328"/>
        <w:spacing w:after="0" w:line="282" w:lineRule="auto"/>
        <w:tabs>
          <w:tab w:leader="none" w:pos="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interest expense assuming the paydown of all outstanding debt from the proceeds of the Business Combination as if it occurred on January 1, 2021.</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 (h) and (k) based on the aggregate Professional Partners and ILPs ownership as depicted in the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8"/>
          </w:cols>
          <w:pgMar w:left="652" w:top="1440" w:right="379" w:bottom="1440" w:gutter="0" w:footer="0" w:header="0"/>
          <w:type w:val="continuous"/>
        </w:sectPr>
      </w:pPr>
    </w:p>
    <w:bookmarkStart w:id="20" w:name="page21"/>
    <w:bookmarkEnd w:id="20"/>
    <w:p>
      <w:pPr>
        <w:spacing w:after="0" w:line="136" w:lineRule="exact"/>
        <w:rPr>
          <w:sz w:val="20"/>
          <w:szCs w:val="20"/>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3,502,033 shares related to the January 2022 Offering and 2,132,788 additional shares related to Transaction RSUs subject to a time-based vesting schedule were outstanding for the whole period presented.</w:t>
      </w:r>
    </w:p>
    <w:p>
      <w:pPr>
        <w:spacing w:after="0" w:line="125"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-125095</wp:posOffset>
            </wp:positionV>
            <wp:extent cx="618934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189345" cy="145415"/>
                    </a:xfrm>
                    <a:prstGeom prst="rect">
                      <a:avLst/>
                    </a:prstGeom>
                    <a:noFill/>
                  </pic:spPr>
                </pic:pic>
              </a:graphicData>
            </a:graphic>
          </wp:anchor>
        </w:drawing>
      </w:r>
    </w:p>
    <w:p>
      <w:pPr>
        <w:spacing w:after="0" w:line="11" w:lineRule="exact"/>
        <w:rPr>
          <w:sz w:val="20"/>
          <w:szCs w:val="20"/>
          <w:color w:val="auto"/>
        </w:rPr>
      </w:pPr>
    </w:p>
    <w:p>
      <w:pPr>
        <w:ind w:left="680" w:right="2020"/>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-167005</wp:posOffset>
            </wp:positionV>
            <wp:extent cx="618934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680" w:right="1420"/>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-245110</wp:posOffset>
            </wp:positionV>
            <wp:extent cx="618934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48,828,952</w:t>
      </w:r>
    </w:p>
    <w:p>
      <w:pPr>
        <w:spacing w:after="0" w:line="27"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46,535,945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951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95,364,897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951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57" w:lineRule="exact"/>
        <w:rPr>
          <w:sz w:val="20"/>
          <w:szCs w:val="20"/>
          <w:color w:val="auto"/>
        </w:rPr>
      </w:pPr>
    </w:p>
    <w:p>
      <w:pPr>
        <w:ind w:left="1100" w:hanging="109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951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8200" w:space="720"/>
            <w:col w:w="2300"/>
          </w:cols>
          <w:pgMar w:left="320" w:top="1440" w:right="3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type w:val="continuous"/>
        </w:sectPr>
      </w:pPr>
    </w:p>
    <w:bookmarkStart w:id="21" w:name="page22"/>
    <w:bookmarkEnd w:id="2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for (i) the year ended December 31, 2021 after giving effect to the Business Combination and the January 2022 Offering as if they had occurred on January 1, 2021 and (ii) the three months ended March 31, 2022 after giving effect to the January 2022 Offering as if it had occurred on January 1, 2021.</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“Management’s Discussion and Analysis of Financial Condition and Results of Operations” and the audited and unaudited historical financial statements and the related notes of PWP included in Amendment No. 1 to the Company’s Annual Report on Form 10-K/A for the year ended December 31, 2021 and 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consolidated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January 2022 Offering nor the book value per share for any future date or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PWP Historical</w:t>
            </w:r>
          </w:p>
        </w:tc>
        <w:tc>
          <w:tcPr>
            <w:tcW w:w="10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48,828,952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95,364,897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46,899,646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93,556,111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80" w:hanging="332"/>
        <w:spacing w:after="0" w:line="278"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historical total equity of $285.6 million as of March 31, 2022 divided by historical or pro forma combined weighted average shares of Class A common stock outstanding—diluted,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Delaware General Corporation Law (the “DGCL”),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27, 2022, our issued and outstanding share capital consisted of: (i) 41,867,059 shares of Class A common stock, (ii) 43,725,944 shares of Class B-1 common stock, (iii) 1,964,044 shares of Class B-2 common stock, (iv) no shares of preferred stock and (v) 7,869,975 warrants to purchase shares of our Class A common stock (“Warrants”), consisting of 7,666,642 redeemable warrants that were underlying the units sold in FTIV’s initial public offering (the “Public Warrants”) and 203,333 warrants that were underlying units sold as part of a private placement in connection with FTIV’s initial public offering (the “Private Placement Warrants”). Such numbers do not include DTC participants or beneficial owners holding shares through nominee names.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on a one-for-one basis or cash equal to the value of such shares, with the form of consideration determined by us.</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dated as of December 29, 2020, among the Company, PWP OpCo, the Sponsor and the other parties thereto (as amended on May 4, 2021, the “Sponsor Share Surrender and Share Restriction Agreement”), the Sponsor, concurrently with the Closing, agreed that the 610,000 shares of Class A common stock purchased by the Sponsor as part of private placement units in connection with FTIV’s initial public offering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33" w:lineRule="exact"/>
        <w:rPr>
          <w:sz w:val="20"/>
          <w:szCs w:val="20"/>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85" w:lineRule="exact"/>
        <w:rPr>
          <w:rFonts w:ascii="Times New Roman" w:cs="Times New Roman" w:eastAsia="Times New Roman" w:hAnsi="Times New Roman"/>
          <w:sz w:val="17"/>
          <w:szCs w:val="17"/>
          <w:color w:val="auto"/>
        </w:rPr>
      </w:pPr>
    </w:p>
    <w:p>
      <w:pPr>
        <w:jc w:val="both"/>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7, 2022, the Sponsor distributed 5,456,667 shares of Class A common stock (Founder Shares and Placement Shares) and 203,333 Private Placement Warrants to its members, pursuant to its contractual obligation under the limited liability company agreement (the “Sponsor Distribution”), after which the Sponsor owns 1,000,000 shares of our Class A common stock and no Private Placement Warrants.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repurchase up to 1,000,000 Founder Shares, in aggregate, per Trigger Date for a purchase price of $12.00 per share or $15.00 per share, respectively, by providing written notice of such repurchase election to the holder, and such repurchase shall be consummated within five business days after the date of such written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440" w:right="39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share of Pre-Business Combination Class B Common Stock (as defined herein) owned by the Sponsor prior to the Closing (each, a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for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1440" w:right="399" w:bottom="1440" w:gutter="0" w:footer="0" w:header="0"/>
        </w:sectPr>
      </w:pPr>
    </w:p>
    <w:bookmarkStart w:id="27" w:name="page28"/>
    <w:bookmarkEnd w:id="27"/>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w:t>
      </w:r>
    </w:p>
    <w:p>
      <w:pPr>
        <w:spacing w:after="0" w:line="3" w:lineRule="exact"/>
        <w:rPr>
          <w:sz w:val="20"/>
          <w:szCs w:val="20"/>
          <w:color w:val="auto"/>
        </w:rPr>
      </w:pPr>
    </w:p>
    <w:p>
      <w:pPr>
        <w:ind w:right="20" w:firstLine="8"/>
        <w:spacing w:after="0" w:line="255"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board of directors will be divided into three classes that will be, as nearly as may be possible, of equal size. The initial term of the Class I directors expired at the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our stockholders, at which the Class I directors were renominated and reelected to serve a three-year term. The initial terms of the Class</w:t>
      </w:r>
    </w:p>
    <w:p>
      <w:pPr>
        <w:spacing w:after="0" w:line="27" w:lineRule="exact"/>
        <w:rPr>
          <w:sz w:val="20"/>
          <w:szCs w:val="20"/>
          <w:color w:val="auto"/>
        </w:rPr>
      </w:pPr>
    </w:p>
    <w:p>
      <w:pPr>
        <w:ind w:right="20" w:firstLine="8"/>
        <w:spacing w:after="0" w:line="255" w:lineRule="auto"/>
        <w:tabs>
          <w:tab w:leader="none" w:pos="1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selling stockholder named in the table below may from time to time on a delayed or continuous basis offer and sell pursuant to this prospectus and any applicable prospectus supplement the shares set forth in the table below. The selling stockholder may sell all, a portion or none of the shares included in the table below at any time.</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selling stockholder has advised the Company that notwithstanding its inclusion as a selling stockholder in this prospectus, it may continue to evaluate whether to make purchases of the Company’s Class A common stock. Such purchases, if any, would be in accordance with the applicable provisions of the Exchange Act and the rules and regulations under the Exchange Act, including Regulation M. We may amend or supplement this prospectus from time to time in the future to update or change this selling stockholder list and the securities that may be resold.</w:t>
      </w:r>
    </w:p>
    <w:p>
      <w:pPr>
        <w:spacing w:after="0" w:line="12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The following table is prepared based on information provided to us by the selling stockholder. It sets forth the name and address of the selling stockholder, the aggregate number of shares of Class A common stock that the selling stockholder may offer pursuant to this prospectus, and the beneficial ownership of the selling stockholder both before and after the offering. We have based percentage ownership on 42,278,973 shares of Class A common stock outstanding as of June 17, 2022. In calculating percentages of shares of Class A common stock owned by the selling stockholder, we treated as outstanding the number of shares of our Class A common stock issuable upon exercise of the selling stockholder’s Warrants and did not assume the exercise of any other Warrants. The information regarding shares beneficially owned after the offering assumes the sale of all shares offered by the selling stockholder.</w:t>
      </w:r>
    </w:p>
    <w:p>
      <w:pPr>
        <w:spacing w:after="0" w:line="11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stockholder will in fact sell any or all of such Class A common stock. In addition, the selling stockholder may have sold or transferred some or all of the shares of Class A common stock indicated below and may in the future sell, transfer or otherwise dispose of, at any time and from time to time, the Class A common stock in transactions exempt from the registration requirements of the Securities Act after the date of this prospectus.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3"/>
            <w:vMerge w:val="restart"/>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to be Sold in</w:t>
            </w:r>
          </w:p>
        </w:tc>
        <w:tc>
          <w:tcPr>
            <w:tcW w:w="1660" w:type="dxa"/>
            <w:vAlign w:val="bottom"/>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244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280" w:type="dxa"/>
            <w:vAlign w:val="bottom"/>
            <w:gridSpan w:val="2"/>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vMerge w:val="restart"/>
          </w:tcPr>
          <w:p>
            <w:pPr>
              <w:jc w:val="right"/>
              <w:ind w:right="472"/>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1"/>
                <w:szCs w:val="11"/>
                <w:color w:val="auto"/>
              </w:rPr>
            </w:pPr>
          </w:p>
        </w:tc>
        <w:tc>
          <w:tcPr>
            <w:tcW w:w="1660" w:type="dxa"/>
            <w:vAlign w:val="bottom"/>
            <w:gridSpan w:val="3"/>
          </w:tcPr>
          <w:p>
            <w:pPr>
              <w:jc w:val="center"/>
              <w:ind w:right="4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ind w:right="392"/>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FinTech Masala, LLC</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1,942,593</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1,942,590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42,278,973 shares of Class A common stock outstanding as of June 17, 2022.</w:t>
      </w:r>
    </w:p>
    <w:p>
      <w:pPr>
        <w:spacing w:after="0" w:line="14"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A common stock beneficially owned by the selling stockholder includes 3 Warrants held by the selling stockholder, which are exercisable for shares of Class A common stock within 60 days.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stockholder. The address for the selling stockholder is 2929 Arch Street, Suite 1703, Philadelphia, PA 19104.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G. Cohen is a member of our board of directors and a managing member of FinTech Masala,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and/or the selling stockholder may sell the shares of Class A common stock being offered hereby in one or more of the following ways from time to time, which may involve crosses or block transactions:</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including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 in which the broker-dealer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and/or the selling stockholder may directly solicit offers to purchase shares of Class A common stock, or agents may be designated to solicit such offers. We and/or the selling stockholder will, in the prospectus supplement relating to such offering, name any agent that could be viewed as an underwriter under the Securities Act, and describe any commissions that we or the selling stockholder, as applicable, must pay. Any such agent will be acting on a best efforts basis for the period of its appointment or, if indicated in the applicable prospectus supplement, on a firm commitment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shares of Class A common stock may be effected from time to time in one or more transactions:</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shares of Class A common stock and any applicable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will describe the terms of the offering of the shares of Class A common stock, including the following:</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dealer or any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and/or the selling stockholder, as applicable, will receive from the sale of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offered shares may be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1440" w:right="639" w:bottom="1440" w:gutter="0" w:footer="0" w:header="0"/>
        </w:sectPr>
      </w:pPr>
    </w:p>
    <w:bookmarkStart w:id="34" w:name="page35"/>
    <w:bookmarkEnd w:id="34"/>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shares of Class A common stock in respect of which this prospectus is delivered, we and/or the selling stockholder will enter into an underwriting agreement or other agreement with them at the time of sale to them, and the prospectus supplement relating to such offering will set forth the names of the underwriters or agents and the terms of the related agreement with them.</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shares of Class A common stock in respect of which this prospectus is delivered, we and/or the selling stockholder will sell such shares to the dealer, as principal. The dealer may then resell such shares to the public at varying prices to be determined by such dealer at the time of resale.</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offer shares of Class A common stock in a subscription rights offering to our existing security holders, we may enter into a standby underwriting agreement with dealers, acting as standby underwriters. We may pay the standby underwriters a commitment fee for the shares they commit to purchase on a standby basis. If we do not enter into a standby underwriting arrangement, we may retain a dealer-manager to manage a subscription rights offering for us.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and/or the selling stockholder will authorize underwriters or other persons acting as our or its agents to solicit offers by certain institutions to purchase shares of Class A common stock from us and/or the selling stockholder pursuant to delayed delivery contracts providing for payment and delivery on the date stated in the prospectus supplement. Each contract will be for an amount not less than, and the aggregate amount of shares of Class A common stock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35" w:lineRule="exact"/>
        <w:rPr>
          <w:sz w:val="20"/>
          <w:szCs w:val="20"/>
          <w:color w:val="auto"/>
        </w:rPr>
      </w:pPr>
    </w:p>
    <w:p>
      <w:pPr>
        <w:ind w:left="660" w:right="5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shares covered under that contract shall not, at the time of delivery, be prohibited under the laws of the jurisdiction to which that institution is subject;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also being sold to underwriters acting as principals for their own account, the underwriters shall have purchased such shares not sold for delayed delivery. The underwriters and other persons acting as our agents will not have any responsibility in respect of the validity or performance of delayed delivery contracts.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selling stockholder may also sell our securities short and deliver the securities to close out their short positions or loan or pledge the securities to broker-dealers that in turn may sell the securities. The selling stockholder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the selling stockholder or one or more of our or their respective affiliates in the ordinary course of business.</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the shares of Class A common stock, any underwriters may engage in transactions that stabilize, maintain or otherwise affect the price of the Class A common stock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Class A common stock or of any such other securities, the underwriters may bid for, and purchase, the Class A common stock or any such other securities in the open market. Finally,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offering of the shares of Class A common stock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Class A common stock above independent market levels. Any such underwriters are not required to engage in these activities and may end any of these activities at any time.</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selling stockholder is subject to the applicable provisions of the Exchange Act and the rules and regulations under the Exchange Act, including Regulation M. This regulation may limit the timing of purchases and sales of any of the securities offered in this prospectus by the selling stockholder. The anti-manipulation rules under the Exchange Act may apply to sales of the securities in the market and to the activities of the selling stockholder and its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3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Instead of selling the shares of Class A common stock under this prospectus, the selling stockholder may sell the shares of Class A common stock in compliance with the provisions of Rule 144 under the Securities Act, if available, or pursuant to other available exemptions from the registration requirements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7, 2022, the Sponsor distributed 1,942,590 shares of Class A common stock to the selling stockholder as part of the Sponsor Distribution, all of which may be offered by the selling stockholder under this prospectus. 148,032 and 548,842 of the shares of Class A common stock distributed to the selling stockholder in the Sponsor Distribution remain subject to the transfer restrictions set forth in the Sponsor Share Surrender and Share Restriction Agreement described above under “Description of Securities” until the $15 Threshold and the $17 Threshold, respectively, is met.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additional lock-up arrangements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will pass upon certain legal matters relating to the issuance and/or sale of the securities offered hereby.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expenses to be incurred in connection with the sale and distribution of the securities being registered.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19,590.06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and engraving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services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of registrant’s counsel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number of issuances and the amount of securities offered and accordingly cannot be estimated at this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officers and directors are indemnified by us to the fullest extent authorized by Delaware law, as it now exists or may in the future be amended. In addition, our Restated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12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980" w:type="dxa"/>
            <w:vAlign w:val="bottom"/>
            <w:gridSpan w:val="15"/>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94"/>
        </w:trPr>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22"/>
          </w:tcPr>
          <w:p>
            <w:pPr>
              <w:spacing w:after="0" w:line="194"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Business Combination Agreement, dated as of December 29, 2020, by and among FinTech Acquisition Corp. IV, FinTech Investor</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Holdings IV, LLC, FinTech Masala Advisors, LLC, PWP Holdings LP, PWP GP LLC, PWP Professional Partners LP and Perella</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22"/>
          </w:tcPr>
          <w:p>
            <w:pPr>
              <w:spacing w:after="0" w:line="169"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Weinberg Partners LLC (incorporated by reference to Exhibit 2.1 to FinTech Acquisition Corp. IV’s Current Report on Form 8-K/A, filed</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with the SEC on December 31, 2020).</w:t>
              </w:r>
            </w:hyperlink>
          </w:p>
        </w:tc>
        <w:tc>
          <w:tcPr>
            <w:tcW w:w="716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Company’s Registration Statement on Form S-1 (File No. 333-261785), filed with the SEC on January 13, 2022).</w:t>
              </w:r>
            </w:hyperlink>
          </w:p>
        </w:tc>
        <w:tc>
          <w:tcPr>
            <w:tcW w:w="1600" w:type="dxa"/>
            <w:vAlign w:val="bottom"/>
            <w:tcBorders>
              <w:top w:val="single" w:sz="8" w:color="0000FF"/>
            </w:tcBorders>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2"/>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 on</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8-K, filed with the SEC on June 30, 2021).</w:t>
              </w:r>
            </w:hyperlink>
          </w:p>
        </w:tc>
        <w:tc>
          <w:tcPr>
            <w:tcW w:w="4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2"/>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Specimen Class A Common Stock Certificate (incorporated by reference to Exhibit 4.1 to the Company’s Current Report on Form 8-K,</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filed with the SEC on June 30, 2021).</w:t>
              </w:r>
            </w:hyperlink>
          </w:p>
        </w:tc>
        <w:tc>
          <w:tcPr>
            <w:tcW w:w="2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Warrant Agreement, dated September 24, 2020, by and between FinTech Acquisition Corp. IV and Continental Stock Transfer &amp; Trust</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Company (incorporated by reference to Exhibit 4.1 to FinTech Acquisition Corp. IV’s Current Report on Form 8-K, filed with the SEC</w:t>
              </w:r>
            </w:hyperlink>
          </w:p>
        </w:tc>
        <w:tc>
          <w:tcPr>
            <w:tcW w:w="20" w:type="dxa"/>
            <w:vAlign w:val="bottom"/>
          </w:tcPr>
          <w:p>
            <w:pPr>
              <w:spacing w:after="0"/>
              <w:rPr>
                <w:sz w:val="13"/>
                <w:szCs w:val="13"/>
                <w:color w:val="auto"/>
              </w:rPr>
            </w:pPr>
          </w:p>
        </w:tc>
        <w:tc>
          <w:tcPr>
            <w:tcW w:w="320" w:type="dxa"/>
            <w:vAlign w:val="bottom"/>
            <w:gridSpan w:val="6"/>
          </w:tcPr>
          <w:p>
            <w:pPr>
              <w:ind w:left="40"/>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on</w:t>
              </w:r>
            </w:hyperlink>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September 30, 2020).</w:t>
              </w:r>
            </w:hyperlink>
          </w:p>
        </w:tc>
        <w:tc>
          <w:tcPr>
            <w:tcW w:w="8400" w:type="dxa"/>
            <w:vAlign w:val="bottom"/>
            <w:tcBorders>
              <w:top w:val="single" w:sz="8" w:color="0000FF"/>
            </w:tcBorders>
            <w:gridSpan w:val="17"/>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Amendment to Warrant Agreement, dated November 10, 2021, by and among Perella Weinberg Partners, Continental Stock Transfer &amp;</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Trust Company and American Stock Transfer &amp; Trust Company, LLC (incorporated by reference to Exhibit 4.3 to the Company's</w:t>
              </w:r>
            </w:hyperlink>
          </w:p>
        </w:tc>
        <w:tc>
          <w:tcPr>
            <w:tcW w:w="320" w:type="dxa"/>
            <w:vAlign w:val="bottom"/>
            <w:gridSpan w:val="6"/>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Registration Statement on Form S-1 (File No. 333-261785) filed with the SEC on December 21, 2021).</w:t>
              </w:r>
            </w:hyperlink>
          </w:p>
        </w:tc>
        <w:tc>
          <w:tcPr>
            <w:tcW w:w="720" w:type="dxa"/>
            <w:vAlign w:val="bottom"/>
            <w:gridSpan w:val="9"/>
          </w:tcPr>
          <w:p>
            <w:pPr>
              <w:spacing w:after="0"/>
              <w:rPr>
                <w:sz w:val="14"/>
                <w:szCs w:val="14"/>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Opinion of Skadden, Arps, Slate, Meagher &amp; Flom LLP.</w:t>
            </w:r>
          </w:p>
        </w:tc>
        <w:tc>
          <w:tcPr>
            <w:tcW w:w="3360" w:type="dxa"/>
            <w:vAlign w:val="bottom"/>
            <w:tcBorders>
              <w:top w:val="single" w:sz="8" w:color="0000FF"/>
            </w:tcBorders>
            <w:gridSpan w:val="3"/>
          </w:tcPr>
          <w:p>
            <w:pPr>
              <w:spacing w:after="0"/>
              <w:rPr>
                <w:sz w:val="18"/>
                <w:szCs w:val="18"/>
                <w:color w:val="auto"/>
              </w:rPr>
            </w:pPr>
          </w:p>
        </w:tc>
        <w:tc>
          <w:tcPr>
            <w:tcW w:w="2620" w:type="dxa"/>
            <w:vAlign w:val="bottom"/>
            <w:gridSpan w:val="12"/>
          </w:tcPr>
          <w:p>
            <w:pPr>
              <w:spacing w:after="0"/>
              <w:rPr>
                <w:sz w:val="18"/>
                <w:szCs w:val="18"/>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accounting firm.</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Consent of Skadden, Arps, Slate, Meagher &amp; Flom LLP (included in Exhibit 5.1).</w:t>
            </w: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 xml:space="preserve">Power of Attorney </w:t>
            </w:r>
            <w:r>
              <w:rPr>
                <w:rFonts w:ascii="Times New Roman" w:cs="Times New Roman" w:eastAsia="Times New Roman" w:hAnsi="Times New Roman"/>
                <w:sz w:val="18"/>
                <w:szCs w:val="18"/>
                <w:color w:val="000000"/>
              </w:rPr>
              <w:t>(incorporated by reference to the signature page hereto).</w:t>
            </w:r>
          </w:p>
        </w:tc>
        <w:tc>
          <w:tcPr>
            <w:tcW w:w="4160" w:type="dxa"/>
            <w:vAlign w:val="bottom"/>
            <w:gridSpan w:val="13"/>
          </w:tcPr>
          <w:p>
            <w:pPr>
              <w:spacing w:after="0"/>
              <w:rPr>
                <w:sz w:val="18"/>
                <w:szCs w:val="18"/>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8720" w:type="dxa"/>
            <w:vAlign w:val="bottom"/>
            <w:gridSpan w:val="20"/>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9" w:lineRule="auto"/>
        <w:tabs>
          <w:tab w:leader="none" w:pos="24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ind w:left="220" w:right="40" w:hanging="323"/>
        <w:spacing w:after="0" w:line="261" w:lineRule="auto"/>
        <w:tabs>
          <w:tab w:leader="none" w:pos="200" w:val="left"/>
        </w:tabs>
        <w:rPr>
          <w:sz w:val="20"/>
          <w:szCs w:val="20"/>
          <w:color w:val="auto"/>
        </w:rPr>
      </w:pPr>
      <w:r>
        <w:rPr>
          <w:rFonts w:ascii="Times New Roman" w:cs="Times New Roman" w:eastAsia="Times New Roman" w:hAnsi="Times New Roman"/>
          <w:sz w:val="14"/>
          <w:szCs w:val="14"/>
          <w:color w:val="auto"/>
        </w:rPr>
        <w:t>*</w:t>
        <w:tab/>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300" w:right="60" w:hanging="540"/>
        <w:spacing w:after="0" w:line="255"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left="1300" w:right="180" w:hanging="589"/>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above shall not apply if the registration statement is on Form S-3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the reports filed with or furnished to the Commission by the registrant pursuant to Section 13 or Section 15(d) of the Exchange Act that are incorporated by reference in this registration statement, or, as to a registration statement on Form S-3, is contained in a prospectus filed pursuant to Rule 424(b) that is part of the registration statement.</w:t>
      </w:r>
    </w:p>
    <w:p>
      <w:pPr>
        <w:spacing w:after="0" w:line="128" w:lineRule="exact"/>
        <w:rPr>
          <w:sz w:val="20"/>
          <w:szCs w:val="20"/>
          <w:color w:val="auto"/>
        </w:rPr>
      </w:pPr>
    </w:p>
    <w:p>
      <w:pPr>
        <w:ind w:left="660" w:right="20" w:hanging="328"/>
        <w:spacing w:after="0" w:line="266"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1300" w:right="200" w:hanging="49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1300" w:right="40" w:hanging="540"/>
        <w:spacing w:after="0" w:line="253"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5" w:lineRule="exact"/>
        <w:rPr>
          <w:rFonts w:ascii="Times New Roman" w:cs="Times New Roman" w:eastAsia="Times New Roman" w:hAnsi="Times New Roman"/>
          <w:sz w:val="18"/>
          <w:szCs w:val="18"/>
          <w:color w:val="auto"/>
        </w:rPr>
      </w:pPr>
    </w:p>
    <w:p>
      <w:pPr>
        <w:ind w:left="660" w:hanging="328"/>
        <w:spacing w:after="0" w:line="258"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9"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1300" w:right="260" w:hanging="54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1300" w:right="100" w:hanging="589"/>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left="1300" w:hanging="580"/>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1440" w:right="479" w:bottom="1440" w:gutter="0" w:footer="0" w:header="0"/>
        </w:sectPr>
      </w:pPr>
    </w:p>
    <w:bookmarkStart w:id="41" w:name="page42"/>
    <w:bookmarkEnd w:id="4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New York, New York, on July 7, 2022.</w:t>
      </w:r>
    </w:p>
    <w:p>
      <w:pPr>
        <w:spacing w:after="0" w:line="17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70" w:lineRule="exact"/>
        <w:rPr>
          <w:sz w:val="20"/>
          <w:szCs w:val="20"/>
          <w:color w:val="auto"/>
        </w:rPr>
      </w:pPr>
    </w:p>
    <w:tbl>
      <w:tblPr>
        <w:tblLayout w:type="fixed"/>
        <w:tblInd w:w="690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A. Weinberg</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constitutes and appoints Peter A. Weinberg, Gary S. Barancik and Vladimir Shendelman, and each of them, his or her attorney-in-fact and agent, each with the power of substitution, for him or her in any and all capacities, to sign any and all amendments to this filing on Form S-3, and supplements to this registration statement and to any and all instruments, documents or exhibits filed as part of or in conjunction with this registration statement or amendments or supplements thereof, and to file the same, with exhibits thereto and other documents in connection therewith, with the U.S. Securities and Exchange Commission, hereby ratifying and confirming all that said attorneys-in-fact, or his or her or their substitute or substitutes, may do or cause to be done by virtue thereof.</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report to be signed on its behalf by the undersigned thereunto duly authorized.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271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0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Peter A. Weinberg</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Gary S. Barancik</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Alexandra Gottschalk</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Joseph R.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Joseph R. Perella</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Robert K.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Robert K. Steel</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Dietrich Becker</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Andrew Bednar</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Daniel G. Cohen</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 Elizabeth C. Fascitelli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71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Elizabeth C. Fascitelli</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Kristin W. Mugford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Kristin W. Mugford</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Jorma Ollila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Jorma Ollila</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Ivan G. Seidenberg</w:t>
      </w:r>
    </w:p>
    <w:p>
      <w:pPr>
        <w:spacing w:after="0" w:line="1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Jane C. Sherburne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Jane C. Sherburne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33655</wp:posOffset>
            </wp:positionV>
            <wp:extent cx="3223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11"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jc w:val="center"/>
        <w:ind w:right="1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2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5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Chairman Emeritus</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Vice Chairman</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33655</wp:posOffset>
            </wp:positionV>
            <wp:extent cx="1517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427" w:lineRule="exact"/>
        <w:rPr>
          <w:sz w:val="20"/>
          <w:szCs w:val="20"/>
          <w:color w:val="auto"/>
        </w:rPr>
      </w:pPr>
    </w:p>
    <w:p>
      <w:pPr>
        <w:sectPr>
          <w:pgSz w:w="11900" w:h="16838" w:orient="portrait"/>
          <w:cols w:equalWidth="0" w:num="3">
            <w:col w:w="4100" w:space="720"/>
            <w:col w:w="4060" w:space="720"/>
            <w:col w:w="16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S-3</w:t>
      </w: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1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200" w:type="dxa"/>
            <w:vAlign w:val="bottom"/>
            <w:tcBorders>
              <w:top w:val="single" w:sz="8" w:color="auto"/>
              <w:left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42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right w:val="single" w:sz="8" w:color="auto"/>
            </w:tcBorders>
          </w:tcPr>
          <w:p>
            <w:pPr>
              <w:spacing w:after="0"/>
              <w:rPr>
                <w:sz w:val="13"/>
                <w:szCs w:val="13"/>
                <w:color w:val="auto"/>
              </w:rPr>
            </w:pPr>
          </w:p>
        </w:tc>
        <w:tc>
          <w:tcPr>
            <w:tcW w:w="12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1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0" w:type="dxa"/>
            <w:vAlign w:val="bottom"/>
          </w:tcPr>
          <w:p>
            <w:pPr>
              <w:spacing w:after="0"/>
              <w:rPr>
                <w:sz w:val="12"/>
                <w:szCs w:val="12"/>
                <w:color w:val="auto"/>
              </w:rPr>
            </w:pPr>
          </w:p>
        </w:tc>
        <w:tc>
          <w:tcPr>
            <w:tcW w:w="152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220" w:type="dxa"/>
            <w:vAlign w:val="bottom"/>
            <w:tcBorders>
              <w:right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112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4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 Registered</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 Per</w:t>
            </w:r>
          </w:p>
        </w:tc>
        <w:tc>
          <w:tcPr>
            <w:tcW w:w="140" w:type="dxa"/>
            <w:vAlign w:val="bottom"/>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20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0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Forward Rule</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right"/>
              <w:ind w:right="268"/>
              <w:spacing w:after="0" w:line="202" w:lineRule="exact"/>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8"/>
                <w:szCs w:val="18"/>
                <w:b w:val="1"/>
                <w:bCs w:val="1"/>
                <w:color w:val="auto"/>
                <w:vertAlign w:val="superscript"/>
              </w:rPr>
              <w:t>(2)</w:t>
            </w:r>
          </w:p>
        </w:tc>
        <w:tc>
          <w:tcPr>
            <w:tcW w:w="1220" w:type="dxa"/>
            <w:vAlign w:val="bottom"/>
            <w:tcBorders>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Registration Fee</w:t>
            </w:r>
          </w:p>
        </w:tc>
        <w:tc>
          <w:tcPr>
            <w:tcW w:w="0" w:type="dxa"/>
            <w:vAlign w:val="bottom"/>
          </w:tcPr>
          <w:p>
            <w:pPr>
              <w:spacing w:after="0"/>
              <w:rPr>
                <w:sz w:val="1"/>
                <w:szCs w:val="1"/>
                <w:color w:val="auto"/>
              </w:rPr>
            </w:pPr>
          </w:p>
        </w:tc>
      </w:tr>
      <w:tr>
        <w:trPr>
          <w:trHeight w:val="190"/>
        </w:trPr>
        <w:tc>
          <w:tcPr>
            <w:tcW w:w="1200" w:type="dxa"/>
            <w:vAlign w:val="bottom"/>
            <w:tcBorders>
              <w:left w:val="single" w:sz="8" w:color="auto"/>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Class A common</w:t>
            </w:r>
          </w:p>
        </w:tc>
        <w:tc>
          <w:tcPr>
            <w:tcW w:w="110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200" w:type="dxa"/>
            <w:vAlign w:val="bottom"/>
            <w:tcBorders>
              <w:right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stock, par value</w:t>
            </w:r>
          </w:p>
        </w:tc>
        <w:tc>
          <w:tcPr>
            <w:tcW w:w="11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457(c)</w:t>
            </w:r>
          </w:p>
        </w:tc>
        <w:tc>
          <w:tcPr>
            <w:tcW w:w="14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r>
              <w:rPr>
                <w:rFonts w:ascii="Times New Roman" w:cs="Times New Roman" w:eastAsia="Times New Roman" w:hAnsi="Times New Roman"/>
                <w:sz w:val="18"/>
                <w:szCs w:val="18"/>
                <w:color w:val="auto"/>
                <w:vertAlign w:val="superscript"/>
              </w:rPr>
              <w:t>(1)</w:t>
            </w:r>
          </w:p>
        </w:tc>
        <w:tc>
          <w:tcPr>
            <w:tcW w:w="12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$5.80</w:t>
            </w:r>
            <w:r>
              <w:rPr>
                <w:rFonts w:ascii="Times New Roman" w:cs="Times New Roman" w:eastAsia="Times New Roman" w:hAnsi="Times New Roman"/>
                <w:sz w:val="18"/>
                <w:szCs w:val="18"/>
                <w:color w:val="auto"/>
                <w:vertAlign w:val="superscript"/>
              </w:rPr>
              <w:t>(2)</w:t>
            </w:r>
          </w:p>
        </w:tc>
        <w:tc>
          <w:tcPr>
            <w:tcW w:w="140" w:type="dxa"/>
            <w:vAlign w:val="bottom"/>
          </w:tcPr>
          <w:p>
            <w:pPr>
              <w:spacing w:after="0"/>
              <w:rPr>
                <w:sz w:val="12"/>
                <w:szCs w:val="12"/>
                <w:color w:val="auto"/>
              </w:rPr>
            </w:pPr>
          </w:p>
        </w:tc>
        <w:tc>
          <w:tcPr>
            <w:tcW w:w="15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$116,000,000</w:t>
            </w:r>
            <w:r>
              <w:rPr>
                <w:rFonts w:ascii="Times New Roman" w:cs="Times New Roman" w:eastAsia="Times New Roman" w:hAnsi="Times New Roman"/>
                <w:sz w:val="18"/>
                <w:szCs w:val="18"/>
                <w:color w:val="auto"/>
                <w:vertAlign w:val="superscript"/>
              </w:rPr>
              <w:t>(2)(3)</w:t>
            </w:r>
          </w:p>
        </w:tc>
        <w:tc>
          <w:tcPr>
            <w:tcW w:w="12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0.0000927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10,753.20</w:t>
            </w:r>
          </w:p>
        </w:tc>
        <w:tc>
          <w:tcPr>
            <w:tcW w:w="0" w:type="dxa"/>
            <w:vAlign w:val="bottom"/>
          </w:tcPr>
          <w:p>
            <w:pPr>
              <w:spacing w:after="0"/>
              <w:rPr>
                <w:sz w:val="1"/>
                <w:szCs w:val="1"/>
                <w:color w:val="auto"/>
              </w:rPr>
            </w:pPr>
          </w:p>
        </w:tc>
      </w:tr>
      <w:tr>
        <w:trPr>
          <w:trHeight w:val="20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$0.0001 per share</w:t>
            </w:r>
          </w:p>
        </w:tc>
        <w:tc>
          <w:tcPr>
            <w:tcW w:w="110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vMerge w:val="continue"/>
          </w:tcPr>
          <w:p>
            <w:pPr>
              <w:spacing w:after="0"/>
              <w:rPr>
                <w:sz w:val="17"/>
                <w:szCs w:val="17"/>
                <w:color w:val="auto"/>
              </w:rPr>
            </w:pPr>
          </w:p>
        </w:tc>
        <w:tc>
          <w:tcPr>
            <w:tcW w:w="12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Class A common</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200" w:type="dxa"/>
            <w:vAlign w:val="bottom"/>
            <w:tcBorders>
              <w:right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stock, par value</w:t>
            </w:r>
          </w:p>
        </w:tc>
        <w:tc>
          <w:tcPr>
            <w:tcW w:w="11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457(c)</w:t>
            </w:r>
          </w:p>
        </w:tc>
        <w:tc>
          <w:tcPr>
            <w:tcW w:w="14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1,942,590</w:t>
            </w:r>
            <w:r>
              <w:rPr>
                <w:rFonts w:ascii="Times New Roman" w:cs="Times New Roman" w:eastAsia="Times New Roman" w:hAnsi="Times New Roman"/>
                <w:sz w:val="18"/>
                <w:szCs w:val="18"/>
                <w:color w:val="auto"/>
                <w:vertAlign w:val="superscript"/>
              </w:rPr>
              <w:t>(4)</w:t>
            </w:r>
          </w:p>
        </w:tc>
        <w:tc>
          <w:tcPr>
            <w:tcW w:w="12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$5.80</w:t>
            </w:r>
            <w:r>
              <w:rPr>
                <w:rFonts w:ascii="Times New Roman" w:cs="Times New Roman" w:eastAsia="Times New Roman" w:hAnsi="Times New Roman"/>
                <w:sz w:val="18"/>
                <w:szCs w:val="18"/>
                <w:color w:val="auto"/>
                <w:vertAlign w:val="superscript"/>
              </w:rPr>
              <w:t>(2)</w:t>
            </w:r>
          </w:p>
        </w:tc>
        <w:tc>
          <w:tcPr>
            <w:tcW w:w="140" w:type="dxa"/>
            <w:vAlign w:val="bottom"/>
          </w:tcPr>
          <w:p>
            <w:pPr>
              <w:spacing w:after="0"/>
              <w:rPr>
                <w:sz w:val="12"/>
                <w:szCs w:val="12"/>
                <w:color w:val="auto"/>
              </w:rPr>
            </w:pPr>
          </w:p>
        </w:tc>
        <w:tc>
          <w:tcPr>
            <w:tcW w:w="15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$11,267,022</w:t>
            </w:r>
            <w:r>
              <w:rPr>
                <w:rFonts w:ascii="Times New Roman" w:cs="Times New Roman" w:eastAsia="Times New Roman" w:hAnsi="Times New Roman"/>
                <w:sz w:val="18"/>
                <w:szCs w:val="18"/>
                <w:color w:val="auto"/>
                <w:vertAlign w:val="superscript"/>
              </w:rPr>
              <w:t>(2)(3)</w:t>
            </w:r>
          </w:p>
        </w:tc>
        <w:tc>
          <w:tcPr>
            <w:tcW w:w="12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0.0000927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1,044.45</w:t>
            </w:r>
          </w:p>
        </w:tc>
        <w:tc>
          <w:tcPr>
            <w:tcW w:w="0" w:type="dxa"/>
            <w:vAlign w:val="bottom"/>
          </w:tcPr>
          <w:p>
            <w:pPr>
              <w:spacing w:after="0"/>
              <w:rPr>
                <w:sz w:val="1"/>
                <w:szCs w:val="1"/>
                <w:color w:val="auto"/>
              </w:rPr>
            </w:pPr>
          </w:p>
        </w:tc>
      </w:tr>
      <w:tr>
        <w:trPr>
          <w:trHeight w:val="202"/>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$0.0001 per share</w:t>
            </w:r>
          </w:p>
        </w:tc>
        <w:tc>
          <w:tcPr>
            <w:tcW w:w="110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vMerge w:val="continue"/>
          </w:tcPr>
          <w:p>
            <w:pPr>
              <w:spacing w:after="0"/>
              <w:rPr>
                <w:sz w:val="17"/>
                <w:szCs w:val="17"/>
                <w:color w:val="auto"/>
              </w:rPr>
            </w:pPr>
          </w:p>
        </w:tc>
        <w:tc>
          <w:tcPr>
            <w:tcW w:w="12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Total Offering Amounts</w:t>
            </w:r>
          </w:p>
        </w:tc>
        <w:tc>
          <w:tcPr>
            <w:tcW w:w="14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127,267,022</w:t>
            </w:r>
          </w:p>
        </w:tc>
        <w:tc>
          <w:tcPr>
            <w:tcW w:w="12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0.0000927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11,797.65</w:t>
            </w: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14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Total Fee Offsets</w:t>
            </w:r>
          </w:p>
        </w:tc>
        <w:tc>
          <w:tcPr>
            <w:tcW w:w="14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left="348"/>
              <w:spacing w:after="0"/>
              <w:rPr>
                <w:sz w:val="20"/>
                <w:szCs w:val="20"/>
                <w:color w:val="auto"/>
              </w:rPr>
            </w:pPr>
            <w:r>
              <w:rPr>
                <w:rFonts w:ascii="Times New Roman" w:cs="Times New Roman" w:eastAsia="Times New Roman" w:hAnsi="Times New Roman"/>
                <w:sz w:val="14"/>
                <w:szCs w:val="14"/>
                <w:color w:val="auto"/>
              </w:rPr>
              <w:t>Net Fee Due</w:t>
            </w:r>
          </w:p>
        </w:tc>
        <w:tc>
          <w:tcPr>
            <w:tcW w:w="14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11,797.65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that may be offered and sold from time to time in one or more offerings by Perella Weinberg Partners (Primary Offering).</w:t>
      </w:r>
    </w:p>
    <w:p>
      <w:pPr>
        <w:spacing w:after="0" w:line="76" w:lineRule="exact"/>
        <w:rPr>
          <w:rFonts w:ascii="Times New Roman" w:cs="Times New Roman" w:eastAsia="Times New Roman" w:hAnsi="Times New Roman"/>
          <w:sz w:val="18"/>
          <w:szCs w:val="18"/>
          <w:color w:val="auto"/>
        </w:rPr>
      </w:pPr>
    </w:p>
    <w:p>
      <w:pPr>
        <w:ind w:left="340" w:right="620" w:hanging="332"/>
        <w:spacing w:after="0" w:line="237"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also covers any additional securities that may be offered or issued in connection with any stock split, stock dividend or similar transactions.</w:t>
      </w:r>
    </w:p>
    <w:p>
      <w:pPr>
        <w:spacing w:after="0" w:line="63" w:lineRule="exact"/>
        <w:rPr>
          <w:rFonts w:ascii="Times New Roman" w:cs="Times New Roman" w:eastAsia="Times New Roman" w:hAnsi="Times New Roman"/>
          <w:sz w:val="18"/>
          <w:szCs w:val="18"/>
          <w:color w:val="auto"/>
        </w:rPr>
      </w:pPr>
    </w:p>
    <w:p>
      <w:pPr>
        <w:ind w:left="340" w:right="40" w:hanging="332"/>
        <w:spacing w:after="0" w:line="226"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price per share and the maximum aggregate offering price are based on the average of the high and low sales price of the shares of Class A common stock on June 30, 2022, as reported on the Nasdaq Global Select Market.</w:t>
      </w:r>
    </w:p>
    <w:p>
      <w:pPr>
        <w:spacing w:after="0" w:line="63" w:lineRule="exact"/>
        <w:rPr>
          <w:rFonts w:ascii="Times New Roman" w:cs="Times New Roman" w:eastAsia="Times New Roman" w:hAnsi="Times New Roman"/>
          <w:sz w:val="18"/>
          <w:szCs w:val="18"/>
          <w:color w:val="auto"/>
        </w:rPr>
      </w:pPr>
    </w:p>
    <w:p>
      <w:pPr>
        <w:ind w:left="340" w:right="480" w:hanging="332"/>
        <w:spacing w:after="0" w:line="237"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that may be offered and sold from time to time in one or more offerings by the selling stockholder named in this prospectus (Secondary Offering).</w:t>
      </w:r>
    </w:p>
    <w:p>
      <w:pPr>
        <w:sectPr>
          <w:pgSz w:w="11900" w:h="16838" w:orient="portrait"/>
          <w:cols w:equalWidth="0" w:num="1">
            <w:col w:w="11240"/>
          </w:cols>
          <w:pgMar w:left="320" w:top="10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SKADDEN, ARPS, SLATE, MEAGHER &amp; FLOM LLP</w:t>
      </w:r>
    </w:p>
    <w:p>
      <w:pPr>
        <w:spacing w:after="0" w:line="92" w:lineRule="exact"/>
        <w:rPr>
          <w:sz w:val="20"/>
          <w:szCs w:val="20"/>
          <w:color w:val="auto"/>
        </w:rPr>
      </w:pPr>
    </w:p>
    <w:tbl>
      <w:tblPr>
        <w:tblLayout w:type="fixed"/>
        <w:tblInd w:w="4460" w:type="dxa"/>
        <w:tblCellMar>
          <w:top w:w="0" w:type="dxa"/>
          <w:left w:w="0" w:type="dxa"/>
          <w:bottom w:w="0" w:type="dxa"/>
          <w:right w:w="0" w:type="dxa"/>
        </w:tblCellMar>
      </w:tblPr>
      <w:tr>
        <w:trPr>
          <w:trHeight w:val="148"/>
        </w:trPr>
        <w:tc>
          <w:tcPr>
            <w:tcW w:w="4740" w:type="dxa"/>
            <w:vAlign w:val="bottom"/>
            <w:vMerge w:val="restart"/>
          </w:tcPr>
          <w:p>
            <w:pPr>
              <w:jc w:val="center"/>
              <w:ind w:right="2340"/>
              <w:spacing w:after="0"/>
              <w:rPr>
                <w:sz w:val="20"/>
                <w:szCs w:val="20"/>
                <w:color w:val="auto"/>
              </w:rPr>
            </w:pPr>
            <w:r>
              <w:rPr>
                <w:rFonts w:ascii="Arial" w:cs="Arial" w:eastAsia="Arial" w:hAnsi="Arial"/>
                <w:sz w:val="20"/>
                <w:szCs w:val="20"/>
                <w:color w:val="auto"/>
                <w:w w:val="98"/>
              </w:rPr>
              <w:t>ONE MANHATTAN WEST</w:t>
            </w:r>
          </w:p>
        </w:tc>
        <w:tc>
          <w:tcPr>
            <w:tcW w:w="1640" w:type="dxa"/>
            <w:vAlign w:val="bottom"/>
          </w:tcPr>
          <w:p>
            <w:pPr>
              <w:jc w:val="center"/>
              <w:ind w:left="139"/>
              <w:spacing w:after="0"/>
              <w:rPr>
                <w:sz w:val="20"/>
                <w:szCs w:val="20"/>
                <w:color w:val="auto"/>
              </w:rPr>
            </w:pPr>
            <w:r>
              <w:rPr>
                <w:rFonts w:ascii="Arial" w:cs="Arial" w:eastAsia="Arial" w:hAnsi="Arial"/>
                <w:sz w:val="12"/>
                <w:szCs w:val="12"/>
                <w:color w:val="auto"/>
                <w:w w:val="97"/>
              </w:rPr>
              <w:t>FIRM/AFFILIATE OFFICES</w:t>
            </w:r>
          </w:p>
        </w:tc>
        <w:tc>
          <w:tcPr>
            <w:tcW w:w="0" w:type="dxa"/>
            <w:vAlign w:val="bottom"/>
          </w:tcPr>
          <w:p>
            <w:pPr>
              <w:spacing w:after="0"/>
              <w:rPr>
                <w:sz w:val="1"/>
                <w:szCs w:val="1"/>
                <w:color w:val="auto"/>
              </w:rPr>
            </w:pPr>
          </w:p>
        </w:tc>
      </w:tr>
      <w:tr>
        <w:trPr>
          <w:trHeight w:val="89"/>
        </w:trPr>
        <w:tc>
          <w:tcPr>
            <w:tcW w:w="4740" w:type="dxa"/>
            <w:vAlign w:val="bottom"/>
            <w:vMerge w:val="continue"/>
          </w:tcPr>
          <w:p>
            <w:pPr>
              <w:spacing w:after="0"/>
              <w:rPr>
                <w:sz w:val="7"/>
                <w:szCs w:val="7"/>
                <w:color w:val="auto"/>
              </w:rPr>
            </w:pPr>
          </w:p>
        </w:tc>
        <w:tc>
          <w:tcPr>
            <w:tcW w:w="1640" w:type="dxa"/>
            <w:vAlign w:val="bottom"/>
          </w:tcPr>
          <w:p>
            <w:pPr>
              <w:jc w:val="center"/>
              <w:ind w:left="139"/>
              <w:spacing w:after="0" w:line="90" w:lineRule="exact"/>
              <w:rPr>
                <w:sz w:val="20"/>
                <w:szCs w:val="20"/>
                <w:color w:val="auto"/>
              </w:rPr>
            </w:pPr>
            <w:r>
              <w:rPr>
                <w:rFonts w:ascii="Arial" w:cs="Arial" w:eastAsia="Arial" w:hAnsi="Arial"/>
                <w:sz w:val="9"/>
                <w:szCs w:val="9"/>
                <w:color w:val="auto"/>
                <w:w w:val="96"/>
              </w:rPr>
              <w:t>-----------</w:t>
            </w:r>
          </w:p>
        </w:tc>
        <w:tc>
          <w:tcPr>
            <w:tcW w:w="0" w:type="dxa"/>
            <w:vAlign w:val="bottom"/>
          </w:tcPr>
          <w:p>
            <w:pPr>
              <w:spacing w:after="0"/>
              <w:rPr>
                <w:sz w:val="1"/>
                <w:szCs w:val="1"/>
                <w:color w:val="auto"/>
              </w:rPr>
            </w:pPr>
          </w:p>
        </w:tc>
      </w:tr>
      <w:tr>
        <w:trPr>
          <w:trHeight w:val="144"/>
        </w:trPr>
        <w:tc>
          <w:tcPr>
            <w:tcW w:w="4740" w:type="dxa"/>
            <w:vAlign w:val="bottom"/>
            <w:vMerge w:val="restart"/>
          </w:tcPr>
          <w:p>
            <w:pPr>
              <w:jc w:val="center"/>
              <w:ind w:right="2340"/>
              <w:spacing w:after="0"/>
              <w:rPr>
                <w:sz w:val="20"/>
                <w:szCs w:val="20"/>
                <w:color w:val="auto"/>
              </w:rPr>
            </w:pPr>
            <w:r>
              <w:rPr>
                <w:rFonts w:ascii="Arial" w:cs="Arial" w:eastAsia="Arial" w:hAnsi="Arial"/>
                <w:sz w:val="20"/>
                <w:szCs w:val="20"/>
                <w:color w:val="auto"/>
                <w:w w:val="99"/>
              </w:rPr>
              <w:t>NEW YORK, NY 10001</w:t>
            </w:r>
          </w:p>
        </w:tc>
        <w:tc>
          <w:tcPr>
            <w:tcW w:w="1640" w:type="dxa"/>
            <w:vAlign w:val="bottom"/>
          </w:tcPr>
          <w:p>
            <w:pPr>
              <w:jc w:val="center"/>
              <w:ind w:left="139"/>
              <w:spacing w:after="0" w:line="144" w:lineRule="exact"/>
              <w:rPr>
                <w:sz w:val="20"/>
                <w:szCs w:val="20"/>
                <w:color w:val="auto"/>
              </w:rPr>
            </w:pPr>
            <w:r>
              <w:rPr>
                <w:rFonts w:ascii="Arial" w:cs="Arial" w:eastAsia="Arial" w:hAnsi="Arial"/>
                <w:sz w:val="13"/>
                <w:szCs w:val="13"/>
                <w:color w:val="auto"/>
                <w:w w:val="94"/>
              </w:rPr>
              <w:t>BOSTON</w:t>
            </w:r>
          </w:p>
        </w:tc>
        <w:tc>
          <w:tcPr>
            <w:tcW w:w="0" w:type="dxa"/>
            <w:vAlign w:val="bottom"/>
          </w:tcPr>
          <w:p>
            <w:pPr>
              <w:spacing w:after="0"/>
              <w:rPr>
                <w:sz w:val="1"/>
                <w:szCs w:val="1"/>
                <w:color w:val="auto"/>
              </w:rPr>
            </w:pPr>
          </w:p>
        </w:tc>
      </w:tr>
      <w:tr>
        <w:trPr>
          <w:trHeight w:val="95"/>
        </w:trPr>
        <w:tc>
          <w:tcPr>
            <w:tcW w:w="4740" w:type="dxa"/>
            <w:vAlign w:val="bottom"/>
            <w:vMerge w:val="continue"/>
          </w:tcPr>
          <w:p>
            <w:pPr>
              <w:spacing w:after="0"/>
              <w:rPr>
                <w:sz w:val="8"/>
                <w:szCs w:val="8"/>
                <w:color w:val="auto"/>
              </w:rPr>
            </w:pPr>
          </w:p>
        </w:tc>
        <w:tc>
          <w:tcPr>
            <w:tcW w:w="1640" w:type="dxa"/>
            <w:vAlign w:val="bottom"/>
            <w:vMerge w:val="restart"/>
          </w:tcPr>
          <w:p>
            <w:pPr>
              <w:jc w:val="center"/>
              <w:ind w:left="139"/>
              <w:spacing w:after="0"/>
              <w:rPr>
                <w:sz w:val="20"/>
                <w:szCs w:val="20"/>
                <w:color w:val="auto"/>
              </w:rPr>
            </w:pPr>
            <w:r>
              <w:rPr>
                <w:rFonts w:ascii="Arial" w:cs="Arial" w:eastAsia="Arial" w:hAnsi="Arial"/>
                <w:sz w:val="13"/>
                <w:szCs w:val="13"/>
                <w:color w:val="auto"/>
                <w:w w:val="98"/>
              </w:rPr>
              <w:t>CHICAGO</w:t>
            </w:r>
          </w:p>
        </w:tc>
        <w:tc>
          <w:tcPr>
            <w:tcW w:w="0" w:type="dxa"/>
            <w:vAlign w:val="bottom"/>
          </w:tcPr>
          <w:p>
            <w:pPr>
              <w:spacing w:after="0"/>
              <w:rPr>
                <w:sz w:val="1"/>
                <w:szCs w:val="1"/>
                <w:color w:val="auto"/>
              </w:rPr>
            </w:pPr>
          </w:p>
        </w:tc>
      </w:tr>
      <w:tr>
        <w:trPr>
          <w:trHeight w:val="71"/>
        </w:trPr>
        <w:tc>
          <w:tcPr>
            <w:tcW w:w="4740" w:type="dxa"/>
            <w:vAlign w:val="bottom"/>
          </w:tcPr>
          <w:p>
            <w:pPr>
              <w:jc w:val="center"/>
              <w:ind w:right="2340"/>
              <w:spacing w:after="0" w:line="72" w:lineRule="exact"/>
              <w:rPr>
                <w:sz w:val="20"/>
                <w:szCs w:val="20"/>
                <w:color w:val="auto"/>
              </w:rPr>
            </w:pPr>
            <w:r>
              <w:rPr>
                <w:rFonts w:ascii="Arial" w:cs="Arial" w:eastAsia="Arial" w:hAnsi="Arial"/>
                <w:sz w:val="7"/>
                <w:szCs w:val="7"/>
                <w:color w:val="auto"/>
              </w:rPr>
              <w:t>________</w:t>
            </w: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1640" w:type="dxa"/>
            <w:vAlign w:val="bottom"/>
          </w:tcPr>
          <w:p>
            <w:pPr>
              <w:jc w:val="center"/>
              <w:ind w:left="139"/>
              <w:spacing w:after="0" w:line="117" w:lineRule="exact"/>
              <w:rPr>
                <w:sz w:val="20"/>
                <w:szCs w:val="20"/>
                <w:color w:val="auto"/>
              </w:rPr>
            </w:pPr>
            <w:r>
              <w:rPr>
                <w:rFonts w:ascii="Arial" w:cs="Arial" w:eastAsia="Arial" w:hAnsi="Arial"/>
                <w:sz w:val="13"/>
                <w:szCs w:val="13"/>
                <w:color w:val="auto"/>
                <w:w w:val="98"/>
              </w:rPr>
              <w:t>HOUSTON</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6"/>
              </w:rPr>
              <w:t>LOS ANGELES</w:t>
            </w:r>
          </w:p>
        </w:tc>
        <w:tc>
          <w:tcPr>
            <w:tcW w:w="0" w:type="dxa"/>
            <w:vAlign w:val="bottom"/>
          </w:tcPr>
          <w:p>
            <w:pPr>
              <w:spacing w:after="0"/>
              <w:rPr>
                <w:sz w:val="1"/>
                <w:szCs w:val="1"/>
                <w:color w:val="auto"/>
              </w:rPr>
            </w:pPr>
          </w:p>
        </w:tc>
      </w:tr>
      <w:tr>
        <w:trPr>
          <w:trHeight w:val="180"/>
        </w:trPr>
        <w:tc>
          <w:tcPr>
            <w:tcW w:w="4740" w:type="dxa"/>
            <w:vAlign w:val="bottom"/>
          </w:tcPr>
          <w:p>
            <w:pPr>
              <w:jc w:val="center"/>
              <w:ind w:right="2360"/>
              <w:spacing w:after="0" w:line="180" w:lineRule="exact"/>
              <w:rPr>
                <w:sz w:val="20"/>
                <w:szCs w:val="20"/>
                <w:color w:val="auto"/>
              </w:rPr>
            </w:pPr>
            <w:r>
              <w:rPr>
                <w:rFonts w:ascii="Arial" w:cs="Arial" w:eastAsia="Arial" w:hAnsi="Arial"/>
                <w:sz w:val="16"/>
                <w:szCs w:val="16"/>
                <w:color w:val="auto"/>
              </w:rPr>
              <w:t>TEL: (212) 735-3000</w:t>
            </w: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4"/>
              </w:rPr>
              <w:t>PALO ALTO</w:t>
            </w:r>
          </w:p>
        </w:tc>
        <w:tc>
          <w:tcPr>
            <w:tcW w:w="0" w:type="dxa"/>
            <w:vAlign w:val="bottom"/>
          </w:tcPr>
          <w:p>
            <w:pPr>
              <w:spacing w:after="0"/>
              <w:rPr>
                <w:sz w:val="1"/>
                <w:szCs w:val="1"/>
                <w:color w:val="auto"/>
              </w:rPr>
            </w:pPr>
          </w:p>
        </w:tc>
      </w:tr>
      <w:tr>
        <w:trPr>
          <w:trHeight w:val="104"/>
        </w:trPr>
        <w:tc>
          <w:tcPr>
            <w:tcW w:w="4740" w:type="dxa"/>
            <w:vAlign w:val="bottom"/>
            <w:vMerge w:val="restart"/>
          </w:tcPr>
          <w:p>
            <w:pPr>
              <w:jc w:val="center"/>
              <w:ind w:right="2360"/>
              <w:spacing w:after="0"/>
              <w:rPr>
                <w:sz w:val="20"/>
                <w:szCs w:val="20"/>
                <w:color w:val="auto"/>
              </w:rPr>
            </w:pPr>
            <w:r>
              <w:rPr>
                <w:rFonts w:ascii="Arial" w:cs="Arial" w:eastAsia="Arial" w:hAnsi="Arial"/>
                <w:sz w:val="16"/>
                <w:szCs w:val="16"/>
                <w:color w:val="auto"/>
              </w:rPr>
              <w:t>FAX: (212) 735-2000</w:t>
            </w:r>
          </w:p>
        </w:tc>
        <w:tc>
          <w:tcPr>
            <w:tcW w:w="1640" w:type="dxa"/>
            <w:vAlign w:val="bottom"/>
          </w:tcPr>
          <w:p>
            <w:pPr>
              <w:jc w:val="center"/>
              <w:ind w:left="139"/>
              <w:spacing w:after="0" w:line="104" w:lineRule="exact"/>
              <w:rPr>
                <w:sz w:val="20"/>
                <w:szCs w:val="20"/>
                <w:color w:val="auto"/>
              </w:rPr>
            </w:pPr>
            <w:r>
              <w:rPr>
                <w:rFonts w:ascii="Arial" w:cs="Arial" w:eastAsia="Arial" w:hAnsi="Arial"/>
                <w:sz w:val="12"/>
                <w:szCs w:val="12"/>
                <w:color w:val="auto"/>
              </w:rPr>
              <w:t>WASHINGTON, D.C.</w:t>
            </w:r>
          </w:p>
        </w:tc>
        <w:tc>
          <w:tcPr>
            <w:tcW w:w="0" w:type="dxa"/>
            <w:vAlign w:val="bottom"/>
          </w:tcPr>
          <w:p>
            <w:pPr>
              <w:spacing w:after="0"/>
              <w:rPr>
                <w:sz w:val="1"/>
                <w:szCs w:val="1"/>
                <w:color w:val="auto"/>
              </w:rPr>
            </w:pPr>
          </w:p>
        </w:tc>
      </w:tr>
      <w:tr>
        <w:trPr>
          <w:trHeight w:val="126"/>
        </w:trPr>
        <w:tc>
          <w:tcPr>
            <w:tcW w:w="4740" w:type="dxa"/>
            <w:vAlign w:val="bottom"/>
            <w:vMerge w:val="continue"/>
          </w:tcPr>
          <w:p>
            <w:pPr>
              <w:spacing w:after="0"/>
              <w:rPr>
                <w:sz w:val="10"/>
                <w:szCs w:val="10"/>
                <w:color w:val="auto"/>
              </w:rPr>
            </w:pPr>
          </w:p>
        </w:tc>
        <w:tc>
          <w:tcPr>
            <w:tcW w:w="1640" w:type="dxa"/>
            <w:vAlign w:val="bottom"/>
          </w:tcPr>
          <w:p>
            <w:pPr>
              <w:jc w:val="center"/>
              <w:ind w:left="139"/>
              <w:spacing w:after="0" w:line="126" w:lineRule="exact"/>
              <w:rPr>
                <w:sz w:val="20"/>
                <w:szCs w:val="20"/>
                <w:color w:val="auto"/>
              </w:rPr>
            </w:pPr>
            <w:r>
              <w:rPr>
                <w:rFonts w:ascii="Arial" w:cs="Arial" w:eastAsia="Arial" w:hAnsi="Arial"/>
                <w:sz w:val="13"/>
                <w:szCs w:val="13"/>
                <w:color w:val="auto"/>
                <w:w w:val="94"/>
              </w:rPr>
              <w:t>WILMINGTON</w:t>
            </w:r>
          </w:p>
        </w:tc>
        <w:tc>
          <w:tcPr>
            <w:tcW w:w="0" w:type="dxa"/>
            <w:vAlign w:val="bottom"/>
          </w:tcPr>
          <w:p>
            <w:pPr>
              <w:spacing w:after="0"/>
              <w:rPr>
                <w:sz w:val="1"/>
                <w:szCs w:val="1"/>
                <w:color w:val="auto"/>
              </w:rPr>
            </w:pPr>
          </w:p>
        </w:tc>
      </w:tr>
      <w:tr>
        <w:trPr>
          <w:trHeight w:val="117"/>
        </w:trPr>
        <w:tc>
          <w:tcPr>
            <w:tcW w:w="4740" w:type="dxa"/>
            <w:vAlign w:val="bottom"/>
          </w:tcPr>
          <w:p>
            <w:pPr>
              <w:jc w:val="center"/>
              <w:ind w:right="2340"/>
              <w:spacing w:after="0" w:line="108" w:lineRule="exact"/>
              <w:rPr>
                <w:sz w:val="20"/>
                <w:szCs w:val="20"/>
                <w:color w:val="auto"/>
              </w:rPr>
            </w:pPr>
            <w:r>
              <w:rPr>
                <w:rFonts w:ascii="Times New Roman" w:cs="Times New Roman" w:eastAsia="Times New Roman" w:hAnsi="Times New Roman"/>
                <w:sz w:val="12"/>
                <w:szCs w:val="12"/>
                <w:color w:val="auto"/>
              </w:rPr>
              <w:t>www.skadden.com</w:t>
            </w:r>
          </w:p>
        </w:tc>
        <w:tc>
          <w:tcPr>
            <w:tcW w:w="1640" w:type="dxa"/>
            <w:vAlign w:val="bottom"/>
          </w:tcPr>
          <w:p>
            <w:pPr>
              <w:jc w:val="center"/>
              <w:ind w:left="139"/>
              <w:spacing w:after="0"/>
              <w:rPr>
                <w:sz w:val="20"/>
                <w:szCs w:val="20"/>
                <w:color w:val="auto"/>
              </w:rPr>
            </w:pPr>
            <w:r>
              <w:rPr>
                <w:rFonts w:ascii="Arial" w:cs="Arial" w:eastAsia="Arial" w:hAnsi="Arial"/>
                <w:sz w:val="9"/>
                <w:szCs w:val="9"/>
                <w:color w:val="auto"/>
                <w:w w:val="96"/>
              </w:rPr>
              <w: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4"/>
              </w:rPr>
              <w:t>BEIJING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7"/>
              </w:rPr>
              <w:t>BRUSSELS</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6"/>
              </w:rPr>
              <w:t>FRANKFURT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8"/>
              </w:rPr>
              <w:t>HONG KONG</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3"/>
              </w:rPr>
              <w:t>LONDON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7"/>
              </w:rPr>
              <w:t>MOSCOW</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9"/>
              </w:rPr>
              <w:t>MUNICH</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2"/>
              </w:rPr>
              <w:t>PARIS</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3460"/>
              <w:spacing w:after="0"/>
              <w:rPr>
                <w:sz w:val="20"/>
                <w:szCs w:val="20"/>
                <w:color w:val="auto"/>
              </w:rPr>
            </w:pPr>
            <w:r>
              <w:rPr>
                <w:rFonts w:ascii="Times New Roman" w:cs="Times New Roman" w:eastAsia="Times New Roman" w:hAnsi="Times New Roman"/>
                <w:sz w:val="22"/>
                <w:szCs w:val="22"/>
                <w:color w:val="auto"/>
              </w:rPr>
              <w:t>July 7, 2022</w:t>
            </w: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5"/>
              </w:rPr>
              <w:t>SÃO PAULO</w:t>
            </w:r>
          </w:p>
        </w:tc>
        <w:tc>
          <w:tcPr>
            <w:tcW w:w="0" w:type="dxa"/>
            <w:vAlign w:val="bottom"/>
          </w:tcPr>
          <w:p>
            <w:pPr>
              <w:spacing w:after="0"/>
              <w:rPr>
                <w:sz w:val="1"/>
                <w:szCs w:val="1"/>
                <w:color w:val="auto"/>
              </w:rPr>
            </w:pPr>
          </w:p>
        </w:tc>
      </w:tr>
      <w:tr>
        <w:trPr>
          <w:trHeight w:val="135"/>
        </w:trPr>
        <w:tc>
          <w:tcPr>
            <w:tcW w:w="4740" w:type="dxa"/>
            <w:vAlign w:val="bottom"/>
            <w:vMerge w:val="continue"/>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9"/>
              </w:rPr>
              <w:t>SEOUL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4"/>
              </w:rPr>
              <w:t>SHANGHAI</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40" w:type="dxa"/>
            <w:vAlign w:val="bottom"/>
          </w:tcPr>
          <w:p>
            <w:pPr>
              <w:jc w:val="center"/>
              <w:ind w:left="139"/>
              <w:spacing w:after="0" w:line="135" w:lineRule="exact"/>
              <w:rPr>
                <w:sz w:val="20"/>
                <w:szCs w:val="20"/>
                <w:color w:val="auto"/>
              </w:rPr>
            </w:pPr>
            <w:r>
              <w:rPr>
                <w:rFonts w:ascii="Arial" w:cs="Arial" w:eastAsia="Arial" w:hAnsi="Arial"/>
                <w:sz w:val="13"/>
                <w:szCs w:val="13"/>
                <w:color w:val="auto"/>
                <w:w w:val="98"/>
              </w:rPr>
              <w:t>SINGAPORE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6"/>
              </w:rPr>
              <w:t>TOKYO</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640" w:type="dxa"/>
            <w:vAlign w:val="bottom"/>
          </w:tcPr>
          <w:p>
            <w:pPr>
              <w:jc w:val="center"/>
              <w:ind w:left="139"/>
              <w:spacing w:after="0"/>
              <w:rPr>
                <w:sz w:val="20"/>
                <w:szCs w:val="20"/>
                <w:color w:val="auto"/>
              </w:rPr>
            </w:pPr>
            <w:r>
              <w:rPr>
                <w:rFonts w:ascii="Arial" w:cs="Arial" w:eastAsia="Arial" w:hAnsi="Arial"/>
                <w:sz w:val="13"/>
                <w:szCs w:val="13"/>
                <w:color w:val="auto"/>
                <w:w w:val="98"/>
              </w:rPr>
              <w:t>TORONTO</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142"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Perella Weinberg Partners</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1"/>
          <w:szCs w:val="21"/>
          <w:color w:val="auto"/>
        </w:rPr>
        <w:t>We have acted as special United States counsel to Perella Weinberg Partners,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 connection with the registration statement on Form S-3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to be filed on the date hereof by the Company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under the Securities Act of 1933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The Registration Statement relates to (i) the issuance and sale by the Company from time to time, pursuant to Rule 415 of the General Rules and Regulations of the Commission promulgated under the Securities Act (the “</w:t>
      </w:r>
      <w:r>
        <w:rPr>
          <w:rFonts w:ascii="Times New Roman" w:cs="Times New Roman" w:eastAsia="Times New Roman" w:hAnsi="Times New Roman"/>
          <w:sz w:val="21"/>
          <w:szCs w:val="21"/>
          <w:u w:val="single" w:color="auto"/>
          <w:color w:val="auto"/>
        </w:rPr>
        <w:t>Rules and Regulations</w:t>
      </w:r>
      <w:r>
        <w:rPr>
          <w:rFonts w:ascii="Times New Roman" w:cs="Times New Roman" w:eastAsia="Times New Roman" w:hAnsi="Times New Roman"/>
          <w:sz w:val="21"/>
          <w:szCs w:val="21"/>
          <w:color w:val="auto"/>
        </w:rPr>
        <w:t>”), of shares of Class A common stock, par value $0.0001 per share, of the Company (“</w:t>
      </w:r>
      <w:r>
        <w:rPr>
          <w:rFonts w:ascii="Times New Roman" w:cs="Times New Roman" w:eastAsia="Times New Roman" w:hAnsi="Times New Roman"/>
          <w:sz w:val="21"/>
          <w:szCs w:val="21"/>
          <w:u w:val="single" w:color="auto"/>
          <w:color w:val="auto"/>
        </w:rPr>
        <w:t>Class A Common Stock</w:t>
      </w:r>
      <w:r>
        <w:rPr>
          <w:rFonts w:ascii="Times New Roman" w:cs="Times New Roman" w:eastAsia="Times New Roman" w:hAnsi="Times New Roman"/>
          <w:sz w:val="21"/>
          <w:szCs w:val="21"/>
          <w:color w:val="auto"/>
        </w:rPr>
        <w:t>”) and (ii) the resale from time to time of up to 1,942,590 shares of Class A Common Stock (the “</w:t>
      </w:r>
      <w:r>
        <w:rPr>
          <w:rFonts w:ascii="Times New Roman" w:cs="Times New Roman" w:eastAsia="Times New Roman" w:hAnsi="Times New Roman"/>
          <w:sz w:val="21"/>
          <w:szCs w:val="21"/>
          <w:u w:val="single" w:color="auto"/>
          <w:color w:val="auto"/>
        </w:rPr>
        <w:t>Secondary Shares</w:t>
      </w:r>
      <w:r>
        <w:rPr>
          <w:rFonts w:ascii="Times New Roman" w:cs="Times New Roman" w:eastAsia="Times New Roman" w:hAnsi="Times New Roman"/>
          <w:sz w:val="21"/>
          <w:szCs w:val="21"/>
          <w:color w:val="auto"/>
        </w:rPr>
        <w:t>”) held by FinTech Masala, LLC (the “</w:t>
      </w:r>
      <w:r>
        <w:rPr>
          <w:rFonts w:ascii="Times New Roman" w:cs="Times New Roman" w:eastAsia="Times New Roman" w:hAnsi="Times New Roman"/>
          <w:sz w:val="21"/>
          <w:szCs w:val="21"/>
          <w:u w:val="single" w:color="auto"/>
          <w:color w:val="auto"/>
        </w:rPr>
        <w:t>Selling Stockholder</w:t>
      </w:r>
      <w:r>
        <w:rPr>
          <w:rFonts w:ascii="Times New Roman" w:cs="Times New Roman" w:eastAsia="Times New Roman" w:hAnsi="Times New Roman"/>
          <w:sz w:val="21"/>
          <w:szCs w:val="21"/>
          <w:color w:val="auto"/>
        </w:rPr>
        <w:t>”). The Class A Common Stock offered by the Company pursuant to the Registration Statement are collectively referred to herein as the “</w:t>
      </w:r>
      <w:r>
        <w:rPr>
          <w:rFonts w:ascii="Times New Roman" w:cs="Times New Roman" w:eastAsia="Times New Roman" w:hAnsi="Times New Roman"/>
          <w:sz w:val="21"/>
          <w:szCs w:val="21"/>
          <w:u w:val="single" w:color="auto"/>
          <w:color w:val="auto"/>
        </w:rPr>
        <w:t>Company Offered Class A Common Stock</w:t>
      </w:r>
      <w:r>
        <w:rPr>
          <w:rFonts w:ascii="Times New Roman" w:cs="Times New Roman" w:eastAsia="Times New Roman" w:hAnsi="Times New Roman"/>
          <w:sz w:val="21"/>
          <w:szCs w:val="21"/>
          <w:color w:val="auto"/>
        </w:rPr>
        <w:t>.” The Company Offered Class A Common Stock and the Secondary Shares are collectively referred to herein as the “Securities.”</w:t>
      </w:r>
    </w:p>
    <w:p>
      <w:pPr>
        <w:spacing w:after="0" w:line="12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The Secondary Shares were issued pursuant to the Unit Subscription Agreement, dated as of September 24, 2020 (the “</w:t>
      </w:r>
      <w:r>
        <w:rPr>
          <w:rFonts w:ascii="Times New Roman" w:cs="Times New Roman" w:eastAsia="Times New Roman" w:hAnsi="Times New Roman"/>
          <w:sz w:val="22"/>
          <w:szCs w:val="22"/>
          <w:u w:val="single" w:color="auto"/>
          <w:color w:val="auto"/>
        </w:rPr>
        <w:t>Unit Subscription Agreement</w:t>
      </w:r>
      <w:r>
        <w:rPr>
          <w:rFonts w:ascii="Times New Roman" w:cs="Times New Roman" w:eastAsia="Times New Roman" w:hAnsi="Times New Roman"/>
          <w:sz w:val="22"/>
          <w:szCs w:val="22"/>
          <w:color w:val="auto"/>
        </w:rPr>
        <w:t>”), between the Company, and FinTech Investor Holdings IV, LLC, a Delaware limited liability company, and FinTech Masala Advisors, LLC, a Delaware limited liability company, and were subsequently distributed to the Selling Stockholder pursuant to the Amended and Restated Limited Liability Company Agreement of FinTech Investor Holdings IV, LLC, dated as of September 24, 2020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and, together with the Unit Subscription Agreement, the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July 7,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This opinion is being furnished in accordance with the requirements of Item 601(b)(5) of Regulation S-K under the Securities Act.</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rendering the opinions stated herein, we have examined and relied upon the following:</w:t>
      </w:r>
    </w:p>
    <w:p>
      <w:pPr>
        <w:spacing w:after="0" w:line="179"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w:t>
      </w:r>
    </w:p>
    <w:p>
      <w:pPr>
        <w:spacing w:after="0" w:line="16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the Share Agreements;</w:t>
      </w:r>
    </w:p>
    <w:p>
      <w:pPr>
        <w:spacing w:after="0" w:line="165" w:lineRule="exact"/>
        <w:rPr>
          <w:rFonts w:ascii="Times New Roman" w:cs="Times New Roman" w:eastAsia="Times New Roman" w:hAnsi="Times New Roman"/>
          <w:sz w:val="22"/>
          <w:szCs w:val="22"/>
          <w:color w:val="auto"/>
        </w:rPr>
      </w:pPr>
    </w:p>
    <w:p>
      <w:pPr>
        <w:ind w:right="140" w:firstLine="1304"/>
        <w:spacing w:after="0" w:line="271"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James J. McEntee, III, President and Secretary of the Company, dated September 29 (the “</w:t>
      </w:r>
      <w:r>
        <w:rPr>
          <w:rFonts w:ascii="Times New Roman" w:cs="Times New Roman" w:eastAsia="Times New Roman" w:hAnsi="Times New Roman"/>
          <w:sz w:val="22"/>
          <w:szCs w:val="22"/>
          <w:u w:val="single" w:color="auto"/>
          <w:color w:val="auto"/>
        </w:rPr>
        <w:t>IPO Secretary’s Certificate</w:t>
      </w:r>
      <w:r>
        <w:rPr>
          <w:rFonts w:ascii="Times New Roman" w:cs="Times New Roman" w:eastAsia="Times New Roman" w:hAnsi="Times New Roman"/>
          <w:sz w:val="22"/>
          <w:szCs w:val="22"/>
          <w:color w:val="auto"/>
        </w:rPr>
        <w:t>”);</w:t>
      </w:r>
    </w:p>
    <w:p>
      <w:pPr>
        <w:spacing w:after="0" w:line="103" w:lineRule="exact"/>
        <w:rPr>
          <w:rFonts w:ascii="Times New Roman" w:cs="Times New Roman" w:eastAsia="Times New Roman" w:hAnsi="Times New Roman"/>
          <w:sz w:val="22"/>
          <w:szCs w:val="22"/>
          <w:color w:val="auto"/>
        </w:rPr>
      </w:pPr>
    </w:p>
    <w:p>
      <w:pPr>
        <w:ind w:right="140" w:firstLine="1304"/>
        <w:spacing w:after="0" w:line="284"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James J. McEntee, III, President and Secretary of the Company, dated June 24, 2021 (the “</w:t>
      </w:r>
      <w:r>
        <w:rPr>
          <w:rFonts w:ascii="Times New Roman" w:cs="Times New Roman" w:eastAsia="Times New Roman" w:hAnsi="Times New Roman"/>
          <w:sz w:val="22"/>
          <w:szCs w:val="22"/>
          <w:u w:val="single" w:color="auto"/>
          <w:color w:val="auto"/>
        </w:rPr>
        <w:t>Merger Secretary’s Certificate</w:t>
      </w:r>
      <w:r>
        <w:rPr>
          <w:rFonts w:ascii="Times New Roman" w:cs="Times New Roman" w:eastAsia="Times New Roman" w:hAnsi="Times New Roman"/>
          <w:sz w:val="22"/>
          <w:szCs w:val="22"/>
          <w:color w:val="auto"/>
        </w:rPr>
        <w:t>”);</w:t>
      </w:r>
    </w:p>
    <w:p>
      <w:pPr>
        <w:spacing w:after="0" w:line="89" w:lineRule="exact"/>
        <w:rPr>
          <w:rFonts w:ascii="Times New Roman" w:cs="Times New Roman" w:eastAsia="Times New Roman" w:hAnsi="Times New Roman"/>
          <w:sz w:val="22"/>
          <w:szCs w:val="22"/>
          <w:color w:val="auto"/>
        </w:rPr>
      </w:pPr>
    </w:p>
    <w:p>
      <w:pPr>
        <w:ind w:right="320" w:firstLine="1304"/>
        <w:spacing w:after="0" w:line="257"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Justin Kamen, Secretary of the Company, dated the date hereof (the “</w:t>
      </w: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and, collectively with the IPO Secretary’s Certificate and the Merger Secretary’s Certificate, the “</w:t>
      </w:r>
      <w:r>
        <w:rPr>
          <w:rFonts w:ascii="Times New Roman" w:cs="Times New Roman" w:eastAsia="Times New Roman" w:hAnsi="Times New Roman"/>
          <w:sz w:val="22"/>
          <w:szCs w:val="22"/>
          <w:u w:val="single" w:color="auto"/>
          <w:color w:val="auto"/>
        </w:rPr>
        <w:t>Secretary’s Certificates</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ind w:right="600" w:firstLine="1304"/>
        <w:spacing w:after="0" w:line="263"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Certificate of Incorporation, as amended on June 13, 2019, certified by the Secretary of State of the State of Delaware as of November 20, 2018, as in effect as of the date of each of the IPO Board Resolution (as defined below);</w:t>
      </w:r>
    </w:p>
    <w:p>
      <w:pPr>
        <w:spacing w:after="0" w:line="113" w:lineRule="exact"/>
        <w:rPr>
          <w:rFonts w:ascii="Times New Roman" w:cs="Times New Roman" w:eastAsia="Times New Roman" w:hAnsi="Times New Roman"/>
          <w:sz w:val="22"/>
          <w:szCs w:val="22"/>
          <w:color w:val="auto"/>
        </w:rPr>
      </w:pPr>
    </w:p>
    <w:p>
      <w:pPr>
        <w:ind w:right="180" w:firstLine="1304"/>
        <w:spacing w:after="0" w:line="271"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as in effect as of the date of the Merger Board Resolutions (as defined below), and certified pursuant to the IPO Secretary’s Certificate;</w:t>
      </w:r>
    </w:p>
    <w:p>
      <w:pPr>
        <w:spacing w:after="0" w:line="103" w:lineRule="exact"/>
        <w:rPr>
          <w:rFonts w:ascii="Times New Roman" w:cs="Times New Roman" w:eastAsia="Times New Roman" w:hAnsi="Times New Roman"/>
          <w:sz w:val="22"/>
          <w:szCs w:val="22"/>
          <w:color w:val="auto"/>
        </w:rPr>
      </w:pPr>
    </w:p>
    <w:p>
      <w:pPr>
        <w:ind w:right="300" w:firstLine="1304"/>
        <w:spacing w:after="0" w:line="271"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Restated Certificate of Incorporation, certified by the Secretary of State of the State of Delaware as of July 7, 2022, and certified pursuant to the Secretary’s Certificate;</w:t>
      </w:r>
    </w:p>
    <w:p>
      <w:pPr>
        <w:spacing w:after="0" w:line="11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Bylaws, as amended and in effect as of the date of each of the IPO Board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w:t>
      </w:r>
    </w:p>
    <w:p>
      <w:pPr>
        <w:spacing w:after="0" w:line="14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Bylaws, as amended and in effect as of the date of the Merger Board Resolutions, and certified pursuant to the IPO Secretary’s Certificate;</w:t>
      </w:r>
    </w:p>
    <w:p>
      <w:pPr>
        <w:spacing w:after="0" w:line="103" w:lineRule="exact"/>
        <w:rPr>
          <w:rFonts w:ascii="Times New Roman" w:cs="Times New Roman" w:eastAsia="Times New Roman" w:hAnsi="Times New Roman"/>
          <w:sz w:val="22"/>
          <w:szCs w:val="22"/>
          <w:color w:val="auto"/>
        </w:rPr>
      </w:pPr>
    </w:p>
    <w:p>
      <w:pPr>
        <w:ind w:right="220" w:firstLine="1304"/>
        <w:spacing w:after="0" w:line="284"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Bylaws, as amended and in effect as of the date hereof, certified pursuant to the Secretary’s Certificate; and</w:t>
      </w:r>
    </w:p>
    <w:p>
      <w:pPr>
        <w:spacing w:after="0" w:line="89" w:lineRule="exact"/>
        <w:rPr>
          <w:rFonts w:ascii="Times New Roman" w:cs="Times New Roman" w:eastAsia="Times New Roman" w:hAnsi="Times New Roman"/>
          <w:sz w:val="22"/>
          <w:szCs w:val="22"/>
          <w:color w:val="auto"/>
        </w:rPr>
      </w:pPr>
    </w:p>
    <w:p>
      <w:pPr>
        <w:ind w:right="40" w:firstLine="1304"/>
        <w:spacing w:after="0" w:line="250"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certain resolutions of the Board of Directors of the Company, adopted on: (i) November 20, 2018, May 14, 2019, June 12, 2019, August 7, 2020 and September 24, 2020 (collectively, the “</w:t>
      </w:r>
      <w:r>
        <w:rPr>
          <w:rFonts w:ascii="Times New Roman" w:cs="Times New Roman" w:eastAsia="Times New Roman" w:hAnsi="Times New Roman"/>
          <w:sz w:val="22"/>
          <w:szCs w:val="22"/>
          <w:u w:val="single" w:color="auto"/>
          <w:color w:val="auto"/>
        </w:rPr>
        <w:t>IPO Board Resolutions</w:t>
      </w:r>
      <w:r>
        <w:rPr>
          <w:rFonts w:ascii="Times New Roman" w:cs="Times New Roman" w:eastAsia="Times New Roman" w:hAnsi="Times New Roman"/>
          <w:sz w:val="22"/>
          <w:szCs w:val="22"/>
          <w:color w:val="auto"/>
        </w:rPr>
        <w:t>”), certified pursuant to the IPO Secretary’s Certificate; (ii) December 28, 2020, May 3, 2021 and June 23, 2021 (the “</w:t>
      </w:r>
      <w:r>
        <w:rPr>
          <w:rFonts w:ascii="Times New Roman" w:cs="Times New Roman" w:eastAsia="Times New Roman" w:hAnsi="Times New Roman"/>
          <w:sz w:val="22"/>
          <w:szCs w:val="22"/>
          <w:u w:val="single" w:color="auto"/>
          <w:color w:val="auto"/>
        </w:rPr>
        <w:t>Merger 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Resolutions</w:t>
      </w:r>
      <w:r>
        <w:rPr>
          <w:rFonts w:ascii="Times New Roman" w:cs="Times New Roman" w:eastAsia="Times New Roman" w:hAnsi="Times New Roman"/>
          <w:sz w:val="22"/>
          <w:szCs w:val="22"/>
          <w:color w:val="auto"/>
        </w:rPr>
        <w:t>”), certified pursuant to the Merger Secretary’s Certificate; and (iii) July 7, 2022, certified pursuant to the Secretary’s Certificate.</w:t>
      </w:r>
    </w:p>
    <w:p>
      <w:pPr>
        <w:spacing w:after="0" w:line="140"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the Selling Stockholder and such agreements,</w:t>
      </w:r>
    </w:p>
    <w:p>
      <w:pPr>
        <w:sectPr>
          <w:pgSz w:w="11900" w:h="16838" w:orient="portrait"/>
          <w:cols w:equalWidth="0" w:num="1">
            <w:col w:w="11200"/>
          </w:cols>
          <w:pgMar w:left="320" w:top="86"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July 7,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certificates and receipts of public officials, certificates of officers or other representatives of the Company and the Selling Stockholder and others, and such other documents as we have deemed necessary or appropriate as a basis for the opinions stated below.</w:t>
      </w:r>
    </w:p>
    <w:p>
      <w:pPr>
        <w:spacing w:after="0" w:line="132"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in paragraph 2 below, we have assumed that (i) the Company received the consideration for the Secondary Shares set forth in the applicable Share Agreements and the applicable board resolutions and (ii) the issuance of the Secondary Shares has been registered in the Company’s share registry. As to any facts relevant to the opinions stated herein that we did not independently establish or verify, we have relied upon statements and representations of officers and other representatives of the Company and the Selling Stockholder and others and of public officials, including the facts and conclusions set forth in the Secretary’s Certificates.</w:t>
      </w:r>
    </w:p>
    <w:p>
      <w:pPr>
        <w:spacing w:after="0" w:line="131"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any applicable underwriting or purchase agreement.</w:t>
      </w:r>
    </w:p>
    <w:p>
      <w:pPr>
        <w:spacing w:after="0" w:line="16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opinions stated in paragraphs 1 and 2 below presume that all of the following (collectively, the “</w:t>
      </w:r>
      <w:r>
        <w:rPr>
          <w:rFonts w:ascii="Times New Roman" w:cs="Times New Roman" w:eastAsia="Times New Roman" w:hAnsi="Times New Roman"/>
          <w:sz w:val="22"/>
          <w:szCs w:val="22"/>
          <w:u w:val="single" w:color="auto"/>
          <w:color w:val="auto"/>
        </w:rPr>
        <w:t>general conditions</w:t>
      </w:r>
      <w:r>
        <w:rPr>
          <w:rFonts w:ascii="Times New Roman" w:cs="Times New Roman" w:eastAsia="Times New Roman" w:hAnsi="Times New Roman"/>
          <w:sz w:val="22"/>
          <w:szCs w:val="22"/>
          <w:color w:val="auto"/>
        </w:rPr>
        <w:t>”) shall have occurred prior to the issuance and/or sale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and/or sale of such Securities and related matters and appropriate officers of the Company shall have taken all related action as directed by or under the direction of the Board of Directors of the Company; and (v) the terms of the applicable Transaction Documents and the issuance and/or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and so as to comply with any requirement or restriction imposed by any court or governmental body having jurisdiction over the Company.</w:t>
      </w:r>
    </w:p>
    <w:p>
      <w:pPr>
        <w:sectPr>
          <w:pgSz w:w="11900" w:h="16838" w:orient="portrait"/>
          <w:cols w:equalWidth="0" w:num="1">
            <w:col w:w="11220"/>
          </w:cols>
          <w:pgMar w:left="320" w:top="8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July 7,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w:t>
      </w:r>
    </w:p>
    <w:p>
      <w:pPr>
        <w:spacing w:after="0" w:line="166" w:lineRule="exact"/>
        <w:rPr>
          <w:sz w:val="20"/>
          <w:szCs w:val="20"/>
          <w:color w:val="auto"/>
        </w:rPr>
      </w:pPr>
    </w:p>
    <w:p>
      <w:pPr>
        <w:jc w:val="both"/>
        <w:ind w:right="140" w:firstLine="656"/>
        <w:spacing w:after="0" w:line="267" w:lineRule="auto"/>
        <w:tabs>
          <w:tab w:leader="none" w:pos="129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shares of Company Offered Class A Common Stock, when (a) the general conditions shall have been satisfied, (b) if the Company Offered Class A Common Stock is to be certificated, certificates in the form required under the DGCL representing the shares of Company Offered Class A Common Stock are duly executed and countersigned and</w:t>
      </w:r>
    </w:p>
    <w:p>
      <w:pPr>
        <w:spacing w:after="0" w:line="1" w:lineRule="exact"/>
        <w:rPr>
          <w:rFonts w:ascii="Times New Roman" w:cs="Times New Roman" w:eastAsia="Times New Roman" w:hAnsi="Times New Roman"/>
          <w:sz w:val="21"/>
          <w:szCs w:val="21"/>
          <w:color w:val="auto"/>
        </w:rPr>
      </w:pPr>
    </w:p>
    <w:p>
      <w:pPr>
        <w:ind w:right="160" w:firstLine="8"/>
        <w:spacing w:after="0" w:line="262" w:lineRule="auto"/>
        <w:tabs>
          <w:tab w:leader="none" w:pos="29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of Company Offered Class A Common Stock are registered in the Company’s share registry and delivered upon payment of the agreed-upon consideration therefor, the shares of Company Offered Class A Common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$0.0001 per share of Company Offered Class A Common Stock.</w:t>
      </w:r>
    </w:p>
    <w:p>
      <w:pPr>
        <w:spacing w:after="0" w:line="115" w:lineRule="exact"/>
        <w:rPr>
          <w:rFonts w:ascii="Times New Roman" w:cs="Times New Roman" w:eastAsia="Times New Roman" w:hAnsi="Times New Roman"/>
          <w:sz w:val="21"/>
          <w:szCs w:val="21"/>
          <w:color w:val="auto"/>
        </w:rPr>
      </w:pPr>
    </w:p>
    <w:p>
      <w:pPr>
        <w:ind w:right="420" w:firstLine="656"/>
        <w:spacing w:after="0" w:line="271" w:lineRule="auto"/>
        <w:tabs>
          <w:tab w:leader="none" w:pos="129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Secondary Shares have been duly authorized by all requisite corporate action on the part of the Company under the DGCL and have been validly issued and are fully paid and nonassessable.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opinions stated herein are subject to the following qualifications:</w:t>
      </w:r>
    </w:p>
    <w:p>
      <w:pPr>
        <w:spacing w:after="0" w:line="166" w:lineRule="exact"/>
        <w:rPr>
          <w:sz w:val="20"/>
          <w:szCs w:val="20"/>
          <w:color w:val="auto"/>
        </w:rPr>
      </w:pPr>
    </w:p>
    <w:p>
      <w:pPr>
        <w:ind w:right="180" w:firstLine="656"/>
        <w:spacing w:after="0" w:line="253" w:lineRule="auto"/>
        <w:tabs>
          <w:tab w:leader="none" w:pos="94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assumed that the issuance of the Secondary Shares did not violate or conflict with any agreement or instrument binding on the Company (except that we do not make this assumption with respect to the Company’s Restated Certificate of Incorporation, the Company’s Amended and Restated Bylaws or those agreements or instruments expressed to be governed by the laws of the State of New York which are listed in Part II of the Registration Statement or Amendment No. 1 to the Company’s Annual Report on Form 10-K/A for the year ended December 31, 2021).</w:t>
      </w:r>
    </w:p>
    <w:p>
      <w:pPr>
        <w:spacing w:after="0" w:line="1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ectPr>
          <w:pgSz w:w="11900" w:h="16838" w:orient="portrait"/>
          <w:cols w:equalWidth="0" w:num="1">
            <w:col w:w="11200"/>
          </w:cols>
          <w:pgMar w:left="320" w:top="86" w:right="3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333333"/>
        </w:rPr>
        <w:t>We consent to the reference to our firm under the caption "Experts" in this Registration Statement on Form S-3 and related Prospectus of Perella Weinberg Partners for the registration of up to 20,000,000 shares of its Class A common stock to be offered and sold by Perella Weinberg Partners and 1,942,590 shares of its Class A common stock to be offered and sold by a selling stockholder, and to the incorporation by reference therein of our report dated March 11, 2022, with respect to the consolidated financial statements of Perella Weinberg Partners included in its Amendment No. 1 to the Annual Report (Form 10-K/A) for the year ended December 31, 2021, filed with the Securities and Exchange Commission.</w:t>
      </w:r>
    </w:p>
    <w:p>
      <w:pPr>
        <w:spacing w:after="0" w:line="26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7, 2022</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lvl w:ilvl="1">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lowerRoman"/>
      <w:start w:val="1"/>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7"/>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8"/>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lowerLetter"/>
      <w:start w:val="12"/>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upperLetter"/>
      <w:start w:val="35"/>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lvl w:ilvl="1">
      <w:lvlJc w:val="left"/>
      <w:lvlText w:val="(%2)"/>
      <w:numFmt w:val="lowerRoman"/>
      <w:start w:val="1"/>
    </w:lvl>
  </w:abstractNum>
  <w:abstractNum w:abstractNumId="37">
    <w:nsid w:val="70A64E2A"/>
    <w:multiLevelType w:val="hybridMultilevel"/>
    <w:lvl w:ilvl="0">
      <w:lvlJc w:val="left"/>
      <w:lvlText w:val="(%1)"/>
      <w:numFmt w:val="lowerRoman"/>
      <w:start w:val="3"/>
    </w:lvl>
  </w:abstractNum>
  <w:abstractNum w:abstractNumId="38">
    <w:nsid w:val="6A2342EC"/>
    <w:multiLevelType w:val="hybridMultilevel"/>
    <w:lvl w:ilvl="0">
      <w:lvlJc w:val="left"/>
      <w:lvlText w:val="(%1)"/>
      <w:numFmt w:val="decimal"/>
      <w:start w:val="2"/>
    </w:lvl>
    <w:lvl w:ilvl="1">
      <w:lvlJc w:val="left"/>
      <w:lvlText w:val="(%2)"/>
      <w:numFmt w:val="lowerRoman"/>
      <w:start w:val="1"/>
    </w:lvl>
  </w:abstractNum>
  <w:abstractNum w:abstractNumId="39">
    <w:nsid w:val="2A487CB0"/>
    <w:multiLevelType w:val="hybridMultilevel"/>
    <w:lvl w:ilvl="0">
      <w:lvlJc w:val="left"/>
      <w:lvlText w:val="%1"/>
      <w:numFmt w:val="decimal"/>
      <w:start w:val="1"/>
    </w:lvl>
    <w:lvl w:ilvl="1">
      <w:lvlJc w:val="left"/>
      <w:lvlText w:val="(%2)"/>
      <w:numFmt w:val="lowerRoman"/>
      <w:start w:val="4"/>
    </w:lvl>
  </w:abstractNum>
  <w:abstractNum w:abstractNumId="40">
    <w:nsid w:val="1D4ED43B"/>
    <w:multiLevelType w:val="hybridMultilevel"/>
    <w:lvl w:ilvl="0">
      <w:lvlJc w:val="left"/>
      <w:lvlText w:val="(%1)"/>
      <w:numFmt w:val="decimal"/>
      <w:start w:val="6"/>
    </w:lvl>
    <w:lvl w:ilvl="1">
      <w:lvlJc w:val="left"/>
      <w:lvlText w:val="%2"/>
      <w:numFmt w:val="lowerRoman"/>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1"/>
    </w:lvl>
    <w:lvl w:ilvl="1">
      <w:lvlJc w:val="left"/>
      <w:lvlText w:val="%2."/>
      <w:numFmt w:val="decimal"/>
      <w:start w:val="1"/>
    </w:lvl>
  </w:abstractNum>
  <w:abstractNum w:abstractNumId="44">
    <w:nsid w:val="7A6D8D3C"/>
    <w:multiLevelType w:val="hybridMultilevel"/>
    <w:lvl w:ilvl="0">
      <w:lvlJc w:val="left"/>
      <w:lvlText w:val="(%1)"/>
      <w:numFmt w:val="lowerLetter"/>
      <w:start w:val="3"/>
    </w:lvl>
    <w:lvl w:ilvl="1">
      <w:lvlJc w:val="left"/>
      <w:lvlText w:val="%2."/>
      <w:numFmt w:val="decimal"/>
      <w:start w:val="2"/>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13" Type="http://schemas.openxmlformats.org/officeDocument/2006/relationships/hyperlink" Target="https://www.sec.gov/ix?doc=/Archives/edgar/data/0001777835/000177783522000054/pwp-20211231.htm" TargetMode="External"/><Relationship Id="rId14" Type="http://schemas.openxmlformats.org/officeDocument/2006/relationships/hyperlink" Target="https://www.sec.gov/ix?doc=/Archives/edgar/data/0001777835/000177783522000028/pwp-20220331.htm" TargetMode="External"/><Relationship Id="rId15" Type="http://schemas.openxmlformats.org/officeDocument/2006/relationships/hyperlink" Target="https://www.sec.gov/Archives/edgar/data/0001777835/000177783522000015/pwp-def14ax2021proxyamendm.htm" TargetMode="External"/><Relationship Id="rId16" Type="http://schemas.openxmlformats.org/officeDocument/2006/relationships/hyperlink" Target="https://www.sec.gov/Archives/edgar/data/0001777835/000177783522000017/defa14a-proxynotice.htm" TargetMode="External"/><Relationship Id="rId17" Type="http://schemas.openxmlformats.org/officeDocument/2006/relationships/hyperlink" Target="https://www.sec.gov/ix?doc=/Archives/edgar/data/0001777835/000177783522000003/pwp-20220217.htm" TargetMode="External"/><Relationship Id="rId18" Type="http://schemas.openxmlformats.org/officeDocument/2006/relationships/hyperlink" Target="https://www.sec.gov/ix?doc=/Archives/edgar/data/0001777835/000177783522000031/pwp-20220524.htm" TargetMode="External"/><Relationship Id="rId19" Type="http://schemas.openxmlformats.org/officeDocument/2006/relationships/hyperlink" Target="https://www.sec.gov/ix?doc=/Archives/edgar/data/0001777835/000177783522000049/pwp-20220531.htm" TargetMode="External"/><Relationship Id="rId20" Type="http://schemas.openxmlformats.org/officeDocument/2006/relationships/hyperlink" Target="https://www.sec.gov/Archives/edgar/data/1777835/000177783522000008/pwp-20211231xexx44.htm" TargetMode="External"/><Relationship Id="rId35" Type="http://schemas.openxmlformats.org/officeDocument/2006/relationships/hyperlink" Target="https://www.sec.gov/Archives/edgar/data/1777835/000121390020045792/ea132500ex2-1_fintechacq4.htm" TargetMode="External"/><Relationship Id="rId36" Type="http://schemas.openxmlformats.org/officeDocument/2006/relationships/hyperlink" Target="https://www.sec.gov/Archives/edgar/data/1777835/000162828022000893/exhibit31-sx1a1.htm" TargetMode="External"/><Relationship Id="rId37" Type="http://schemas.openxmlformats.org/officeDocument/2006/relationships/hyperlink" Target="https://www.sec.gov/Archives/edgar/data/1777835/000119312521204696/d119701dex32.htm" TargetMode="External"/><Relationship Id="rId38" Type="http://schemas.openxmlformats.org/officeDocument/2006/relationships/hyperlink" Target="https://www.sec.gov/Archives/edgar/data/1777835/000119312521204696/d119701dex41.htm" TargetMode="External"/><Relationship Id="rId39" Type="http://schemas.openxmlformats.org/officeDocument/2006/relationships/hyperlink" Target="https://www.sec.gov/Archives/edgar/data/1777835/000121390020029071/ea127460ex4-1_fintechacq4.htm" TargetMode="External"/><Relationship Id="rId40" Type="http://schemas.openxmlformats.org/officeDocument/2006/relationships/hyperlink" Target="https://www.sec.gov/Archives/edgar/data/1777835/000162828021025439/exhibit43-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2022-07-07T15:59:28Z</dcterms:created>
  <dcterms:modified xsi:type="dcterms:W3CDTF">2022-07-07T15:59:28Z</dcterms:modified>
</cp:coreProperties>
</file>