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Arial" w:cs="Arial" w:eastAsia="Arial" w:hAnsi="Arial"/>
          <w:sz w:val="18"/>
          <w:szCs w:val="18"/>
          <w:b w:val="1"/>
          <w:bCs w:val="1"/>
          <w:color w:val="auto"/>
        </w:rPr>
        <w:t>Prospectus Supplement No. 2</w:t>
      </w:r>
    </w:p>
    <w:p>
      <w:pPr>
        <w:spacing w:after="0" w:line="27" w:lineRule="exact"/>
        <w:rPr>
          <w:sz w:val="24"/>
          <w:szCs w:val="24"/>
          <w:color w:val="auto"/>
        </w:rPr>
      </w:pPr>
    </w:p>
    <w:p>
      <w:pPr>
        <w:ind w:left="20"/>
        <w:spacing w:after="0"/>
        <w:rPr>
          <w:sz w:val="20"/>
          <w:szCs w:val="20"/>
          <w:color w:val="auto"/>
        </w:rPr>
      </w:pPr>
      <w:r>
        <w:rPr>
          <w:rFonts w:ascii="Arial" w:cs="Arial" w:eastAsia="Arial" w:hAnsi="Arial"/>
          <w:sz w:val="15"/>
          <w:szCs w:val="15"/>
          <w:b w:val="1"/>
          <w:bCs w:val="1"/>
          <w:color w:val="auto"/>
        </w:rPr>
        <w:t>(to prospectus dated July 26, 2021)</w:t>
      </w:r>
    </w:p>
    <w:p>
      <w:pPr>
        <w:spacing w:after="0" w:line="20" w:lineRule="exact"/>
        <w:rPr>
          <w:sz w:val="24"/>
          <w:szCs w:val="24"/>
          <w:color w:val="auto"/>
        </w:rPr>
      </w:pPr>
      <w:r>
        <w:rPr>
          <w:sz w:val="24"/>
          <w:szCs w:val="24"/>
          <w:color w:val="auto"/>
        </w:rPr>
        <w:br w:type="column"/>
      </w:r>
    </w:p>
    <w:p>
      <w:pPr>
        <w:jc w:val="center"/>
        <w:ind w:right="1400"/>
        <w:spacing w:after="0"/>
        <w:rPr>
          <w:sz w:val="20"/>
          <w:szCs w:val="20"/>
          <w:color w:val="auto"/>
        </w:rPr>
      </w:pPr>
      <w:r>
        <w:rPr>
          <w:rFonts w:ascii="Arial" w:cs="Arial" w:eastAsia="Arial" w:hAnsi="Arial"/>
          <w:sz w:val="16"/>
          <w:szCs w:val="16"/>
          <w:b w:val="1"/>
          <w:bCs w:val="1"/>
          <w:color w:val="auto"/>
        </w:rPr>
        <w:t>Filed Pursuant to Rule 424(b)(3)</w:t>
      </w:r>
    </w:p>
    <w:p>
      <w:pPr>
        <w:spacing w:after="0" w:line="50" w:lineRule="exact"/>
        <w:rPr>
          <w:sz w:val="24"/>
          <w:szCs w:val="24"/>
          <w:color w:val="auto"/>
        </w:rPr>
      </w:pPr>
    </w:p>
    <w:p>
      <w:pPr>
        <w:jc w:val="center"/>
        <w:ind w:right="1400"/>
        <w:spacing w:after="0"/>
        <w:rPr>
          <w:sz w:val="20"/>
          <w:szCs w:val="20"/>
          <w:color w:val="auto"/>
        </w:rPr>
      </w:pPr>
      <w:r>
        <w:rPr>
          <w:rFonts w:ascii="Arial" w:cs="Arial" w:eastAsia="Arial" w:hAnsi="Arial"/>
          <w:sz w:val="18"/>
          <w:szCs w:val="18"/>
          <w:b w:val="1"/>
          <w:bCs w:val="1"/>
          <w:color w:val="auto"/>
        </w:rPr>
        <w:t>Registration No. 333-257924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-1967865</wp:posOffset>
            </wp:positionH>
            <wp:positionV relativeFrom="paragraph">
              <wp:posOffset>477520</wp:posOffset>
            </wp:positionV>
            <wp:extent cx="1748790" cy="9169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48790" cy="916940"/>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6600" w:space="720"/>
            <w:col w:w="3900"/>
          </w:cols>
          <w:pgMar w:left="320" w:top="1026"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ind w:right="80"/>
        <w:spacing w:after="0"/>
        <w:rPr>
          <w:sz w:val="20"/>
          <w:szCs w:val="20"/>
          <w:color w:val="auto"/>
        </w:rPr>
      </w:pPr>
      <w:r>
        <w:rPr>
          <w:rFonts w:ascii="Arial" w:cs="Arial" w:eastAsia="Arial" w:hAnsi="Arial"/>
          <w:sz w:val="43"/>
          <w:szCs w:val="43"/>
          <w:b w:val="1"/>
          <w:bCs w:val="1"/>
          <w:color w:val="auto"/>
        </w:rPr>
        <w:t>Perella Weinberg Partners</w:t>
      </w:r>
    </w:p>
    <w:p>
      <w:pPr>
        <w:spacing w:after="0" w:line="255" w:lineRule="exact"/>
        <w:rPr>
          <w:sz w:val="24"/>
          <w:szCs w:val="24"/>
          <w:color w:val="auto"/>
        </w:rPr>
      </w:pPr>
    </w:p>
    <w:p>
      <w:pPr>
        <w:jc w:val="center"/>
        <w:ind w:right="40"/>
        <w:spacing w:after="0"/>
        <w:rPr>
          <w:sz w:val="20"/>
          <w:szCs w:val="20"/>
          <w:color w:val="auto"/>
        </w:rPr>
      </w:pPr>
      <w:r>
        <w:rPr>
          <w:rFonts w:ascii="Arial" w:cs="Arial" w:eastAsia="Arial" w:hAnsi="Arial"/>
          <w:sz w:val="25"/>
          <w:szCs w:val="25"/>
          <w:b w:val="1"/>
          <w:bCs w:val="1"/>
          <w:color w:val="auto"/>
        </w:rPr>
        <w:t>70,364,353 Shares of Class A Common Stock</w:t>
      </w:r>
    </w:p>
    <w:p>
      <w:pPr>
        <w:spacing w:after="0" w:line="212" w:lineRule="exact"/>
        <w:rPr>
          <w:sz w:val="24"/>
          <w:szCs w:val="24"/>
          <w:color w:val="auto"/>
        </w:rPr>
      </w:pPr>
    </w:p>
    <w:p>
      <w:pPr>
        <w:jc w:val="center"/>
        <w:ind w:right="40"/>
        <w:spacing w:after="0"/>
        <w:rPr>
          <w:sz w:val="20"/>
          <w:szCs w:val="20"/>
          <w:color w:val="auto"/>
        </w:rPr>
      </w:pPr>
      <w:r>
        <w:rPr>
          <w:rFonts w:ascii="Arial" w:cs="Arial" w:eastAsia="Arial" w:hAnsi="Arial"/>
          <w:sz w:val="25"/>
          <w:szCs w:val="25"/>
          <w:b w:val="1"/>
          <w:bCs w:val="1"/>
          <w:color w:val="auto"/>
        </w:rPr>
        <w:t>203,333 Warrants to Purchase Class A Common Stock</w:t>
      </w: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ind w:right="40" w:firstLine="509"/>
        <w:spacing w:after="0" w:line="309" w:lineRule="auto"/>
        <w:rPr>
          <w:sz w:val="20"/>
          <w:szCs w:val="20"/>
          <w:color w:val="auto"/>
        </w:rPr>
      </w:pPr>
      <w:r>
        <w:rPr>
          <w:rFonts w:ascii="Arial" w:cs="Arial" w:eastAsia="Arial" w:hAnsi="Arial"/>
          <w:sz w:val="16"/>
          <w:szCs w:val="16"/>
          <w:color w:val="auto"/>
        </w:rPr>
        <w:t>This prospectus supplement is being filed to update and supplement the information contained in the prospectus dated July 26, 2021 (the “Prospectus”), related to: (1) the issuance by us of up to 7,870,000 shares of our Class A common stock, par value $0.0001 per share (“</w:t>
      </w:r>
      <w:r>
        <w:rPr>
          <w:rFonts w:ascii="Arial" w:cs="Arial" w:eastAsia="Arial" w:hAnsi="Arial"/>
          <w:sz w:val="16"/>
          <w:szCs w:val="16"/>
          <w:u w:val="single" w:color="auto"/>
          <w:color w:val="auto"/>
        </w:rPr>
        <w:t>Class A common</w:t>
      </w:r>
      <w:r>
        <w:rPr>
          <w:rFonts w:ascii="Arial" w:cs="Arial" w:eastAsia="Arial" w:hAnsi="Arial"/>
          <w:sz w:val="16"/>
          <w:szCs w:val="16"/>
          <w:color w:val="auto"/>
        </w:rPr>
        <w:t xml:space="preserve"> </w:t>
      </w:r>
      <w:r>
        <w:rPr>
          <w:rFonts w:ascii="Arial" w:cs="Arial" w:eastAsia="Arial" w:hAnsi="Arial"/>
          <w:sz w:val="16"/>
          <w:szCs w:val="16"/>
          <w:u w:val="single" w:color="auto"/>
          <w:color w:val="auto"/>
        </w:rPr>
        <w:t>stock</w:t>
      </w:r>
      <w:r>
        <w:rPr>
          <w:rFonts w:ascii="Arial" w:cs="Arial" w:eastAsia="Arial" w:hAnsi="Arial"/>
          <w:sz w:val="16"/>
          <w:szCs w:val="16"/>
          <w:color w:val="auto"/>
          <w:highlight w:val="white"/>
        </w:rPr>
        <w:t>”) that may be issued upon exercise of warrants to purchase Class A common stock at an exercise price of $11.50 per share of Class A common stock,</w:t>
      </w:r>
      <w:r>
        <w:rPr>
          <w:rFonts w:ascii="Arial" w:cs="Arial" w:eastAsia="Arial" w:hAnsi="Arial"/>
          <w:sz w:val="16"/>
          <w:szCs w:val="16"/>
          <w:color w:val="auto"/>
        </w:rPr>
        <w:t xml:space="preserve"> including the public warrants and the private placement warrants (each as defined below); and (2) the offer and sale, from time to time, by the selling holders identified in this prospectus (the “</w:t>
      </w:r>
      <w:r>
        <w:rPr>
          <w:rFonts w:ascii="Arial" w:cs="Arial" w:eastAsia="Arial" w:hAnsi="Arial"/>
          <w:sz w:val="16"/>
          <w:szCs w:val="16"/>
          <w:u w:val="single" w:color="auto"/>
          <w:color w:val="auto"/>
        </w:rPr>
        <w:t>Selling Holders</w:t>
      </w:r>
      <w:r>
        <w:rPr>
          <w:rFonts w:ascii="Arial" w:cs="Arial" w:eastAsia="Arial" w:hAnsi="Arial"/>
          <w:sz w:val="16"/>
          <w:szCs w:val="16"/>
          <w:color w:val="auto"/>
        </w:rPr>
        <w:t>”), or their permitted transferees, of (i) up to 70,364,353 shares of Class A common stock and (ii) up to 203,333 warrants (as defined below), with the information contained in our Quarterly Report on Form 10-Q, filed with the Securities and Exchange Commission (“SEC”) on November 5, 2021 (the “Quarterly Report”). Accordingly, we have attached the Quarterly Report to this prospectus supplement.</w:t>
      </w:r>
    </w:p>
    <w:p>
      <w:pPr>
        <w:spacing w:after="0" w:line="110" w:lineRule="exact"/>
        <w:rPr>
          <w:sz w:val="24"/>
          <w:szCs w:val="24"/>
          <w:color w:val="auto"/>
        </w:rPr>
      </w:pPr>
    </w:p>
    <w:p>
      <w:pPr>
        <w:ind w:right="260" w:firstLine="509"/>
        <w:spacing w:after="0" w:line="275" w:lineRule="auto"/>
        <w:rPr>
          <w:sz w:val="20"/>
          <w:szCs w:val="20"/>
          <w:color w:val="auto"/>
        </w:rPr>
      </w:pPr>
      <w:r>
        <w:rPr>
          <w:rFonts w:ascii="Arial" w:cs="Arial" w:eastAsia="Arial" w:hAnsi="Arial"/>
          <w:sz w:val="18"/>
          <w:szCs w:val="18"/>
          <w:color w:val="auto"/>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the information in this prospectus supplement.</w:t>
      </w:r>
    </w:p>
    <w:p>
      <w:pPr>
        <w:spacing w:after="0" w:line="131" w:lineRule="exact"/>
        <w:rPr>
          <w:sz w:val="24"/>
          <w:szCs w:val="24"/>
          <w:color w:val="auto"/>
        </w:rPr>
      </w:pPr>
    </w:p>
    <w:p>
      <w:pPr>
        <w:ind w:firstLine="509"/>
        <w:spacing w:after="0" w:line="359" w:lineRule="auto"/>
        <w:rPr>
          <w:sz w:val="20"/>
          <w:szCs w:val="20"/>
          <w:color w:val="auto"/>
        </w:rPr>
      </w:pPr>
      <w:r>
        <w:rPr>
          <w:rFonts w:ascii="Arial" w:cs="Arial" w:eastAsia="Arial" w:hAnsi="Arial"/>
          <w:sz w:val="16"/>
          <w:szCs w:val="16"/>
          <w:color w:val="auto"/>
        </w:rPr>
        <w:t>Our Class A common stock and warrants are traded on the Nasdaq Global Select Market under the symbols “PWP” and “PWPPW,” respectively. On November 4, 2021, the closing price of our Class A common stock was $13.50 per share and the closing price of our warrants was $3.65 per share.</w:t>
      </w:r>
    </w:p>
    <w:p>
      <w:pPr>
        <w:spacing w:after="0" w:line="67" w:lineRule="exact"/>
        <w:rPr>
          <w:sz w:val="24"/>
          <w:szCs w:val="24"/>
          <w:color w:val="auto"/>
        </w:rPr>
      </w:pPr>
    </w:p>
    <w:p>
      <w:pPr>
        <w:ind w:right="500" w:firstLine="509"/>
        <w:spacing w:after="0" w:line="297"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securities involves risks. S</w:t>
      </w:r>
      <w:r>
        <w:rPr>
          <w:rFonts w:ascii="Arial" w:cs="Arial" w:eastAsia="Arial" w:hAnsi="Arial"/>
          <w:sz w:val="18"/>
          <w:szCs w:val="18"/>
          <w:b w:val="1"/>
          <w:bCs w:val="1"/>
          <w:i w:val="1"/>
          <w:iCs w:val="1"/>
          <w:color w:val="auto"/>
        </w:rPr>
        <w:t>ee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t>
      </w:r>
      <w:hyperlink r:id="rId9">
        <w:r>
          <w:rPr>
            <w:rFonts w:ascii="Arial" w:cs="Arial" w:eastAsia="Arial" w:hAnsi="Arial"/>
            <w:sz w:val="18"/>
            <w:szCs w:val="18"/>
            <w:b w:val="1"/>
            <w:bCs w:val="1"/>
            <w:i w:val="1"/>
            <w:iCs w:val="1"/>
            <w:u w:val="single" w:color="auto"/>
            <w:color w:val="0000FF"/>
          </w:rPr>
          <w:t>Risk Factors</w:t>
        </w:r>
      </w:hyperlink>
      <w:r>
        <w:rPr>
          <w:rFonts w:ascii="Arial" w:cs="Arial" w:eastAsia="Arial" w:hAnsi="Arial"/>
          <w:sz w:val="18"/>
          <w:szCs w:val="18"/>
          <w:i w:val="1"/>
          <w:iCs w:val="1"/>
          <w:color w:val="auto"/>
          <w:highlight w:val="white"/>
        </w:rPr>
        <w:t>”</w:t>
      </w:r>
      <w:r>
        <w:rPr>
          <w:rFonts w:ascii="Arial" w:cs="Arial" w:eastAsia="Arial" w:hAnsi="Arial"/>
          <w:sz w:val="18"/>
          <w:szCs w:val="18"/>
          <w:b w:val="1"/>
          <w:bCs w:val="1"/>
          <w:color w:val="auto"/>
        </w:rPr>
        <w:t xml:space="preserve"> </w:t>
      </w:r>
      <w:r>
        <w:rPr>
          <w:rFonts w:ascii="Arial" w:cs="Arial" w:eastAsia="Arial" w:hAnsi="Arial"/>
          <w:sz w:val="18"/>
          <w:szCs w:val="18"/>
          <w:b w:val="1"/>
          <w:bCs w:val="1"/>
          <w:color w:val="auto"/>
          <w:highlight w:val="white"/>
        </w:rPr>
        <w:t>beginning on page 42 of the Prospectus and in any applicable prospectus</w:t>
      </w:r>
      <w:r>
        <w:rPr>
          <w:rFonts w:ascii="Arial" w:cs="Arial" w:eastAsia="Arial" w:hAnsi="Arial"/>
          <w:sz w:val="18"/>
          <w:szCs w:val="18"/>
          <w:b w:val="1"/>
          <w:bCs w:val="1"/>
          <w:color w:val="auto"/>
        </w:rPr>
        <w:t xml:space="preserve"> supplement.</w:t>
      </w:r>
    </w:p>
    <w:p>
      <w:pPr>
        <w:spacing w:after="0" w:line="109" w:lineRule="exact"/>
        <w:rPr>
          <w:sz w:val="24"/>
          <w:szCs w:val="24"/>
          <w:color w:val="auto"/>
        </w:rPr>
      </w:pPr>
    </w:p>
    <w:p>
      <w:pPr>
        <w:ind w:right="540" w:firstLine="509"/>
        <w:spacing w:after="0" w:line="329" w:lineRule="auto"/>
        <w:rPr>
          <w:sz w:val="20"/>
          <w:szCs w:val="20"/>
          <w:color w:val="auto"/>
        </w:rPr>
      </w:pPr>
      <w:r>
        <w:rPr>
          <w:rFonts w:ascii="Arial" w:cs="Arial" w:eastAsia="Arial" w:hAnsi="Arial"/>
          <w:sz w:val="17"/>
          <w:szCs w:val="17"/>
          <w:b w:val="1"/>
          <w:bCs w:val="1"/>
          <w:color w:val="auto"/>
        </w:rPr>
        <w:t>Neither the SEC nor any state securities commission has approved or disapproved of these securities or passed upon the adequacy or accuracy of the Prospectus or this prospectus supplement.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254000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The date of this prospectus supplement is November 5,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913130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26" w:right="3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t>UNITED STATES</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58" w:lineRule="exact"/>
        <w:rPr>
          <w:sz w:val="20"/>
          <w:szCs w:val="20"/>
          <w:color w:val="auto"/>
        </w:rPr>
      </w:pPr>
    </w:p>
    <w:p>
      <w:pPr>
        <w:jc w:val="center"/>
        <w:ind w:right="8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5" w:lineRule="exact"/>
        <w:rPr>
          <w:sz w:val="20"/>
          <w:szCs w:val="20"/>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6"/>
          <w:szCs w:val="16"/>
          <w:b w:val="1"/>
          <w:bCs w:val="1"/>
          <w:color w:val="auto"/>
        </w:rPr>
        <w:t>QUARTERLY REPORT PURSUANT TO SECTION 13 OR 15(d) OF THE SECURITIES EXCHANGE ACT OF 1934</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3" w:lineRule="exact"/>
        <w:rPr>
          <w:sz w:val="20"/>
          <w:szCs w:val="20"/>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260" w:type="dxa"/>
            <w:vAlign w:val="bottom"/>
          </w:tcPr>
          <w:p>
            <w:pPr>
              <w:ind w:left="3520"/>
              <w:spacing w:after="0"/>
              <w:rPr>
                <w:sz w:val="20"/>
                <w:szCs w:val="20"/>
                <w:color w:val="auto"/>
              </w:rPr>
            </w:pPr>
            <w:r>
              <w:rPr>
                <w:rFonts w:ascii="Arial" w:cs="Arial" w:eastAsia="Arial" w:hAnsi="Arial"/>
                <w:sz w:val="18"/>
                <w:szCs w:val="18"/>
                <w:b w:val="1"/>
                <w:bCs w:val="1"/>
                <w:color w:val="auto"/>
              </w:rPr>
              <w:t>FOR THE TRANSITION PERIOD FROM</w:t>
            </w:r>
          </w:p>
        </w:tc>
        <w:tc>
          <w:tcPr>
            <w:tcW w:w="3980" w:type="dxa"/>
            <w:vAlign w:val="bottom"/>
          </w:tcPr>
          <w:p>
            <w:pPr>
              <w:ind w:left="180"/>
              <w:spacing w:after="0"/>
              <w:rPr>
                <w:sz w:val="20"/>
                <w:szCs w:val="20"/>
                <w:color w:val="auto"/>
              </w:rPr>
            </w:pPr>
            <w:r>
              <w:rPr>
                <w:rFonts w:ascii="Arial" w:cs="Arial" w:eastAsia="Arial" w:hAnsi="Arial"/>
                <w:sz w:val="18"/>
                <w:szCs w:val="18"/>
                <w:b w:val="1"/>
                <w:bCs w:val="1"/>
                <w:color w:val="auto"/>
              </w:rPr>
              <w:t>TO</w:t>
            </w:r>
          </w:p>
        </w:tc>
      </w:tr>
      <w:tr>
        <w:trPr>
          <w:trHeight w:val="186"/>
        </w:trPr>
        <w:tc>
          <w:tcPr>
            <w:tcW w:w="7260" w:type="dxa"/>
            <w:vAlign w:val="bottom"/>
          </w:tcPr>
          <w:p>
            <w:pPr>
              <w:jc w:val="center"/>
              <w:ind w:left="3890"/>
              <w:spacing w:after="0"/>
              <w:rPr>
                <w:sz w:val="20"/>
                <w:szCs w:val="20"/>
                <w:color w:val="auto"/>
              </w:rPr>
            </w:pPr>
            <w:r>
              <w:rPr>
                <w:rFonts w:ascii="Arial" w:cs="Arial" w:eastAsia="Arial" w:hAnsi="Arial"/>
                <w:sz w:val="14"/>
                <w:szCs w:val="14"/>
                <w:b w:val="1"/>
                <w:bCs w:val="1"/>
                <w:color w:val="auto"/>
                <w:w w:val="93"/>
              </w:rPr>
              <w:t>Commission File Number: 001-39558</w:t>
            </w:r>
          </w:p>
        </w:tc>
        <w:tc>
          <w:tcPr>
            <w:tcW w:w="3980" w:type="dxa"/>
            <w:vAlign w:val="bottom"/>
          </w:tcPr>
          <w:p>
            <w:pPr>
              <w:spacing w:after="0"/>
              <w:rPr>
                <w:sz w:val="16"/>
                <w:szCs w:val="16"/>
                <w:color w:val="auto"/>
              </w:rPr>
            </w:pPr>
          </w:p>
        </w:tc>
      </w:tr>
      <w:tr>
        <w:trPr>
          <w:trHeight w:val="228"/>
        </w:trPr>
        <w:tc>
          <w:tcPr>
            <w:tcW w:w="11240" w:type="dxa"/>
            <w:vAlign w:val="bottom"/>
            <w:tcBorders>
              <w:bottom w:val="single" w:sz="8" w:color="auto"/>
            </w:tcBorders>
            <w:gridSpan w:val="2"/>
          </w:tcPr>
          <w:p>
            <w:pPr>
              <w:spacing w:after="0"/>
              <w:rPr>
                <w:sz w:val="19"/>
                <w:szCs w:val="19"/>
                <w:color w:val="auto"/>
              </w:rPr>
            </w:pPr>
          </w:p>
        </w:tc>
      </w:tr>
      <w:tr>
        <w:trPr>
          <w:trHeight w:val="542"/>
        </w:trPr>
        <w:tc>
          <w:tcPr>
            <w:tcW w:w="11240" w:type="dxa"/>
            <w:vAlign w:val="bottom"/>
            <w:gridSpan w:val="2"/>
          </w:tcPr>
          <w:p>
            <w:pPr>
              <w:jc w:val="center"/>
              <w:spacing w:after="0"/>
              <w:rPr>
                <w:sz w:val="20"/>
                <w:szCs w:val="20"/>
                <w:color w:val="auto"/>
              </w:rPr>
            </w:pPr>
            <w:r>
              <w:rPr>
                <w:rFonts w:ascii="Arial" w:cs="Arial" w:eastAsia="Arial" w:hAnsi="Arial"/>
                <w:sz w:val="43"/>
                <w:szCs w:val="43"/>
                <w:b w:val="1"/>
                <w:bCs w:val="1"/>
                <w:color w:val="auto"/>
                <w:w w:val="99"/>
              </w:rPr>
              <w:t>PERELLA WEINBERG PARTNERS</w:t>
            </w:r>
          </w:p>
        </w:tc>
      </w:tr>
      <w:tr>
        <w:trPr>
          <w:trHeight w:val="164"/>
        </w:trPr>
        <w:tc>
          <w:tcPr>
            <w:tcW w:w="7260" w:type="dxa"/>
            <w:vAlign w:val="bottom"/>
          </w:tcPr>
          <w:p>
            <w:pPr>
              <w:jc w:val="center"/>
              <w:ind w:left="3910"/>
              <w:spacing w:after="0"/>
              <w:rPr>
                <w:sz w:val="20"/>
                <w:szCs w:val="20"/>
                <w:color w:val="auto"/>
              </w:rPr>
            </w:pPr>
            <w:r>
              <w:rPr>
                <w:rFonts w:ascii="Arial" w:cs="Arial" w:eastAsia="Arial" w:hAnsi="Arial"/>
                <w:sz w:val="13"/>
                <w:szCs w:val="13"/>
                <w:b w:val="1"/>
                <w:bCs w:val="1"/>
                <w:color w:val="auto"/>
                <w:w w:val="88"/>
              </w:rPr>
              <w:t>(Exact Name of Registrant as Specified in its Charter)</w:t>
            </w:r>
          </w:p>
        </w:tc>
        <w:tc>
          <w:tcPr>
            <w:tcW w:w="3980" w:type="dxa"/>
            <w:vAlign w:val="bottom"/>
          </w:tcPr>
          <w:p>
            <w:pPr>
              <w:spacing w:after="0"/>
              <w:rPr>
                <w:sz w:val="14"/>
                <w:szCs w:val="14"/>
                <w:color w:val="auto"/>
              </w:rPr>
            </w:pPr>
          </w:p>
        </w:tc>
      </w:tr>
      <w:tr>
        <w:trPr>
          <w:trHeight w:val="232"/>
        </w:trPr>
        <w:tc>
          <w:tcPr>
            <w:tcW w:w="7260" w:type="dxa"/>
            <w:vAlign w:val="bottom"/>
            <w:tcBorders>
              <w:bottom w:val="single" w:sz="8" w:color="auto"/>
            </w:tcBorders>
          </w:tcPr>
          <w:p>
            <w:pPr>
              <w:spacing w:after="0"/>
              <w:rPr>
                <w:sz w:val="20"/>
                <w:szCs w:val="20"/>
                <w:color w:val="auto"/>
              </w:rPr>
            </w:pPr>
          </w:p>
        </w:tc>
        <w:tc>
          <w:tcPr>
            <w:tcW w:w="3980" w:type="dxa"/>
            <w:vAlign w:val="bottom"/>
            <w:tcBorders>
              <w:bottom w:val="single" w:sz="8" w:color="auto"/>
            </w:tcBorders>
          </w:tcPr>
          <w:p>
            <w:pPr>
              <w:spacing w:after="0"/>
              <w:rPr>
                <w:sz w:val="20"/>
                <w:szCs w:val="20"/>
                <w:color w:val="auto"/>
              </w:rPr>
            </w:pPr>
          </w:p>
        </w:tc>
      </w:tr>
      <w:tr>
        <w:trPr>
          <w:trHeight w:val="453"/>
        </w:trPr>
        <w:tc>
          <w:tcPr>
            <w:tcW w:w="7260" w:type="dxa"/>
            <w:vAlign w:val="bottom"/>
          </w:tcPr>
          <w:p>
            <w:pPr>
              <w:jc w:val="center"/>
              <w:ind w:right="1530"/>
              <w:spacing w:after="0"/>
              <w:rPr>
                <w:sz w:val="20"/>
                <w:szCs w:val="20"/>
                <w:color w:val="auto"/>
              </w:rPr>
            </w:pPr>
            <w:r>
              <w:rPr>
                <w:rFonts w:ascii="Arial" w:cs="Arial" w:eastAsia="Arial" w:hAnsi="Arial"/>
                <w:sz w:val="18"/>
                <w:szCs w:val="18"/>
                <w:b w:val="1"/>
                <w:bCs w:val="1"/>
                <w:color w:val="auto"/>
                <w:w w:val="91"/>
              </w:rPr>
              <w:t>Delaware</w:t>
            </w:r>
          </w:p>
        </w:tc>
        <w:tc>
          <w:tcPr>
            <w:tcW w:w="3980" w:type="dxa"/>
            <w:vAlign w:val="bottom"/>
          </w:tcPr>
          <w:p>
            <w:pPr>
              <w:jc w:val="right"/>
              <w:ind w:right="2304"/>
              <w:spacing w:after="0"/>
              <w:rPr>
                <w:sz w:val="20"/>
                <w:szCs w:val="20"/>
                <w:color w:val="auto"/>
              </w:rPr>
            </w:pPr>
            <w:r>
              <w:rPr>
                <w:rFonts w:ascii="Arial" w:cs="Arial" w:eastAsia="Arial" w:hAnsi="Arial"/>
                <w:sz w:val="18"/>
                <w:szCs w:val="18"/>
                <w:b w:val="1"/>
                <w:bCs w:val="1"/>
                <w:color w:val="auto"/>
              </w:rPr>
              <w:t>84-1770732</w:t>
            </w:r>
          </w:p>
        </w:tc>
      </w:tr>
      <w:tr>
        <w:trPr>
          <w:trHeight w:val="171"/>
        </w:trPr>
        <w:tc>
          <w:tcPr>
            <w:tcW w:w="7260" w:type="dxa"/>
            <w:vAlign w:val="bottom"/>
          </w:tcPr>
          <w:p>
            <w:pPr>
              <w:jc w:val="center"/>
              <w:ind w:right="1530"/>
              <w:spacing w:after="0"/>
              <w:rPr>
                <w:sz w:val="20"/>
                <w:szCs w:val="20"/>
                <w:color w:val="auto"/>
              </w:rPr>
            </w:pPr>
            <w:r>
              <w:rPr>
                <w:rFonts w:ascii="Arial" w:cs="Arial" w:eastAsia="Arial" w:hAnsi="Arial"/>
                <w:sz w:val="13"/>
                <w:szCs w:val="13"/>
                <w:b w:val="1"/>
                <w:bCs w:val="1"/>
                <w:color w:val="auto"/>
                <w:w w:val="87"/>
              </w:rPr>
              <w:t>( State or other jurisdiction of</w:t>
            </w:r>
          </w:p>
        </w:tc>
        <w:tc>
          <w:tcPr>
            <w:tcW w:w="3980" w:type="dxa"/>
            <w:vAlign w:val="bottom"/>
          </w:tcPr>
          <w:p>
            <w:pPr>
              <w:jc w:val="center"/>
              <w:ind w:right="1564"/>
              <w:spacing w:after="0"/>
              <w:rPr>
                <w:sz w:val="20"/>
                <w:szCs w:val="20"/>
                <w:color w:val="auto"/>
              </w:rPr>
            </w:pPr>
            <w:r>
              <w:rPr>
                <w:rFonts w:ascii="Arial" w:cs="Arial" w:eastAsia="Arial" w:hAnsi="Arial"/>
                <w:sz w:val="13"/>
                <w:szCs w:val="13"/>
                <w:b w:val="1"/>
                <w:bCs w:val="1"/>
                <w:color w:val="auto"/>
                <w:w w:val="90"/>
              </w:rPr>
              <w:t>(I.R.S. Employer</w:t>
            </w:r>
          </w:p>
        </w:tc>
      </w:tr>
      <w:tr>
        <w:trPr>
          <w:trHeight w:val="164"/>
        </w:trPr>
        <w:tc>
          <w:tcPr>
            <w:tcW w:w="7260" w:type="dxa"/>
            <w:vAlign w:val="bottom"/>
          </w:tcPr>
          <w:p>
            <w:pPr>
              <w:jc w:val="center"/>
              <w:ind w:right="1530"/>
              <w:spacing w:after="0"/>
              <w:rPr>
                <w:sz w:val="20"/>
                <w:szCs w:val="20"/>
                <w:color w:val="auto"/>
              </w:rPr>
            </w:pPr>
            <w:r>
              <w:rPr>
                <w:rFonts w:ascii="Arial" w:cs="Arial" w:eastAsia="Arial" w:hAnsi="Arial"/>
                <w:sz w:val="13"/>
                <w:szCs w:val="13"/>
                <w:b w:val="1"/>
                <w:bCs w:val="1"/>
                <w:color w:val="auto"/>
                <w:w w:val="88"/>
              </w:rPr>
              <w:t>incorporation or organization)</w:t>
            </w:r>
          </w:p>
        </w:tc>
        <w:tc>
          <w:tcPr>
            <w:tcW w:w="3980" w:type="dxa"/>
            <w:vAlign w:val="bottom"/>
          </w:tcPr>
          <w:p>
            <w:pPr>
              <w:jc w:val="center"/>
              <w:ind w:right="1564"/>
              <w:spacing w:after="0"/>
              <w:rPr>
                <w:sz w:val="20"/>
                <w:szCs w:val="20"/>
                <w:color w:val="auto"/>
              </w:rPr>
            </w:pPr>
            <w:r>
              <w:rPr>
                <w:rFonts w:ascii="Arial" w:cs="Arial" w:eastAsia="Arial" w:hAnsi="Arial"/>
                <w:sz w:val="13"/>
                <w:szCs w:val="13"/>
                <w:b w:val="1"/>
                <w:bCs w:val="1"/>
                <w:color w:val="auto"/>
                <w:w w:val="89"/>
              </w:rPr>
              <w:t>Identification No.)</w:t>
            </w:r>
          </w:p>
        </w:tc>
      </w:tr>
      <w:tr>
        <w:trPr>
          <w:trHeight w:val="241"/>
        </w:trPr>
        <w:tc>
          <w:tcPr>
            <w:tcW w:w="7260" w:type="dxa"/>
            <w:vAlign w:val="bottom"/>
          </w:tcPr>
          <w:p>
            <w:pPr>
              <w:jc w:val="center"/>
              <w:ind w:right="1550"/>
              <w:spacing w:after="0"/>
              <w:rPr>
                <w:sz w:val="20"/>
                <w:szCs w:val="20"/>
                <w:color w:val="auto"/>
              </w:rPr>
            </w:pPr>
            <w:r>
              <w:rPr>
                <w:rFonts w:ascii="Arial" w:cs="Arial" w:eastAsia="Arial" w:hAnsi="Arial"/>
                <w:sz w:val="18"/>
                <w:szCs w:val="18"/>
                <w:b w:val="1"/>
                <w:bCs w:val="1"/>
                <w:color w:val="auto"/>
                <w:w w:val="90"/>
              </w:rPr>
              <w:t>767 Fifth Avenue</w:t>
            </w:r>
          </w:p>
        </w:tc>
        <w:tc>
          <w:tcPr>
            <w:tcW w:w="3980" w:type="dxa"/>
            <w:vAlign w:val="bottom"/>
          </w:tcPr>
          <w:p>
            <w:pPr>
              <w:spacing w:after="0"/>
              <w:rPr>
                <w:sz w:val="20"/>
                <w:szCs w:val="20"/>
                <w:color w:val="auto"/>
              </w:rPr>
            </w:pPr>
          </w:p>
        </w:tc>
      </w:tr>
      <w:tr>
        <w:trPr>
          <w:trHeight w:val="234"/>
        </w:trPr>
        <w:tc>
          <w:tcPr>
            <w:tcW w:w="7260" w:type="dxa"/>
            <w:vAlign w:val="bottom"/>
          </w:tcPr>
          <w:p>
            <w:pPr>
              <w:jc w:val="center"/>
              <w:ind w:right="1530"/>
              <w:spacing w:after="0"/>
              <w:rPr>
                <w:sz w:val="20"/>
                <w:szCs w:val="20"/>
                <w:color w:val="auto"/>
              </w:rPr>
            </w:pPr>
            <w:r>
              <w:rPr>
                <w:rFonts w:ascii="Arial" w:cs="Arial" w:eastAsia="Arial" w:hAnsi="Arial"/>
                <w:sz w:val="18"/>
                <w:szCs w:val="18"/>
                <w:b w:val="1"/>
                <w:bCs w:val="1"/>
                <w:color w:val="auto"/>
                <w:w w:val="95"/>
              </w:rPr>
              <w:t>New York, NY</w:t>
            </w:r>
          </w:p>
        </w:tc>
        <w:tc>
          <w:tcPr>
            <w:tcW w:w="3980" w:type="dxa"/>
            <w:vAlign w:val="bottom"/>
          </w:tcPr>
          <w:p>
            <w:pPr>
              <w:jc w:val="right"/>
              <w:ind w:right="2504"/>
              <w:spacing w:after="0"/>
              <w:rPr>
                <w:sz w:val="20"/>
                <w:szCs w:val="20"/>
                <w:color w:val="auto"/>
              </w:rPr>
            </w:pPr>
            <w:r>
              <w:rPr>
                <w:rFonts w:ascii="Arial" w:cs="Arial" w:eastAsia="Arial" w:hAnsi="Arial"/>
                <w:sz w:val="18"/>
                <w:szCs w:val="18"/>
                <w:b w:val="1"/>
                <w:bCs w:val="1"/>
                <w:color w:val="auto"/>
              </w:rPr>
              <w:t>10153</w:t>
            </w:r>
          </w:p>
        </w:tc>
      </w:tr>
      <w:tr>
        <w:trPr>
          <w:trHeight w:val="173"/>
        </w:trPr>
        <w:tc>
          <w:tcPr>
            <w:tcW w:w="7260" w:type="dxa"/>
            <w:vAlign w:val="bottom"/>
          </w:tcPr>
          <w:p>
            <w:pPr>
              <w:jc w:val="center"/>
              <w:ind w:right="1530"/>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3980" w:type="dxa"/>
            <w:vAlign w:val="bottom"/>
          </w:tcPr>
          <w:p>
            <w:pPr>
              <w:jc w:val="center"/>
              <w:ind w:right="1564"/>
              <w:spacing w:after="0"/>
              <w:rPr>
                <w:sz w:val="20"/>
                <w:szCs w:val="20"/>
                <w:color w:val="auto"/>
              </w:rPr>
            </w:pPr>
            <w:r>
              <w:rPr>
                <w:rFonts w:ascii="Arial" w:cs="Arial" w:eastAsia="Arial" w:hAnsi="Arial"/>
                <w:sz w:val="13"/>
                <w:szCs w:val="13"/>
                <w:b w:val="1"/>
                <w:bCs w:val="1"/>
                <w:color w:val="auto"/>
                <w:w w:val="90"/>
              </w:rPr>
              <w:t>(Zip Code)</w:t>
            </w:r>
          </w:p>
        </w:tc>
      </w:tr>
    </w:tbl>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(212) 287-3200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4"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40" w:type="dxa"/>
            <w:vAlign w:val="bottom"/>
            <w:tcBorders>
              <w:bottom w:val="single" w:sz="8" w:color="auto"/>
            </w:tcBorders>
          </w:tcPr>
          <w:p>
            <w:pPr>
              <w:ind w:left="1940"/>
              <w:spacing w:after="0"/>
              <w:rPr>
                <w:sz w:val="20"/>
                <w:szCs w:val="20"/>
                <w:color w:val="auto"/>
              </w:rPr>
            </w:pPr>
            <w:r>
              <w:rPr>
                <w:rFonts w:ascii="Arial" w:cs="Arial" w:eastAsia="Arial" w:hAnsi="Arial"/>
                <w:sz w:val="14"/>
                <w:szCs w:val="14"/>
                <w:b w:val="1"/>
                <w:bCs w:val="1"/>
                <w:color w:val="auto"/>
              </w:rPr>
              <w:t>Title of each class</w:t>
            </w:r>
          </w:p>
        </w:tc>
        <w:tc>
          <w:tcPr>
            <w:tcW w:w="140" w:type="dxa"/>
            <w:vAlign w:val="bottom"/>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120" w:type="dxa"/>
            <w:vAlign w:val="bottom"/>
          </w:tcPr>
          <w:p>
            <w:pPr>
              <w:spacing w:after="0"/>
              <w:rPr>
                <w:sz w:val="16"/>
                <w:szCs w:val="16"/>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06"/>
        </w:trPr>
        <w:tc>
          <w:tcPr>
            <w:tcW w:w="4940" w:type="dxa"/>
            <w:vAlign w:val="bottom"/>
          </w:tcPr>
          <w:p>
            <w:pPr>
              <w:ind w:left="20"/>
              <w:spacing w:after="0"/>
              <w:rPr>
                <w:sz w:val="20"/>
                <w:szCs w:val="20"/>
                <w:color w:val="auto"/>
              </w:rPr>
            </w:pPr>
            <w:r>
              <w:rPr>
                <w:rFonts w:ascii="Arial" w:cs="Arial" w:eastAsia="Arial" w:hAnsi="Arial"/>
                <w:sz w:val="16"/>
                <w:szCs w:val="16"/>
                <w:color w:val="auto"/>
              </w:rPr>
              <w:t>Class A Common Stock, par value $0.0001 per share</w:t>
            </w:r>
          </w:p>
        </w:tc>
        <w:tc>
          <w:tcPr>
            <w:tcW w:w="14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color w:val="auto"/>
                <w:w w:val="93"/>
              </w:rPr>
              <w:t>PWP</w:t>
            </w:r>
          </w:p>
        </w:tc>
        <w:tc>
          <w:tcPr>
            <w:tcW w:w="120" w:type="dxa"/>
            <w:vAlign w:val="bottom"/>
          </w:tcPr>
          <w:p>
            <w:pPr>
              <w:spacing w:after="0"/>
              <w:rPr>
                <w:sz w:val="17"/>
                <w:szCs w:val="17"/>
                <w:color w:val="auto"/>
              </w:rPr>
            </w:pPr>
          </w:p>
        </w:tc>
        <w:tc>
          <w:tcPr>
            <w:tcW w:w="4100" w:type="dxa"/>
            <w:vAlign w:val="bottom"/>
          </w:tcPr>
          <w:p>
            <w:pPr>
              <w:jc w:val="center"/>
              <w:spacing w:after="0"/>
              <w:rPr>
                <w:sz w:val="20"/>
                <w:szCs w:val="20"/>
                <w:color w:val="auto"/>
              </w:rPr>
            </w:pPr>
            <w:r>
              <w:rPr>
                <w:rFonts w:ascii="Arial" w:cs="Arial" w:eastAsia="Arial" w:hAnsi="Arial"/>
                <w:sz w:val="16"/>
                <w:szCs w:val="16"/>
                <w:color w:val="auto"/>
                <w:w w:val="91"/>
              </w:rPr>
              <w:t>Nasdaq Global Select Market</w:t>
            </w:r>
          </w:p>
        </w:tc>
      </w:tr>
      <w:tr>
        <w:trPr>
          <w:trHeight w:val="203"/>
        </w:trPr>
        <w:tc>
          <w:tcPr>
            <w:tcW w:w="4940" w:type="dxa"/>
            <w:vAlign w:val="bottom"/>
          </w:tcPr>
          <w:p>
            <w:pPr>
              <w:ind w:left="20"/>
              <w:spacing w:after="0"/>
              <w:rPr>
                <w:sz w:val="20"/>
                <w:szCs w:val="20"/>
                <w:color w:val="auto"/>
              </w:rPr>
            </w:pPr>
            <w:r>
              <w:rPr>
                <w:rFonts w:ascii="Arial" w:cs="Arial" w:eastAsia="Arial" w:hAnsi="Arial"/>
                <w:sz w:val="16"/>
                <w:szCs w:val="16"/>
                <w:color w:val="auto"/>
              </w:rPr>
              <w:t>Warrants, each whole warrant exercisable for one share of Class A</w:t>
            </w:r>
          </w:p>
        </w:tc>
        <w:tc>
          <w:tcPr>
            <w:tcW w:w="14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color w:val="auto"/>
                <w:w w:val="93"/>
              </w:rPr>
              <w:t>PWPPW</w:t>
            </w:r>
          </w:p>
        </w:tc>
        <w:tc>
          <w:tcPr>
            <w:tcW w:w="120" w:type="dxa"/>
            <w:vAlign w:val="bottom"/>
          </w:tcPr>
          <w:p>
            <w:pPr>
              <w:spacing w:after="0"/>
              <w:rPr>
                <w:sz w:val="17"/>
                <w:szCs w:val="17"/>
                <w:color w:val="auto"/>
              </w:rPr>
            </w:pPr>
          </w:p>
        </w:tc>
        <w:tc>
          <w:tcPr>
            <w:tcW w:w="4100" w:type="dxa"/>
            <w:vAlign w:val="bottom"/>
          </w:tcPr>
          <w:p>
            <w:pPr>
              <w:jc w:val="center"/>
              <w:spacing w:after="0"/>
              <w:rPr>
                <w:sz w:val="20"/>
                <w:szCs w:val="20"/>
                <w:color w:val="auto"/>
              </w:rPr>
            </w:pPr>
            <w:r>
              <w:rPr>
                <w:rFonts w:ascii="Arial" w:cs="Arial" w:eastAsia="Arial" w:hAnsi="Arial"/>
                <w:sz w:val="16"/>
                <w:szCs w:val="16"/>
                <w:color w:val="auto"/>
                <w:w w:val="91"/>
              </w:rPr>
              <w:t>Nasdaq Global Select Market</w:t>
            </w:r>
          </w:p>
        </w:tc>
      </w:tr>
      <w:tr>
        <w:trPr>
          <w:trHeight w:val="206"/>
        </w:trPr>
        <w:tc>
          <w:tcPr>
            <w:tcW w:w="4940" w:type="dxa"/>
            <w:vAlign w:val="bottom"/>
          </w:tcPr>
          <w:p>
            <w:pPr>
              <w:ind w:left="20"/>
              <w:spacing w:after="0"/>
              <w:rPr>
                <w:sz w:val="20"/>
                <w:szCs w:val="20"/>
                <w:color w:val="auto"/>
              </w:rPr>
            </w:pPr>
            <w:r>
              <w:rPr>
                <w:rFonts w:ascii="Arial" w:cs="Arial" w:eastAsia="Arial" w:hAnsi="Arial"/>
                <w:sz w:val="16"/>
                <w:szCs w:val="16"/>
                <w:color w:val="auto"/>
              </w:rPr>
              <w:t>common stock</w:t>
            </w:r>
          </w:p>
        </w:tc>
        <w:tc>
          <w:tcPr>
            <w:tcW w:w="1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00" w:type="dxa"/>
            <w:vAlign w:val="bottom"/>
          </w:tcPr>
          <w:p>
            <w:pPr>
              <w:spacing w:after="0"/>
              <w:rPr>
                <w:sz w:val="17"/>
                <w:szCs w:val="17"/>
                <w:color w:val="auto"/>
              </w:rPr>
            </w:pPr>
          </w:p>
        </w:tc>
      </w:tr>
    </w:tbl>
    <w:p>
      <w:pPr>
        <w:spacing w:after="0" w:line="185" w:lineRule="exact"/>
        <w:rPr>
          <w:sz w:val="20"/>
          <w:szCs w:val="20"/>
          <w:color w:val="auto"/>
        </w:rPr>
      </w:pPr>
    </w:p>
    <w:p>
      <w:pPr>
        <w:jc w:val="both"/>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55" w:lineRule="exact"/>
        <w:rPr>
          <w:sz w:val="20"/>
          <w:szCs w:val="20"/>
          <w:color w:val="auto"/>
        </w:rPr>
      </w:pPr>
    </w:p>
    <w:p>
      <w:pPr>
        <w:ind w:right="400"/>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55" w:lineRule="exact"/>
        <w:rPr>
          <w:sz w:val="20"/>
          <w:szCs w:val="20"/>
          <w:color w:val="auto"/>
        </w:rPr>
      </w:pPr>
    </w:p>
    <w:p>
      <w:pPr>
        <w:ind w:right="12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68" w:lineRule="exact"/>
        <w:rPr>
          <w:sz w:val="20"/>
          <w:szCs w:val="20"/>
          <w:color w:val="auto"/>
        </w:rPr>
      </w:pPr>
    </w:p>
    <w:tbl>
      <w:tblPr>
        <w:tblLayout w:type="fixed"/>
        <w:tblInd w:w="20" w:type="dxa"/>
        <w:tblCellMar>
          <w:top w:w="0" w:type="dxa"/>
          <w:left w:w="0" w:type="dxa"/>
          <w:bottom w:w="0" w:type="dxa"/>
          <w:right w:w="0" w:type="dxa"/>
        </w:tblCellMar>
      </w:tblPr>
      <w:tr>
        <w:trPr>
          <w:trHeight w:val="254"/>
        </w:trPr>
        <w:tc>
          <w:tcPr>
            <w:tcW w:w="25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500" w:type="dxa"/>
            <w:vAlign w:val="bottom"/>
          </w:tcPr>
          <w:p>
            <w:pPr>
              <w:ind w:left="1060"/>
              <w:spacing w:after="0" w:line="161" w:lineRule="exact"/>
              <w:rPr>
                <w:sz w:val="20"/>
                <w:szCs w:val="20"/>
                <w:color w:val="auto"/>
              </w:rPr>
            </w:pPr>
            <w:r>
              <w:rPr>
                <w:rFonts w:ascii="MS PGothic" w:cs="MS PGothic" w:eastAsia="MS PGothic" w:hAnsi="MS PGothic"/>
                <w:sz w:val="16"/>
                <w:szCs w:val="16"/>
                <w:color w:val="auto"/>
              </w:rPr>
              <w:t>☐</w:t>
            </w:r>
          </w:p>
        </w:tc>
        <w:tc>
          <w:tcPr>
            <w:tcW w:w="4340" w:type="dxa"/>
            <w:vAlign w:val="bottom"/>
          </w:tcPr>
          <w:p>
            <w:pPr>
              <w:ind w:left="1300"/>
              <w:spacing w:after="0"/>
              <w:rPr>
                <w:sz w:val="20"/>
                <w:szCs w:val="20"/>
                <w:color w:val="auto"/>
              </w:rPr>
            </w:pPr>
            <w:r>
              <w:rPr>
                <w:rFonts w:ascii="Arial" w:cs="Arial" w:eastAsia="Arial" w:hAnsi="Arial"/>
                <w:sz w:val="16"/>
                <w:szCs w:val="16"/>
                <w:color w:val="auto"/>
              </w:rPr>
              <w:t>Accelerated filer</w:t>
            </w:r>
          </w:p>
        </w:tc>
        <w:tc>
          <w:tcPr>
            <w:tcW w:w="1420" w:type="dxa"/>
            <w:vAlign w:val="bottom"/>
          </w:tcPr>
          <w:p>
            <w:pPr>
              <w:ind w:left="12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19"/>
        </w:trPr>
        <w:tc>
          <w:tcPr>
            <w:tcW w:w="2540" w:type="dxa"/>
            <w:vAlign w:val="bottom"/>
          </w:tcPr>
          <w:p>
            <w:pPr>
              <w:spacing w:after="0"/>
              <w:rPr>
                <w:sz w:val="20"/>
                <w:szCs w:val="20"/>
                <w:color w:val="auto"/>
              </w:rPr>
            </w:pPr>
            <w:r>
              <w:rPr>
                <w:rFonts w:ascii="Arial" w:cs="Arial" w:eastAsia="Arial" w:hAnsi="Arial"/>
                <w:sz w:val="16"/>
                <w:szCs w:val="16"/>
                <w:color w:val="auto"/>
              </w:rPr>
              <w:t>Non-accelerated filer</w:t>
            </w:r>
          </w:p>
        </w:tc>
        <w:tc>
          <w:tcPr>
            <w:tcW w:w="2500" w:type="dxa"/>
            <w:vAlign w:val="bottom"/>
          </w:tcPr>
          <w:p>
            <w:pPr>
              <w:ind w:left="1060"/>
              <w:spacing w:after="0" w:line="161" w:lineRule="exact"/>
              <w:rPr>
                <w:sz w:val="20"/>
                <w:szCs w:val="20"/>
                <w:color w:val="auto"/>
              </w:rPr>
            </w:pPr>
            <w:r>
              <w:rPr>
                <w:rFonts w:ascii="MS PGothic" w:cs="MS PGothic" w:eastAsia="MS PGothic" w:hAnsi="MS PGothic"/>
                <w:sz w:val="16"/>
                <w:szCs w:val="16"/>
                <w:color w:val="auto"/>
              </w:rPr>
              <w:t>☒</w:t>
            </w:r>
          </w:p>
        </w:tc>
        <w:tc>
          <w:tcPr>
            <w:tcW w:w="4340" w:type="dxa"/>
            <w:vAlign w:val="bottom"/>
          </w:tcPr>
          <w:p>
            <w:pPr>
              <w:ind w:left="1300"/>
              <w:spacing w:after="0"/>
              <w:rPr>
                <w:sz w:val="20"/>
                <w:szCs w:val="20"/>
                <w:color w:val="auto"/>
              </w:rPr>
            </w:pPr>
            <w:r>
              <w:rPr>
                <w:rFonts w:ascii="Arial" w:cs="Arial" w:eastAsia="Arial" w:hAnsi="Arial"/>
                <w:sz w:val="16"/>
                <w:szCs w:val="16"/>
                <w:color w:val="auto"/>
              </w:rPr>
              <w:t>Smaller reporting company</w:t>
            </w:r>
          </w:p>
        </w:tc>
        <w:tc>
          <w:tcPr>
            <w:tcW w:w="1420" w:type="dxa"/>
            <w:vAlign w:val="bottom"/>
          </w:tcPr>
          <w:p>
            <w:pPr>
              <w:ind w:left="12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19"/>
        </w:trPr>
        <w:tc>
          <w:tcPr>
            <w:tcW w:w="25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340" w:type="dxa"/>
            <w:vAlign w:val="bottom"/>
          </w:tcPr>
          <w:p>
            <w:pPr>
              <w:ind w:left="1300"/>
              <w:spacing w:after="0"/>
              <w:rPr>
                <w:sz w:val="20"/>
                <w:szCs w:val="20"/>
                <w:color w:val="auto"/>
              </w:rPr>
            </w:pPr>
            <w:r>
              <w:rPr>
                <w:rFonts w:ascii="Arial" w:cs="Arial" w:eastAsia="Arial" w:hAnsi="Arial"/>
                <w:sz w:val="16"/>
                <w:szCs w:val="16"/>
                <w:color w:val="auto"/>
              </w:rPr>
              <w:t>Emerging growth company</w:t>
            </w:r>
          </w:p>
        </w:tc>
        <w:tc>
          <w:tcPr>
            <w:tcW w:w="1420" w:type="dxa"/>
            <w:vAlign w:val="bottom"/>
          </w:tcPr>
          <w:p>
            <w:pPr>
              <w:ind w:left="12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00" w:lineRule="exact"/>
        <w:rPr>
          <w:sz w:val="20"/>
          <w:szCs w:val="20"/>
          <w:color w:val="auto"/>
        </w:rPr>
      </w:pPr>
    </w:p>
    <w:p>
      <w:pPr>
        <w:spacing w:after="0" w:line="224" w:lineRule="exact"/>
        <w:rPr>
          <w:sz w:val="20"/>
          <w:szCs w:val="20"/>
          <w:color w:val="auto"/>
        </w:rPr>
      </w:pPr>
    </w:p>
    <w:p>
      <w:pPr>
        <w:ind w:right="58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24" w:lineRule="exact"/>
        <w:rPr>
          <w:sz w:val="20"/>
          <w:szCs w:val="20"/>
          <w:color w:val="auto"/>
        </w:rPr>
      </w:pPr>
    </w:p>
    <w:p>
      <w:pPr>
        <w:spacing w:after="0" w:line="184" w:lineRule="exact"/>
        <w:tabs>
          <w:tab w:leader="none" w:pos="7520" w:val="left"/>
          <w:tab w:leader="none" w:pos="814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224"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As of November 2, 2021, the registrant had 42,492,628 shares of Class A common stock, par value $0.0001 per share, and 50,154,199 shares of Class B common stock, par value $0.0001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13232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745490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2" w:name="page3"/>
    <w:bookmarkEnd w:id="2"/>
    <w:p>
      <w:pPr>
        <w:ind w:left="4580"/>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Table of Contents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9"/>
        </w:trPr>
        <w:tc>
          <w:tcPr>
            <w:tcW w:w="1160" w:type="dxa"/>
            <w:vAlign w:val="bottom"/>
            <w:gridSpan w:val="3"/>
          </w:tcPr>
          <w:p>
            <w:pPr>
              <w:ind w:left="20"/>
              <w:spacing w:after="0" w:line="189" w:lineRule="exact"/>
              <w:rPr>
                <w:sz w:val="20"/>
                <w:szCs w:val="20"/>
                <w:color w:val="auto"/>
              </w:rPr>
            </w:pPr>
            <w:r>
              <w:rPr>
                <w:rFonts w:ascii="Arial" w:cs="Arial" w:eastAsia="Arial" w:hAnsi="Arial"/>
                <w:sz w:val="18"/>
                <w:szCs w:val="18"/>
                <w:b w:val="1"/>
                <w:bCs w:val="1"/>
                <w:color w:val="auto"/>
              </w:rPr>
              <w:t>PART I.</w:t>
            </w:r>
          </w:p>
        </w:tc>
        <w:tc>
          <w:tcPr>
            <w:tcW w:w="9300" w:type="dxa"/>
            <w:vAlign w:val="bottom"/>
            <w:gridSpan w:val="19"/>
          </w:tcPr>
          <w:p>
            <w:pPr>
              <w:spacing w:after="0" w:line="189" w:lineRule="exact"/>
              <w:rPr>
                <w:rFonts w:ascii="Arial" w:cs="Arial" w:eastAsia="Arial" w:hAnsi="Arial"/>
                <w:sz w:val="18"/>
                <w:szCs w:val="18"/>
                <w:color w:val="0000FF"/>
              </w:rPr>
            </w:pPr>
            <w:hyperlink w:anchor="page6">
              <w:r>
                <w:rPr>
                  <w:rFonts w:ascii="Arial" w:cs="Arial" w:eastAsia="Arial" w:hAnsi="Arial"/>
                  <w:sz w:val="18"/>
                  <w:szCs w:val="18"/>
                  <w:color w:val="0000FF"/>
                </w:rPr>
                <w:t>FINANCIAL INFORMATION</w:t>
              </w:r>
            </w:hyperlink>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1.</w:t>
            </w:r>
          </w:p>
        </w:tc>
        <w:tc>
          <w:tcPr>
            <w:tcW w:w="2420" w:type="dxa"/>
            <w:vAlign w:val="bottom"/>
            <w:tcBorders>
              <w:bottom w:val="single" w:sz="8" w:color="0000FF"/>
            </w:tcBorders>
            <w:gridSpan w:val="10"/>
          </w:tcPr>
          <w:p>
            <w:pPr>
              <w:spacing w:after="0"/>
              <w:rPr>
                <w:rFonts w:ascii="Arial" w:cs="Arial" w:eastAsia="Arial" w:hAnsi="Arial"/>
                <w:sz w:val="18"/>
                <w:szCs w:val="18"/>
                <w:color w:val="0000FF"/>
                <w:w w:val="89"/>
              </w:rPr>
            </w:pPr>
            <w:hyperlink w:anchor="page6">
              <w:r>
                <w:rPr>
                  <w:rFonts w:ascii="Arial" w:cs="Arial" w:eastAsia="Arial" w:hAnsi="Arial"/>
                  <w:sz w:val="18"/>
                  <w:szCs w:val="18"/>
                  <w:color w:val="0000FF"/>
                  <w:w w:val="89"/>
                </w:rPr>
                <w:t>Financial Statements (Unaudited)</w:t>
              </w:r>
            </w:hyperlink>
          </w:p>
        </w:tc>
        <w:tc>
          <w:tcPr>
            <w:tcW w:w="6880" w:type="dxa"/>
            <w:vAlign w:val="bottom"/>
            <w:gridSpan w:val="9"/>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300" w:type="dxa"/>
            <w:vAlign w:val="bottom"/>
            <w:gridSpan w:val="19"/>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Financial Condition as of September 30, 2021 and December 31, 2020</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40" w:type="dxa"/>
            <w:vAlign w:val="bottom"/>
            <w:tcBorders>
              <w:bottom w:val="single" w:sz="8" w:color="0000FF"/>
            </w:tcBorders>
            <w:gridSpan w:val="16"/>
          </w:tcPr>
          <w:p>
            <w:pPr>
              <w:spacing w:after="0"/>
              <w:rPr>
                <w:rFonts w:ascii="Arial" w:cs="Arial" w:eastAsia="Arial" w:hAnsi="Arial"/>
                <w:sz w:val="18"/>
                <w:szCs w:val="18"/>
                <w:color w:val="0000FF"/>
                <w:w w:val="89"/>
              </w:rPr>
            </w:pPr>
            <w:hyperlink w:anchor="page7">
              <w:r>
                <w:rPr>
                  <w:rFonts w:ascii="Arial" w:cs="Arial" w:eastAsia="Arial" w:hAnsi="Arial"/>
                  <w:sz w:val="18"/>
                  <w:szCs w:val="18"/>
                  <w:color w:val="0000FF"/>
                  <w:w w:val="89"/>
                </w:rPr>
                <w:t>Condensed Consolidated Statements of Operations for the Three and Nine Months Ended September 30, 2021 and 2020</w:t>
              </w:r>
            </w:hyperlink>
          </w:p>
        </w:tc>
        <w:tc>
          <w:tcPr>
            <w:tcW w:w="660" w:type="dxa"/>
            <w:vAlign w:val="bottom"/>
            <w:gridSpan w:val="3"/>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0" w:type="dxa"/>
            <w:vAlign w:val="bottom"/>
            <w:tcBorders>
              <w:bottom w:val="single" w:sz="8" w:color="0000FF"/>
            </w:tcBorders>
            <w:gridSpan w:val="17"/>
          </w:tcPr>
          <w:p>
            <w:pPr>
              <w:spacing w:after="0"/>
              <w:rPr>
                <w:rFonts w:ascii="Arial" w:cs="Arial" w:eastAsia="Arial" w:hAnsi="Arial"/>
                <w:sz w:val="18"/>
                <w:szCs w:val="18"/>
                <w:color w:val="0000FF"/>
                <w:w w:val="90"/>
              </w:rPr>
            </w:pPr>
            <w:hyperlink w:anchor="page8">
              <w:r>
                <w:rPr>
                  <w:rFonts w:ascii="Arial" w:cs="Arial" w:eastAsia="Arial" w:hAnsi="Arial"/>
                  <w:sz w:val="18"/>
                  <w:szCs w:val="18"/>
                  <w:color w:val="0000FF"/>
                  <w:w w:val="90"/>
                </w:rPr>
                <w:t>Condensed Consolidated Statements of Comprehensive Income (Loss) for the Three and Nine Months Ended September 30,</w:t>
              </w:r>
            </w:hyperlink>
          </w:p>
        </w:tc>
        <w:tc>
          <w:tcPr>
            <w:tcW w:w="300" w:type="dxa"/>
            <w:vAlign w:val="bottom"/>
            <w:gridSpan w:val="2"/>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19"/>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2021 and 2020</w:t>
              </w:r>
            </w:hyperlink>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180" w:type="dxa"/>
            <w:vAlign w:val="bottom"/>
            <w:tcBorders>
              <w:bottom w:val="single" w:sz="8" w:color="0000FF"/>
            </w:tcBorders>
            <w:gridSpan w:val="18"/>
          </w:tcPr>
          <w:p>
            <w:pPr>
              <w:spacing w:after="0"/>
              <w:rPr>
                <w:rFonts w:ascii="Arial" w:cs="Arial" w:eastAsia="Arial" w:hAnsi="Arial"/>
                <w:sz w:val="18"/>
                <w:szCs w:val="18"/>
                <w:color w:val="0000FF"/>
                <w:w w:val="89"/>
              </w:rPr>
            </w:pPr>
            <w:hyperlink w:anchor="page9">
              <w:r>
                <w:rPr>
                  <w:rFonts w:ascii="Arial" w:cs="Arial" w:eastAsia="Arial" w:hAnsi="Arial"/>
                  <w:sz w:val="18"/>
                  <w:szCs w:val="18"/>
                  <w:color w:val="0000FF"/>
                  <w:w w:val="89"/>
                </w:rPr>
                <w:t>Condensed Consolidated Statements of Changes in Equity for the Three and Nine Months Ended September 30, 2021 and 2020</w:t>
              </w:r>
            </w:hyperlink>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300" w:type="dxa"/>
            <w:vAlign w:val="bottom"/>
            <w:gridSpan w:val="19"/>
          </w:tcPr>
          <w:p>
            <w:pPr>
              <w:spacing w:after="0"/>
              <w:rPr>
                <w:rFonts w:ascii="Arial" w:cs="Arial" w:eastAsia="Arial" w:hAnsi="Arial"/>
                <w:sz w:val="18"/>
                <w:szCs w:val="18"/>
                <w:color w:val="0000FF"/>
              </w:rPr>
            </w:pPr>
            <w:hyperlink w:anchor="page11">
              <w:r>
                <w:rPr>
                  <w:rFonts w:ascii="Arial" w:cs="Arial" w:eastAsia="Arial" w:hAnsi="Arial"/>
                  <w:sz w:val="18"/>
                  <w:szCs w:val="18"/>
                  <w:color w:val="0000FF"/>
                </w:rPr>
                <w:t>Condensed Consolidated Statements of Cash Flows for the Nine Months Ended September 30, 2021 and 2020</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940" w:type="dxa"/>
            <w:vAlign w:val="bottom"/>
            <w:tcBorders>
              <w:top w:val="single" w:sz="8" w:color="0000FF"/>
            </w:tcBorders>
            <w:gridSpan w:val="15"/>
          </w:tcPr>
          <w:p>
            <w:pPr>
              <w:spacing w:after="0"/>
              <w:rPr>
                <w:rFonts w:ascii="Arial" w:cs="Arial" w:eastAsia="Arial" w:hAnsi="Arial"/>
                <w:sz w:val="18"/>
                <w:szCs w:val="18"/>
                <w:color w:val="0000FF"/>
              </w:rPr>
            </w:pPr>
            <w:hyperlink w:anchor="page12">
              <w:r>
                <w:rPr>
                  <w:rFonts w:ascii="Arial" w:cs="Arial" w:eastAsia="Arial" w:hAnsi="Arial"/>
                  <w:sz w:val="18"/>
                  <w:szCs w:val="18"/>
                  <w:color w:val="0000FF"/>
                </w:rPr>
                <w:t>Notes to Condensed Consolidated Financial Statements (Unaudited)</w:t>
              </w:r>
            </w:hyperlink>
          </w:p>
        </w:tc>
        <w:tc>
          <w:tcPr>
            <w:tcW w:w="1360" w:type="dxa"/>
            <w:vAlign w:val="bottom"/>
            <w:gridSpan w:val="4"/>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4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FF"/>
            </w:tcBorders>
            <w:gridSpan w:val="14"/>
          </w:tcPr>
          <w:p>
            <w:pPr>
              <w:spacing w:after="0"/>
              <w:rPr>
                <w:rFonts w:ascii="Arial" w:cs="Arial" w:eastAsia="Arial" w:hAnsi="Arial"/>
                <w:sz w:val="18"/>
                <w:szCs w:val="18"/>
                <w:color w:val="0000FF"/>
                <w:w w:val="90"/>
              </w:rPr>
            </w:pPr>
            <w:hyperlink w:anchor="page46">
              <w:r>
                <w:rPr>
                  <w:rFonts w:ascii="Arial" w:cs="Arial" w:eastAsia="Arial" w:hAnsi="Arial"/>
                  <w:sz w:val="18"/>
                  <w:szCs w:val="18"/>
                  <w:color w:val="0000FF"/>
                  <w:w w:val="90"/>
                </w:rPr>
                <w:t>Management’s Discussion and Analysis of Financial Condition and Results of Operations</w:t>
              </w:r>
            </w:hyperlink>
          </w:p>
        </w:tc>
        <w:tc>
          <w:tcPr>
            <w:tcW w:w="2840" w:type="dxa"/>
            <w:vAlign w:val="bottom"/>
            <w:gridSpan w:val="5"/>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FF"/>
            </w:tcBorders>
            <w:gridSpan w:val="12"/>
          </w:tcPr>
          <w:p>
            <w:pPr>
              <w:spacing w:after="0"/>
              <w:rPr>
                <w:rFonts w:ascii="Arial" w:cs="Arial" w:eastAsia="Arial" w:hAnsi="Arial"/>
                <w:sz w:val="18"/>
                <w:szCs w:val="18"/>
                <w:color w:val="0000FF"/>
                <w:w w:val="92"/>
              </w:rPr>
            </w:pPr>
            <w:hyperlink w:anchor="page58">
              <w:r>
                <w:rPr>
                  <w:rFonts w:ascii="Arial" w:cs="Arial" w:eastAsia="Arial" w:hAnsi="Arial"/>
                  <w:sz w:val="18"/>
                  <w:szCs w:val="18"/>
                  <w:color w:val="0000FF"/>
                  <w:w w:val="92"/>
                </w:rPr>
                <w:t>Quantitative and Qualitative Disclosures About Market Risk</w:t>
              </w:r>
            </w:hyperlink>
          </w:p>
        </w:tc>
        <w:tc>
          <w:tcPr>
            <w:tcW w:w="4940" w:type="dxa"/>
            <w:vAlign w:val="bottom"/>
            <w:gridSpan w:val="7"/>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4.</w:t>
            </w:r>
          </w:p>
        </w:tc>
        <w:tc>
          <w:tcPr>
            <w:tcW w:w="9300" w:type="dxa"/>
            <w:vAlign w:val="bottom"/>
            <w:gridSpan w:val="19"/>
          </w:tcPr>
          <w:p>
            <w:pPr>
              <w:spacing w:after="0"/>
              <w:rPr>
                <w:rFonts w:ascii="Arial" w:cs="Arial" w:eastAsia="Arial" w:hAnsi="Arial"/>
                <w:sz w:val="18"/>
                <w:szCs w:val="18"/>
                <w:color w:val="0000FF"/>
              </w:rPr>
            </w:pPr>
            <w:hyperlink w:anchor="page58">
              <w:r>
                <w:rPr>
                  <w:rFonts w:ascii="Arial" w:cs="Arial" w:eastAsia="Arial" w:hAnsi="Arial"/>
                  <w:sz w:val="18"/>
                  <w:szCs w:val="18"/>
                  <w:color w:val="0000FF"/>
                </w:rPr>
                <w:t>Controls and Procedures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116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PART II.</w:t>
            </w: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960" w:type="dxa"/>
            <w:vAlign w:val="bottom"/>
            <w:gridSpan w:val="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3"/>
            <w:vMerge w:val="continue"/>
          </w:tcPr>
          <w:p>
            <w:pPr>
              <w:spacing w:after="0"/>
              <w:rPr>
                <w:sz w:val="19"/>
                <w:szCs w:val="19"/>
                <w:color w:val="auto"/>
              </w:rPr>
            </w:pPr>
          </w:p>
        </w:tc>
        <w:tc>
          <w:tcPr>
            <w:tcW w:w="1880" w:type="dxa"/>
            <w:vAlign w:val="bottom"/>
            <w:tcBorders>
              <w:bottom w:val="single" w:sz="8" w:color="0000FF"/>
            </w:tcBorders>
            <w:gridSpan w:val="7"/>
          </w:tcPr>
          <w:p>
            <w:pPr>
              <w:spacing w:after="0"/>
              <w:rPr>
                <w:rFonts w:ascii="Arial" w:cs="Arial" w:eastAsia="Arial" w:hAnsi="Arial"/>
                <w:sz w:val="18"/>
                <w:szCs w:val="18"/>
                <w:color w:val="0000FF"/>
                <w:w w:val="95"/>
              </w:rPr>
            </w:pPr>
            <w:hyperlink w:anchor="page58">
              <w:r>
                <w:rPr>
                  <w:rFonts w:ascii="Arial" w:cs="Arial" w:eastAsia="Arial" w:hAnsi="Arial"/>
                  <w:sz w:val="18"/>
                  <w:szCs w:val="18"/>
                  <w:color w:val="0000FF"/>
                  <w:w w:val="95"/>
                </w:rPr>
                <w:t>OTHER INFORMATION</w:t>
              </w:r>
            </w:hyperlink>
          </w:p>
        </w:tc>
        <w:tc>
          <w:tcPr>
            <w:tcW w:w="7420" w:type="dxa"/>
            <w:vAlign w:val="bottom"/>
            <w:gridSpan w:val="12"/>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1.</w:t>
            </w:r>
          </w:p>
        </w:tc>
        <w:tc>
          <w:tcPr>
            <w:tcW w:w="9300" w:type="dxa"/>
            <w:vAlign w:val="bottom"/>
            <w:gridSpan w:val="19"/>
          </w:tcPr>
          <w:p>
            <w:pPr>
              <w:spacing w:after="0"/>
              <w:rPr>
                <w:rFonts w:ascii="Arial" w:cs="Arial" w:eastAsia="Arial" w:hAnsi="Arial"/>
                <w:sz w:val="18"/>
                <w:szCs w:val="18"/>
                <w:color w:val="0000FF"/>
              </w:rPr>
            </w:pPr>
            <w:hyperlink w:anchor="page58">
              <w:r>
                <w:rPr>
                  <w:rFonts w:ascii="Arial" w:cs="Arial" w:eastAsia="Arial" w:hAnsi="Arial"/>
                  <w:sz w:val="18"/>
                  <w:szCs w:val="18"/>
                  <w:color w:val="0000FF"/>
                </w:rPr>
                <w:t>Legal Proceedings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1A.</w:t>
            </w:r>
          </w:p>
        </w:tc>
        <w:tc>
          <w:tcPr>
            <w:tcW w:w="1320" w:type="dxa"/>
            <w:vAlign w:val="bottom"/>
            <w:tcBorders>
              <w:top w:val="single" w:sz="8" w:color="0000FF"/>
            </w:tcBorders>
            <w:gridSpan w:val="5"/>
          </w:tcPr>
          <w:p>
            <w:pPr>
              <w:spacing w:after="0"/>
              <w:rPr>
                <w:rFonts w:ascii="Arial" w:cs="Arial" w:eastAsia="Arial" w:hAnsi="Arial"/>
                <w:sz w:val="18"/>
                <w:szCs w:val="18"/>
                <w:color w:val="0000FF"/>
              </w:rPr>
            </w:pPr>
            <w:hyperlink w:anchor="page59">
              <w:r>
                <w:rPr>
                  <w:rFonts w:ascii="Arial" w:cs="Arial" w:eastAsia="Arial" w:hAnsi="Arial"/>
                  <w:sz w:val="18"/>
                  <w:szCs w:val="18"/>
                  <w:color w:val="0000FF"/>
                </w:rPr>
                <w:t>Risk Factors</w:t>
              </w:r>
            </w:hyperlink>
          </w:p>
        </w:tc>
        <w:tc>
          <w:tcPr>
            <w:tcW w:w="7980" w:type="dxa"/>
            <w:vAlign w:val="bottom"/>
            <w:gridSpan w:val="14"/>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960" w:type="dxa"/>
            <w:vAlign w:val="bottom"/>
            <w:gridSpan w:val="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2.</w:t>
            </w:r>
          </w:p>
        </w:tc>
        <w:tc>
          <w:tcPr>
            <w:tcW w:w="9300" w:type="dxa"/>
            <w:vAlign w:val="bottom"/>
            <w:gridSpan w:val="19"/>
          </w:tcPr>
          <w:p>
            <w:pPr>
              <w:spacing w:after="0"/>
              <w:rPr>
                <w:rFonts w:ascii="Arial" w:cs="Arial" w:eastAsia="Arial" w:hAnsi="Arial"/>
                <w:sz w:val="18"/>
                <w:szCs w:val="18"/>
                <w:color w:val="0000FF"/>
              </w:rPr>
            </w:pPr>
            <w:hyperlink w:anchor="page59">
              <w:r>
                <w:rPr>
                  <w:rFonts w:ascii="Arial" w:cs="Arial" w:eastAsia="Arial" w:hAnsi="Arial"/>
                  <w:sz w:val="18"/>
                  <w:szCs w:val="18"/>
                  <w:color w:val="0000FF"/>
                </w:rPr>
                <w:t>Unregistered Sales of Equity Securities and Use of Proceeds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3.</w:t>
            </w:r>
          </w:p>
        </w:tc>
        <w:tc>
          <w:tcPr>
            <w:tcW w:w="2320" w:type="dxa"/>
            <w:vAlign w:val="bottom"/>
            <w:tcBorders>
              <w:top w:val="single" w:sz="8" w:color="0000FF"/>
              <w:bottom w:val="single" w:sz="8" w:color="0000FF"/>
            </w:tcBorders>
            <w:gridSpan w:val="9"/>
          </w:tcPr>
          <w:p>
            <w:pPr>
              <w:spacing w:after="0"/>
              <w:rPr>
                <w:rFonts w:ascii="Arial" w:cs="Arial" w:eastAsia="Arial" w:hAnsi="Arial"/>
                <w:sz w:val="18"/>
                <w:szCs w:val="18"/>
                <w:color w:val="0000FF"/>
                <w:w w:val="90"/>
              </w:rPr>
            </w:pPr>
            <w:hyperlink w:anchor="page60">
              <w:r>
                <w:rPr>
                  <w:rFonts w:ascii="Arial" w:cs="Arial" w:eastAsia="Arial" w:hAnsi="Arial"/>
                  <w:sz w:val="18"/>
                  <w:szCs w:val="18"/>
                  <w:color w:val="0000FF"/>
                  <w:w w:val="90"/>
                </w:rPr>
                <w:t>Defaults Upon Senior Securities</w:t>
              </w:r>
            </w:hyperlink>
          </w:p>
        </w:tc>
        <w:tc>
          <w:tcPr>
            <w:tcW w:w="2020" w:type="dxa"/>
            <w:vAlign w:val="bottom"/>
            <w:tcBorders>
              <w:top w:val="single" w:sz="8" w:color="0000FF"/>
            </w:tcBorders>
            <w:gridSpan w:val="2"/>
          </w:tcPr>
          <w:p>
            <w:pPr>
              <w:spacing w:after="0"/>
              <w:rPr>
                <w:sz w:val="19"/>
                <w:szCs w:val="19"/>
                <w:color w:val="auto"/>
              </w:rPr>
            </w:pPr>
          </w:p>
        </w:tc>
        <w:tc>
          <w:tcPr>
            <w:tcW w:w="4960" w:type="dxa"/>
            <w:vAlign w:val="bottom"/>
            <w:gridSpan w:val="8"/>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4.</w:t>
            </w:r>
          </w:p>
        </w:tc>
        <w:tc>
          <w:tcPr>
            <w:tcW w:w="9300" w:type="dxa"/>
            <w:vAlign w:val="bottom"/>
            <w:gridSpan w:val="19"/>
          </w:tcPr>
          <w:p>
            <w:pPr>
              <w:spacing w:after="0"/>
              <w:rPr>
                <w:rFonts w:ascii="Arial" w:cs="Arial" w:eastAsia="Arial" w:hAnsi="Arial"/>
                <w:sz w:val="18"/>
                <w:szCs w:val="18"/>
                <w:color w:val="0000FF"/>
              </w:rPr>
            </w:pPr>
            <w:hyperlink w:anchor="page60">
              <w:r>
                <w:rPr>
                  <w:rFonts w:ascii="Arial" w:cs="Arial" w:eastAsia="Arial" w:hAnsi="Arial"/>
                  <w:sz w:val="18"/>
                  <w:szCs w:val="18"/>
                  <w:color w:val="0000FF"/>
                </w:rPr>
                <w:t>Mine Safety Disclosures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5.</w:t>
            </w:r>
          </w:p>
        </w:tc>
        <w:tc>
          <w:tcPr>
            <w:tcW w:w="1760" w:type="dxa"/>
            <w:vAlign w:val="bottom"/>
            <w:tcBorders>
              <w:top w:val="single" w:sz="8" w:color="0000FF"/>
            </w:tcBorders>
            <w:gridSpan w:val="6"/>
          </w:tcPr>
          <w:p>
            <w:pPr>
              <w:spacing w:after="0"/>
              <w:rPr>
                <w:rFonts w:ascii="Arial" w:cs="Arial" w:eastAsia="Arial" w:hAnsi="Arial"/>
                <w:sz w:val="18"/>
                <w:szCs w:val="18"/>
                <w:color w:val="0000FF"/>
              </w:rPr>
            </w:pPr>
            <w:hyperlink w:anchor="page60">
              <w:r>
                <w:rPr>
                  <w:rFonts w:ascii="Arial" w:cs="Arial" w:eastAsia="Arial" w:hAnsi="Arial"/>
                  <w:sz w:val="18"/>
                  <w:szCs w:val="18"/>
                  <w:color w:val="0000FF"/>
                </w:rPr>
                <w:t>Other Information</w:t>
              </w:r>
            </w:hyperlink>
          </w:p>
        </w:tc>
        <w:tc>
          <w:tcPr>
            <w:tcW w:w="7540" w:type="dxa"/>
            <w:vAlign w:val="bottom"/>
            <w:gridSpan w:val="13"/>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6.</w:t>
            </w:r>
          </w:p>
        </w:tc>
        <w:tc>
          <w:tcPr>
            <w:tcW w:w="1300" w:type="dxa"/>
            <w:vAlign w:val="bottom"/>
            <w:tcBorders>
              <w:top w:val="single" w:sz="8" w:color="0000FF"/>
            </w:tcBorders>
            <w:gridSpan w:val="4"/>
          </w:tcPr>
          <w:p>
            <w:pPr>
              <w:spacing w:after="0"/>
              <w:rPr>
                <w:rFonts w:ascii="Arial" w:cs="Arial" w:eastAsia="Arial" w:hAnsi="Arial"/>
                <w:sz w:val="18"/>
                <w:szCs w:val="18"/>
                <w:color w:val="0000FF"/>
              </w:rPr>
            </w:pPr>
            <w:hyperlink w:anchor="page61">
              <w:r>
                <w:rPr>
                  <w:rFonts w:ascii="Arial" w:cs="Arial" w:eastAsia="Arial" w:hAnsi="Arial"/>
                  <w:sz w:val="18"/>
                  <w:szCs w:val="18"/>
                  <w:color w:val="0000FF"/>
                </w:rPr>
                <w:t>Exhibits</w:t>
              </w:r>
            </w:hyperlink>
          </w:p>
        </w:tc>
        <w:tc>
          <w:tcPr>
            <w:tcW w:w="8000" w:type="dxa"/>
            <w:vAlign w:val="bottom"/>
            <w:gridSpan w:val="15"/>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3"/>
        </w:trPr>
        <w:tc>
          <w:tcPr>
            <w:tcW w:w="1160" w:type="dxa"/>
            <w:vAlign w:val="bottom"/>
            <w:gridSpan w:val="3"/>
          </w:tcPr>
          <w:p>
            <w:pPr>
              <w:ind w:left="20"/>
              <w:spacing w:after="0"/>
              <w:rPr>
                <w:rFonts w:ascii="Arial" w:cs="Arial" w:eastAsia="Arial" w:hAnsi="Arial"/>
                <w:sz w:val="18"/>
                <w:szCs w:val="18"/>
                <w:color w:val="0000FF"/>
              </w:rPr>
            </w:pPr>
            <w:hyperlink w:anchor="page62">
              <w:r>
                <w:rPr>
                  <w:rFonts w:ascii="Arial" w:cs="Arial" w:eastAsia="Arial" w:hAnsi="Arial"/>
                  <w:sz w:val="18"/>
                  <w:szCs w:val="18"/>
                  <w:color w:val="0000FF"/>
                </w:rPr>
                <w:t>Signatures</w:t>
              </w:r>
            </w:hyperlink>
          </w:p>
        </w:tc>
        <w:tc>
          <w:tcPr>
            <w:tcW w:w="600" w:type="dxa"/>
            <w:vAlign w:val="bottom"/>
            <w:tcBorders>
              <w:top w:val="single" w:sz="8" w:color="0000FF"/>
            </w:tcBorders>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952"/>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4900" w:type="dxa"/>
            <w:vAlign w:val="bottom"/>
            <w:gridSpan w:val="13"/>
          </w:tcPr>
          <w:p>
            <w:pPr>
              <w:ind w:left="4420"/>
              <w:spacing w:after="0"/>
              <w:rPr>
                <w:sz w:val="20"/>
                <w:szCs w:val="20"/>
                <w:color w:val="auto"/>
              </w:rPr>
            </w:pPr>
            <w:r>
              <w:rPr>
                <w:rFonts w:ascii="Arial" w:cs="Arial" w:eastAsia="Arial" w:hAnsi="Arial"/>
                <w:sz w:val="18"/>
                <w:szCs w:val="18"/>
                <w:color w:val="auto"/>
              </w:rPr>
              <w:t>1</w:t>
            </w:r>
          </w:p>
        </w:tc>
        <w:tc>
          <w:tcPr>
            <w:tcW w:w="1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 w:name="page4"/>
    <w:bookmarkEnd w:id="3"/>
    <w:p>
      <w:pPr>
        <w:jc w:val="both"/>
        <w:ind w:firstLine="464"/>
        <w:spacing w:after="0" w:line="309" w:lineRule="auto"/>
        <w:rPr>
          <w:sz w:val="20"/>
          <w:szCs w:val="20"/>
          <w:color w:val="auto"/>
        </w:rPr>
      </w:pPr>
      <w:r>
        <w:rPr>
          <w:rFonts w:ascii="Arial" w:cs="Arial" w:eastAsia="Arial" w:hAnsi="Arial"/>
          <w:sz w:val="16"/>
          <w:szCs w:val="16"/>
          <w:color w:val="auto"/>
        </w:rPr>
        <w:t>On June 24, 2021 (the “Closing Date”), Perella Weinberg Partners (formerly known as FinTech Acquisition Corp. IV (“FTIV”)) consummated its previously announced business combination pursuant to that certain Business Combination Agreement, dated as of December 29, 2020. As contemplated by the Business Combination Agreement, (i) FTIV acquired certain partnership interests in PWP Holdings LP (“PWP OpCo”), (ii) PWP OpCo became jointly-owned by Perella Weinberg Partners, PWP Professional Partners LP (“Professional Partners”) and certain existing partners of PWP OpCo, and (iii) PWP OpCo serves as Perella Weinberg Partners’ operating partnership as part of an umbrella limited partnership C-corporation (Up-C) structure (collectively with the other transactions contemplated by the Business Combination Agreement, the “Business Combination”). Unless the context otherwise requires, all references to “PWP,” the “Company,” “we,” “us” or “our” refer to Perella Weinberg Partners and its consolidated subsidiaries.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CAUTIONARY STATEMENT REGARDING FORWARD-LOOKING STATEMENTS</w:t>
      </w:r>
    </w:p>
    <w:p>
      <w:pPr>
        <w:spacing w:after="0" w:line="243" w:lineRule="exact"/>
        <w:rPr>
          <w:sz w:val="20"/>
          <w:szCs w:val="20"/>
          <w:color w:val="auto"/>
        </w:rPr>
      </w:pPr>
    </w:p>
    <w:p>
      <w:pPr>
        <w:jc w:val="both"/>
        <w:ind w:firstLine="464"/>
        <w:spacing w:after="0" w:line="287" w:lineRule="auto"/>
        <w:rPr>
          <w:sz w:val="20"/>
          <w:szCs w:val="20"/>
          <w:color w:val="auto"/>
        </w:rPr>
      </w:pPr>
      <w:r>
        <w:rPr>
          <w:rFonts w:ascii="Arial" w:cs="Arial" w:eastAsia="Arial" w:hAnsi="Arial"/>
          <w:sz w:val="17"/>
          <w:szCs w:val="17"/>
          <w:color w:val="231F20"/>
        </w:rPr>
        <w:t>Certain statements made in this Quarterly Report on Form 10-Q are “forward-looking statements” within the meaning of the federal securities laws, including the Private Securities Litigation Reform Act of 1995, Section 27A of the Securities Act of 1933, as amended, and Section 21E of the Securities Exchange Act of 1934, as amended. Statements regarding the expectations regarding the combined business are “forward-looking statements.” In addition, words such as “estimates,” “projected,” “expects,” “estimated,” “anticipates,” “forecasts,” “plans,” “intends,” “believes,” “seeks,” “may,” “will,” “would,” “future,” “propose,” “target,” “goal,” “objective,” “outlook”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the control of the parties, that could cause actual results or outcomes to differ materially from those discussed in the forward-looking statements. Important factors, among others, that may affect actual results or outcomes include:</w:t>
      </w:r>
    </w:p>
    <w:p>
      <w:pPr>
        <w:spacing w:after="0" w:line="70" w:lineRule="exact"/>
        <w:rPr>
          <w:sz w:val="20"/>
          <w:szCs w:val="20"/>
          <w:color w:val="auto"/>
        </w:rPr>
      </w:pPr>
    </w:p>
    <w:p>
      <w:pPr>
        <w:ind w:left="960"/>
        <w:spacing w:after="0"/>
        <w:rPr>
          <w:sz w:val="20"/>
          <w:szCs w:val="20"/>
          <w:color w:val="auto"/>
        </w:rPr>
      </w:pPr>
      <w:r>
        <w:rPr>
          <w:rFonts w:ascii="Arial" w:cs="Arial" w:eastAsia="Arial" w:hAnsi="Arial"/>
          <w:sz w:val="18"/>
          <w:szCs w:val="18"/>
          <w:color w:val="231F20"/>
        </w:rPr>
        <w:t>the projected financial information, anticipated growth rate, and market opportunity of the Company;</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7"/>
          <w:szCs w:val="17"/>
          <w:color w:val="231F20"/>
        </w:rPr>
        <w:t>the ability to maintain the listing of the Company’s Class A common stock and warrants on Nasdaq following the Business Combination;</w:t>
      </w:r>
    </w:p>
    <w:p>
      <w:pPr>
        <w:spacing w:after="0" w:line="142" w:lineRule="exact"/>
        <w:rPr>
          <w:sz w:val="20"/>
          <w:szCs w:val="20"/>
          <w:color w:val="auto"/>
        </w:rPr>
      </w:pPr>
    </w:p>
    <w:p>
      <w:pPr>
        <w:ind w:left="960"/>
        <w:spacing w:after="0"/>
        <w:rPr>
          <w:sz w:val="20"/>
          <w:szCs w:val="20"/>
          <w:color w:val="auto"/>
        </w:rPr>
      </w:pPr>
      <w:r>
        <w:rPr>
          <w:rFonts w:ascii="Arial" w:cs="Arial" w:eastAsia="Arial" w:hAnsi="Arial"/>
          <w:sz w:val="18"/>
          <w:szCs w:val="18"/>
          <w:color w:val="231F20"/>
        </w:rPr>
        <w:t>our public securities’ potential liquidity and trading;</w:t>
      </w:r>
    </w:p>
    <w:p>
      <w:pPr>
        <w:spacing w:after="0" w:line="131" w:lineRule="exact"/>
        <w:rPr>
          <w:sz w:val="20"/>
          <w:szCs w:val="20"/>
          <w:color w:val="auto"/>
        </w:rPr>
      </w:pPr>
    </w:p>
    <w:p>
      <w:pPr>
        <w:ind w:left="960"/>
        <w:spacing w:after="0" w:line="293" w:lineRule="auto"/>
        <w:rPr>
          <w:sz w:val="20"/>
          <w:szCs w:val="20"/>
          <w:color w:val="auto"/>
        </w:rPr>
      </w:pPr>
      <w:r>
        <w:rPr>
          <w:rFonts w:ascii="Arial" w:cs="Arial" w:eastAsia="Arial" w:hAnsi="Arial"/>
          <w:sz w:val="18"/>
          <w:szCs w:val="18"/>
          <w:color w:val="231F20"/>
        </w:rPr>
        <w:t>our success in retaining or recruiting partners and other employees, or changes related to, our officers, key employees or directors following the completion of the Business Combination;</w:t>
      </w:r>
    </w:p>
    <w:p>
      <w:pPr>
        <w:spacing w:after="0" w:line="62" w:lineRule="exact"/>
        <w:rPr>
          <w:sz w:val="20"/>
          <w:szCs w:val="20"/>
          <w:color w:val="auto"/>
        </w:rPr>
      </w:pPr>
    </w:p>
    <w:p>
      <w:pPr>
        <w:ind w:left="960" w:right="440"/>
        <w:spacing w:after="0" w:line="391" w:lineRule="auto"/>
        <w:rPr>
          <w:sz w:val="20"/>
          <w:szCs w:val="20"/>
          <w:color w:val="auto"/>
        </w:rPr>
      </w:pPr>
      <w:r>
        <w:rPr>
          <w:rFonts w:ascii="Arial" w:cs="Arial" w:eastAsia="Arial" w:hAnsi="Arial"/>
          <w:sz w:val="18"/>
          <w:szCs w:val="18"/>
          <w:color w:val="231F20"/>
        </w:rPr>
        <w:t>members of our management team allocating their time to other businesses and potentially having conflicts of interest with our business; factors relating to the business, operations and financial performance of the Company, including:</w:t>
      </w:r>
    </w:p>
    <w:p>
      <w:pPr>
        <w:spacing w:after="0" w:line="1" w:lineRule="exact"/>
        <w:rPr>
          <w:sz w:val="20"/>
          <w:szCs w:val="20"/>
          <w:color w:val="auto"/>
        </w:rPr>
      </w:pPr>
    </w:p>
    <w:p>
      <w:pPr>
        <w:ind w:left="1460" w:hanging="434"/>
        <w:spacing w:after="0"/>
        <w:tabs>
          <w:tab w:leader="none" w:pos="146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whether the Company realizes all or any of the anticipated benefits from the Business Combination;</w:t>
      </w:r>
    </w:p>
    <w:p>
      <w:pPr>
        <w:spacing w:after="0" w:line="130" w:lineRule="exact"/>
        <w:rPr>
          <w:rFonts w:ascii="Arial" w:cs="Arial" w:eastAsia="Arial" w:hAnsi="Arial"/>
          <w:sz w:val="18"/>
          <w:szCs w:val="18"/>
          <w:color w:val="231F20"/>
        </w:rPr>
      </w:pPr>
    </w:p>
    <w:p>
      <w:pPr>
        <w:ind w:left="1460" w:right="20" w:hanging="434"/>
        <w:spacing w:after="0" w:line="293" w:lineRule="auto"/>
        <w:tabs>
          <w:tab w:leader="none" w:pos="146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whether the Business Combination results in any increased or unforeseen costs or has an impact on the Company’s ability to retain or compete for professional talent or investor capital;</w:t>
      </w:r>
    </w:p>
    <w:p>
      <w:pPr>
        <w:spacing w:after="0" w:line="61" w:lineRule="exact"/>
        <w:rPr>
          <w:rFonts w:ascii="Arial" w:cs="Arial" w:eastAsia="Arial" w:hAnsi="Arial"/>
          <w:sz w:val="18"/>
          <w:szCs w:val="18"/>
          <w:color w:val="231F20"/>
        </w:rPr>
      </w:pPr>
    </w:p>
    <w:p>
      <w:pPr>
        <w:ind w:left="1460" w:hanging="434"/>
        <w:spacing w:after="0" w:line="324" w:lineRule="auto"/>
        <w:tabs>
          <w:tab w:leader="none" w:pos="1460" w:val="left"/>
        </w:tabs>
        <w:numPr>
          <w:ilvl w:val="0"/>
          <w:numId w:val="3"/>
        </w:numPr>
        <w:rPr>
          <w:rFonts w:ascii="Arial" w:cs="Arial" w:eastAsia="Arial" w:hAnsi="Arial"/>
          <w:sz w:val="17"/>
          <w:szCs w:val="17"/>
          <w:color w:val="231F20"/>
        </w:rPr>
      </w:pPr>
      <w:r>
        <w:rPr>
          <w:rFonts w:ascii="Arial" w:cs="Arial" w:eastAsia="Arial" w:hAnsi="Arial"/>
          <w:sz w:val="17"/>
          <w:szCs w:val="17"/>
          <w:color w:val="231F20"/>
        </w:rPr>
        <w:t>global economic, business, market and geopolitical conditions, including the impact of public health crises, such as the ongoing rapid, worldwide spread of a novel strain of coronavirus and the pandemic caused thereby (collectively, “COVID-19”);</w:t>
      </w:r>
    </w:p>
    <w:p>
      <w:pPr>
        <w:spacing w:after="0" w:line="39" w:lineRule="exact"/>
        <w:rPr>
          <w:rFonts w:ascii="Arial" w:cs="Arial" w:eastAsia="Arial" w:hAnsi="Arial"/>
          <w:sz w:val="17"/>
          <w:szCs w:val="17"/>
          <w:color w:val="231F20"/>
        </w:rPr>
      </w:pPr>
    </w:p>
    <w:p>
      <w:pPr>
        <w:ind w:left="1460" w:hanging="434"/>
        <w:spacing w:after="0"/>
        <w:tabs>
          <w:tab w:leader="none" w:pos="146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the Company’s dependence on and ability to retain working partners and other key employees;</w:t>
      </w:r>
    </w:p>
    <w:p>
      <w:pPr>
        <w:spacing w:after="0" w:line="130" w:lineRule="exact"/>
        <w:rPr>
          <w:rFonts w:ascii="Arial" w:cs="Arial" w:eastAsia="Arial" w:hAnsi="Arial"/>
          <w:sz w:val="18"/>
          <w:szCs w:val="18"/>
          <w:color w:val="231F20"/>
        </w:rPr>
      </w:pPr>
    </w:p>
    <w:p>
      <w:pPr>
        <w:ind w:left="1460" w:hanging="434"/>
        <w:spacing w:after="0"/>
        <w:tabs>
          <w:tab w:leader="none" w:pos="146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the Company’s ability to successfully identify, recruit and develop talent;</w:t>
      </w:r>
    </w:p>
    <w:p>
      <w:pPr>
        <w:spacing w:after="0" w:line="130" w:lineRule="exact"/>
        <w:rPr>
          <w:rFonts w:ascii="Arial" w:cs="Arial" w:eastAsia="Arial" w:hAnsi="Arial"/>
          <w:sz w:val="18"/>
          <w:szCs w:val="18"/>
          <w:color w:val="231F20"/>
        </w:rPr>
      </w:pPr>
    </w:p>
    <w:p>
      <w:pPr>
        <w:ind w:left="1460" w:hanging="434"/>
        <w:spacing w:after="0"/>
        <w:tabs>
          <w:tab w:leader="none" w:pos="146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risks associated with strategic transactions, such as joint ventures, strategic investments, acquisitions and dispositions;</w:t>
      </w:r>
    </w:p>
    <w:p>
      <w:pPr>
        <w:spacing w:after="0" w:line="130" w:lineRule="exact"/>
        <w:rPr>
          <w:rFonts w:ascii="Arial" w:cs="Arial" w:eastAsia="Arial" w:hAnsi="Arial"/>
          <w:sz w:val="18"/>
          <w:szCs w:val="18"/>
          <w:color w:val="231F20"/>
        </w:rPr>
      </w:pPr>
    </w:p>
    <w:p>
      <w:pPr>
        <w:ind w:left="1460" w:hanging="434"/>
        <w:spacing w:after="0"/>
        <w:tabs>
          <w:tab w:leader="none" w:pos="146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conditions impacting the corporate advisory industry;</w:t>
      </w:r>
    </w:p>
    <w:p>
      <w:pPr>
        <w:spacing w:after="0" w:line="130" w:lineRule="exact"/>
        <w:rPr>
          <w:rFonts w:ascii="Arial" w:cs="Arial" w:eastAsia="Arial" w:hAnsi="Arial"/>
          <w:sz w:val="18"/>
          <w:szCs w:val="18"/>
          <w:color w:val="231F20"/>
        </w:rPr>
      </w:pPr>
    </w:p>
    <w:p>
      <w:pPr>
        <w:ind w:left="1460" w:hanging="434"/>
        <w:spacing w:after="0" w:line="293" w:lineRule="auto"/>
        <w:tabs>
          <w:tab w:leader="none" w:pos="146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the Company’s dependence on its fee-paying clients and fluctuating revenues from its non-exclusive, engagement-by-engagement business model;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 w:name="page5"/>
    <w:bookmarkEnd w:id="4"/>
    <w:p>
      <w:pPr>
        <w:ind w:left="1460" w:right="20" w:hanging="434"/>
        <w:spacing w:after="0" w:line="293" w:lineRule="auto"/>
        <w:tabs>
          <w:tab w:leader="none" w:pos="146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the high volatility of the Company’s revenue as a result of its reliance on advisory fees that are largely contingent on the completion of events which may be out of its control;</w:t>
      </w:r>
    </w:p>
    <w:p>
      <w:pPr>
        <w:spacing w:after="0" w:line="61" w:lineRule="exact"/>
        <w:rPr>
          <w:rFonts w:ascii="Arial" w:cs="Arial" w:eastAsia="Arial" w:hAnsi="Arial"/>
          <w:sz w:val="18"/>
          <w:szCs w:val="18"/>
          <w:color w:val="231F20"/>
        </w:rPr>
      </w:pPr>
    </w:p>
    <w:p>
      <w:pPr>
        <w:ind w:left="1460" w:hanging="434"/>
        <w:spacing w:after="0"/>
        <w:tabs>
          <w:tab w:leader="none" w:pos="146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the ability of the Company’s clients to pay for its services, including its restructuring clients;</w:t>
      </w:r>
    </w:p>
    <w:p>
      <w:pPr>
        <w:spacing w:after="0" w:line="130" w:lineRule="exact"/>
        <w:rPr>
          <w:rFonts w:ascii="Arial" w:cs="Arial" w:eastAsia="Arial" w:hAnsi="Arial"/>
          <w:sz w:val="18"/>
          <w:szCs w:val="18"/>
          <w:color w:val="231F20"/>
        </w:rPr>
      </w:pPr>
    </w:p>
    <w:p>
      <w:pPr>
        <w:ind w:left="1460" w:hanging="434"/>
        <w:spacing w:after="0" w:line="359" w:lineRule="auto"/>
        <w:tabs>
          <w:tab w:leader="none" w:pos="1460" w:val="left"/>
        </w:tabs>
        <w:numPr>
          <w:ilvl w:val="0"/>
          <w:numId w:val="4"/>
        </w:numPr>
        <w:rPr>
          <w:rFonts w:ascii="Arial" w:cs="Arial" w:eastAsia="Arial" w:hAnsi="Arial"/>
          <w:sz w:val="16"/>
          <w:szCs w:val="16"/>
          <w:color w:val="231F20"/>
        </w:rPr>
      </w:pPr>
      <w:r>
        <w:rPr>
          <w:rFonts w:ascii="Arial" w:cs="Arial" w:eastAsia="Arial" w:hAnsi="Arial"/>
          <w:sz w:val="16"/>
          <w:szCs w:val="16"/>
          <w:color w:val="231F20"/>
        </w:rPr>
        <w:t>the Company’s ability to appropriately manage conflicts of interest and tax and other regulatory factors relevant to the Company’s business, including actual, potential or perceived conflicts of interest and other factors that may damage its business and reputation;</w:t>
      </w:r>
    </w:p>
    <w:p>
      <w:pPr>
        <w:spacing w:after="0" w:line="16" w:lineRule="exact"/>
        <w:rPr>
          <w:rFonts w:ascii="Arial" w:cs="Arial" w:eastAsia="Arial" w:hAnsi="Arial"/>
          <w:sz w:val="16"/>
          <w:szCs w:val="16"/>
          <w:color w:val="231F20"/>
        </w:rPr>
      </w:pPr>
    </w:p>
    <w:p>
      <w:pPr>
        <w:ind w:left="1460" w:hanging="434"/>
        <w:spacing w:after="0"/>
        <w:tabs>
          <w:tab w:leader="none" w:pos="146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strong competition from other financial advisory and investment banking firms;</w:t>
      </w:r>
    </w:p>
    <w:p>
      <w:pPr>
        <w:spacing w:after="0" w:line="130" w:lineRule="exact"/>
        <w:rPr>
          <w:rFonts w:ascii="Arial" w:cs="Arial" w:eastAsia="Arial" w:hAnsi="Arial"/>
          <w:sz w:val="18"/>
          <w:szCs w:val="18"/>
          <w:color w:val="231F20"/>
        </w:rPr>
      </w:pPr>
    </w:p>
    <w:p>
      <w:pPr>
        <w:ind w:left="1460" w:hanging="434"/>
        <w:spacing w:after="0"/>
        <w:tabs>
          <w:tab w:leader="none" w:pos="146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potential impairment of goodwill and other intangible assets, which represent a significant portion of the Company’s assets;</w:t>
      </w:r>
    </w:p>
    <w:p>
      <w:pPr>
        <w:spacing w:after="0" w:line="130" w:lineRule="exact"/>
        <w:rPr>
          <w:rFonts w:ascii="Arial" w:cs="Arial" w:eastAsia="Arial" w:hAnsi="Arial"/>
          <w:sz w:val="18"/>
          <w:szCs w:val="18"/>
          <w:color w:val="231F20"/>
        </w:rPr>
      </w:pPr>
    </w:p>
    <w:p>
      <w:pPr>
        <w:ind w:left="1460" w:hanging="434"/>
        <w:spacing w:after="0"/>
        <w:tabs>
          <w:tab w:leader="none" w:pos="146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the Company’s successful formulation and execution of its business and growth strategies;</w:t>
      </w:r>
    </w:p>
    <w:p>
      <w:pPr>
        <w:spacing w:after="0" w:line="130" w:lineRule="exact"/>
        <w:rPr>
          <w:rFonts w:ascii="Arial" w:cs="Arial" w:eastAsia="Arial" w:hAnsi="Arial"/>
          <w:sz w:val="18"/>
          <w:szCs w:val="18"/>
          <w:color w:val="231F20"/>
        </w:rPr>
      </w:pPr>
    </w:p>
    <w:p>
      <w:pPr>
        <w:ind w:left="1460" w:hanging="434"/>
        <w:spacing w:after="0"/>
        <w:tabs>
          <w:tab w:leader="none" w:pos="146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the outcome of third-party litigation involving the Company;</w:t>
      </w:r>
    </w:p>
    <w:p>
      <w:pPr>
        <w:spacing w:after="0" w:line="130" w:lineRule="exact"/>
        <w:rPr>
          <w:rFonts w:ascii="Arial" w:cs="Arial" w:eastAsia="Arial" w:hAnsi="Arial"/>
          <w:sz w:val="18"/>
          <w:szCs w:val="18"/>
          <w:color w:val="231F20"/>
        </w:rPr>
      </w:pPr>
    </w:p>
    <w:p>
      <w:pPr>
        <w:ind w:left="1460" w:hanging="434"/>
        <w:spacing w:after="0"/>
        <w:tabs>
          <w:tab w:leader="none" w:pos="146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substantial litigation risks in the financial services industry;</w:t>
      </w:r>
    </w:p>
    <w:p>
      <w:pPr>
        <w:spacing w:after="0" w:line="130" w:lineRule="exact"/>
        <w:rPr>
          <w:rFonts w:ascii="Arial" w:cs="Arial" w:eastAsia="Arial" w:hAnsi="Arial"/>
          <w:sz w:val="18"/>
          <w:szCs w:val="18"/>
          <w:color w:val="231F20"/>
        </w:rPr>
      </w:pPr>
    </w:p>
    <w:p>
      <w:pPr>
        <w:ind w:left="1460" w:hanging="434"/>
        <w:spacing w:after="0"/>
        <w:tabs>
          <w:tab w:leader="none" w:pos="146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cybersecurity and other operational risks;</w:t>
      </w:r>
    </w:p>
    <w:p>
      <w:pPr>
        <w:spacing w:after="0" w:line="130" w:lineRule="exact"/>
        <w:rPr>
          <w:rFonts w:ascii="Arial" w:cs="Arial" w:eastAsia="Arial" w:hAnsi="Arial"/>
          <w:sz w:val="18"/>
          <w:szCs w:val="18"/>
          <w:color w:val="231F20"/>
        </w:rPr>
      </w:pPr>
    </w:p>
    <w:p>
      <w:pPr>
        <w:ind w:left="1460" w:hanging="434"/>
        <w:spacing w:after="0"/>
        <w:tabs>
          <w:tab w:leader="none" w:pos="146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the Company’s ability to expand into new markets and lines of businesses for the advisory business;</w:t>
      </w:r>
    </w:p>
    <w:p>
      <w:pPr>
        <w:spacing w:after="0" w:line="130" w:lineRule="exact"/>
        <w:rPr>
          <w:rFonts w:ascii="Arial" w:cs="Arial" w:eastAsia="Arial" w:hAnsi="Arial"/>
          <w:sz w:val="18"/>
          <w:szCs w:val="18"/>
          <w:color w:val="231F20"/>
        </w:rPr>
      </w:pPr>
    </w:p>
    <w:p>
      <w:pPr>
        <w:ind w:left="1460" w:hanging="434"/>
        <w:spacing w:after="0"/>
        <w:tabs>
          <w:tab w:leader="none" w:pos="146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exposure to fluctuations in foreign currency exchange rates;</w:t>
      </w:r>
    </w:p>
    <w:p>
      <w:pPr>
        <w:spacing w:after="0" w:line="130" w:lineRule="exact"/>
        <w:rPr>
          <w:rFonts w:ascii="Arial" w:cs="Arial" w:eastAsia="Arial" w:hAnsi="Arial"/>
          <w:sz w:val="18"/>
          <w:szCs w:val="18"/>
          <w:color w:val="231F20"/>
        </w:rPr>
      </w:pPr>
    </w:p>
    <w:p>
      <w:pPr>
        <w:ind w:left="1460" w:hanging="434"/>
        <w:spacing w:after="0" w:line="293" w:lineRule="auto"/>
        <w:tabs>
          <w:tab w:leader="none" w:pos="146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assumptions relating to the Company’s operations, financial results, financial condition, business prospects, growth strategy and liquidity;</w:t>
      </w:r>
    </w:p>
    <w:p>
      <w:pPr>
        <w:spacing w:after="0" w:line="61" w:lineRule="exact"/>
        <w:rPr>
          <w:rFonts w:ascii="Arial" w:cs="Arial" w:eastAsia="Arial" w:hAnsi="Arial"/>
          <w:sz w:val="18"/>
          <w:szCs w:val="18"/>
          <w:color w:val="231F20"/>
        </w:rPr>
      </w:pPr>
    </w:p>
    <w:p>
      <w:pPr>
        <w:ind w:left="1460" w:hanging="434"/>
        <w:spacing w:after="0" w:line="359" w:lineRule="auto"/>
        <w:tabs>
          <w:tab w:leader="none" w:pos="1460" w:val="left"/>
        </w:tabs>
        <w:numPr>
          <w:ilvl w:val="0"/>
          <w:numId w:val="4"/>
        </w:numPr>
        <w:rPr>
          <w:rFonts w:ascii="Arial" w:cs="Arial" w:eastAsia="Arial" w:hAnsi="Arial"/>
          <w:sz w:val="16"/>
          <w:szCs w:val="16"/>
          <w:color w:val="231F20"/>
        </w:rPr>
      </w:pPr>
      <w:r>
        <w:rPr>
          <w:rFonts w:ascii="Arial" w:cs="Arial" w:eastAsia="Arial" w:hAnsi="Arial"/>
          <w:sz w:val="16"/>
          <w:szCs w:val="16"/>
          <w:color w:val="231F20"/>
        </w:rPr>
        <w:t>extensive regulation of the corporate advisory industry and U.S. and foreign regulatory developments relating to, among other things, financial institutions and markets, government oversight, fiscal and tax policy and laws (including the treatment of carried interest);</w:t>
      </w:r>
    </w:p>
    <w:p>
      <w:pPr>
        <w:spacing w:after="0" w:line="16" w:lineRule="exact"/>
        <w:rPr>
          <w:rFonts w:ascii="Arial" w:cs="Arial" w:eastAsia="Arial" w:hAnsi="Arial"/>
          <w:sz w:val="16"/>
          <w:szCs w:val="16"/>
          <w:color w:val="231F20"/>
        </w:rPr>
      </w:pPr>
    </w:p>
    <w:p>
      <w:pPr>
        <w:ind w:left="1460" w:hanging="434"/>
        <w:spacing w:after="0"/>
        <w:tabs>
          <w:tab w:leader="none" w:pos="146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the impact of the global COVID-19 pandemic on any of the foregoing risks; and</w:t>
      </w:r>
    </w:p>
    <w:p>
      <w:pPr>
        <w:spacing w:after="0" w:line="130" w:lineRule="exact"/>
        <w:rPr>
          <w:rFonts w:ascii="Arial" w:cs="Arial" w:eastAsia="Arial" w:hAnsi="Arial"/>
          <w:sz w:val="18"/>
          <w:szCs w:val="18"/>
          <w:color w:val="231F20"/>
        </w:rPr>
      </w:pPr>
    </w:p>
    <w:p>
      <w:pPr>
        <w:ind w:left="1460" w:hanging="434"/>
        <w:spacing w:after="0"/>
        <w:tabs>
          <w:tab w:leader="none" w:pos="146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other risks and uncertainties described under the section entitled “</w:t>
      </w:r>
      <w:r>
        <w:rPr>
          <w:rFonts w:ascii="Arial" w:cs="Arial" w:eastAsia="Arial" w:hAnsi="Arial"/>
          <w:sz w:val="18"/>
          <w:szCs w:val="18"/>
          <w:i w:val="1"/>
          <w:iCs w:val="1"/>
          <w:color w:val="231F20"/>
        </w:rPr>
        <w:t>Risk Factors</w:t>
      </w:r>
      <w:r>
        <w:rPr>
          <w:rFonts w:ascii="Arial" w:cs="Arial" w:eastAsia="Arial" w:hAnsi="Arial"/>
          <w:sz w:val="18"/>
          <w:szCs w:val="18"/>
          <w:color w:val="231F20"/>
        </w:rPr>
        <w:t>” included elsewhere in this Form 10-Q.</w:t>
      </w:r>
    </w:p>
    <w:p>
      <w:pPr>
        <w:spacing w:after="0" w:line="239" w:lineRule="exact"/>
        <w:rPr>
          <w:sz w:val="20"/>
          <w:szCs w:val="20"/>
          <w:color w:val="auto"/>
        </w:rPr>
      </w:pPr>
    </w:p>
    <w:p>
      <w:pPr>
        <w:jc w:val="both"/>
        <w:ind w:firstLine="464"/>
        <w:spacing w:after="0" w:line="296" w:lineRule="auto"/>
        <w:rPr>
          <w:sz w:val="20"/>
          <w:szCs w:val="20"/>
          <w:color w:val="auto"/>
        </w:rPr>
      </w:pPr>
      <w:r>
        <w:rPr>
          <w:rFonts w:ascii="Arial" w:cs="Arial" w:eastAsia="Arial" w:hAnsi="Arial"/>
          <w:sz w:val="17"/>
          <w:szCs w:val="17"/>
          <w:color w:val="231F20"/>
        </w:rPr>
        <w:t>The forward-looking statements contained in this Quarterly Report on Form 10-Q are based on current expectations and beliefs concerning future developments and their potential effects on the Company. There can be no assurance that future developments affecting the Company will be those that the Company has anticipated. The Company undertakes no obligation to update or revise any forward-looking statements, whether as a result of new information, future events or otherwise, except as may be required under applicable securities laws.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Disclosure</w:t>
      </w:r>
    </w:p>
    <w:p>
      <w:pPr>
        <w:spacing w:after="0" w:line="243" w:lineRule="exact"/>
        <w:rPr>
          <w:sz w:val="20"/>
          <w:szCs w:val="20"/>
          <w:color w:val="auto"/>
        </w:rPr>
      </w:pPr>
    </w:p>
    <w:p>
      <w:pPr>
        <w:jc w:val="both"/>
        <w:ind w:firstLine="464"/>
        <w:spacing w:after="0" w:line="292" w:lineRule="auto"/>
        <w:rPr>
          <w:sz w:val="20"/>
          <w:szCs w:val="20"/>
          <w:color w:val="auto"/>
        </w:rPr>
      </w:pPr>
      <w:r>
        <w:rPr>
          <w:rFonts w:ascii="Arial" w:cs="Arial" w:eastAsia="Arial" w:hAnsi="Arial"/>
          <w:sz w:val="17"/>
          <w:szCs w:val="17"/>
          <w:color w:val="auto"/>
        </w:rPr>
        <w:t>We file annual, quarterly and current reports, proxy statements and other information with the SEC. The SEC maintains an internet site where reports, proxy and information statements, and other information regarding issuers that file electronically with the SEC are available. Our SEC filings are available to the public over the Internet at the SEC’s website at www.sec.gov and on our website at https://investors.pwpartners.com/. Our website is https://pwpartners.com/. Although we refer to our website in this report, the contents of our website are not included or incorporated by reference into this report. All references to our website in this report are intended to be inactive textual references only.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7740" w:type="dxa"/>
            <w:vAlign w:val="bottom"/>
          </w:tcPr>
          <w:p>
            <w:pPr>
              <w:spacing w:after="0"/>
              <w:rPr>
                <w:sz w:val="20"/>
                <w:szCs w:val="20"/>
                <w:color w:val="auto"/>
              </w:rPr>
            </w:pPr>
            <w:r>
              <w:rPr>
                <w:rFonts w:ascii="Arial" w:cs="Arial" w:eastAsia="Arial" w:hAnsi="Arial"/>
                <w:sz w:val="18"/>
                <w:szCs w:val="18"/>
                <w:b w:val="1"/>
                <w:bCs w:val="1"/>
                <w:color w:val="auto"/>
              </w:rPr>
              <w:t>PART I. FINANCIAL INFORMATION</w:t>
            </w:r>
          </w:p>
        </w:tc>
        <w:tc>
          <w:tcPr>
            <w:tcW w:w="6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45"/>
        </w:trPr>
        <w:tc>
          <w:tcPr>
            <w:tcW w:w="7740" w:type="dxa"/>
            <w:vAlign w:val="bottom"/>
          </w:tcPr>
          <w:p>
            <w:pPr>
              <w:spacing w:after="0"/>
              <w:rPr>
                <w:sz w:val="20"/>
                <w:szCs w:val="20"/>
                <w:color w:val="auto"/>
              </w:rPr>
            </w:pPr>
            <w:r>
              <w:rPr>
                <w:rFonts w:ascii="Arial" w:cs="Arial" w:eastAsia="Arial" w:hAnsi="Arial"/>
                <w:sz w:val="18"/>
                <w:szCs w:val="18"/>
                <w:b w:val="1"/>
                <w:bCs w:val="1"/>
                <w:color w:val="auto"/>
              </w:rPr>
              <w:t>Item 1. Financial Statements (Unaudited)</w:t>
            </w:r>
          </w:p>
        </w:tc>
        <w:tc>
          <w:tcPr>
            <w:tcW w:w="6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59"/>
        </w:trPr>
        <w:tc>
          <w:tcPr>
            <w:tcW w:w="7740" w:type="dxa"/>
            <w:vAlign w:val="bottom"/>
          </w:tcPr>
          <w:p>
            <w:pPr>
              <w:ind w:left="4580"/>
              <w:spacing w:after="0"/>
              <w:rPr>
                <w:sz w:val="20"/>
                <w:szCs w:val="20"/>
                <w:color w:val="auto"/>
              </w:rPr>
            </w:pPr>
            <w:r>
              <w:rPr>
                <w:rFonts w:ascii="Arial" w:cs="Arial" w:eastAsia="Arial" w:hAnsi="Arial"/>
                <w:sz w:val="18"/>
                <w:szCs w:val="18"/>
                <w:b w:val="1"/>
                <w:bCs w:val="1"/>
                <w:color w:val="auto"/>
              </w:rPr>
              <w:t>Perella Weinberg Partners</w:t>
            </w:r>
          </w:p>
        </w:tc>
        <w:tc>
          <w:tcPr>
            <w:tcW w:w="6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57"/>
        </w:trPr>
        <w:tc>
          <w:tcPr>
            <w:tcW w:w="8380" w:type="dxa"/>
            <w:vAlign w:val="bottom"/>
            <w:gridSpan w:val="2"/>
          </w:tcPr>
          <w:p>
            <w:pPr>
              <w:ind w:left="3340"/>
              <w:spacing w:after="0"/>
              <w:rPr>
                <w:sz w:val="20"/>
                <w:szCs w:val="20"/>
                <w:color w:val="auto"/>
              </w:rPr>
            </w:pPr>
            <w:r>
              <w:rPr>
                <w:rFonts w:ascii="Arial" w:cs="Arial" w:eastAsia="Arial" w:hAnsi="Arial"/>
                <w:sz w:val="18"/>
                <w:szCs w:val="18"/>
                <w:b w:val="1"/>
                <w:bCs w:val="1"/>
                <w:color w:val="auto"/>
                <w:w w:val="97"/>
              </w:rPr>
              <w:t>Condensed Consolidated Statements of Financial Condition</w:t>
            </w: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70"/>
        </w:trPr>
        <w:tc>
          <w:tcPr>
            <w:tcW w:w="7740" w:type="dxa"/>
            <w:vAlign w:val="bottom"/>
          </w:tcPr>
          <w:p>
            <w:pPr>
              <w:ind w:left="5140"/>
              <w:spacing w:after="0"/>
              <w:rPr>
                <w:sz w:val="20"/>
                <w:szCs w:val="20"/>
                <w:color w:val="auto"/>
              </w:rPr>
            </w:pPr>
            <w:r>
              <w:rPr>
                <w:rFonts w:ascii="Arial" w:cs="Arial" w:eastAsia="Arial" w:hAnsi="Arial"/>
                <w:sz w:val="18"/>
                <w:szCs w:val="18"/>
                <w:b w:val="1"/>
                <w:bCs w:val="1"/>
                <w:color w:val="auto"/>
              </w:rPr>
              <w:t>(Unaudited)</w:t>
            </w:r>
          </w:p>
        </w:tc>
        <w:tc>
          <w:tcPr>
            <w:tcW w:w="6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70"/>
        </w:trPr>
        <w:tc>
          <w:tcPr>
            <w:tcW w:w="7740" w:type="dxa"/>
            <w:vAlign w:val="bottom"/>
          </w:tcPr>
          <w:p>
            <w:pPr>
              <w:ind w:left="3660"/>
              <w:spacing w:after="0"/>
              <w:rPr>
                <w:sz w:val="20"/>
                <w:szCs w:val="20"/>
                <w:color w:val="auto"/>
              </w:rPr>
            </w:pPr>
            <w:r>
              <w:rPr>
                <w:rFonts w:ascii="Arial" w:cs="Arial" w:eastAsia="Arial" w:hAnsi="Arial"/>
                <w:sz w:val="18"/>
                <w:szCs w:val="18"/>
                <w:b w:val="1"/>
                <w:bCs w:val="1"/>
                <w:color w:val="auto"/>
                <w:w w:val="93"/>
              </w:rPr>
              <w:t>(Dollars in Thousands, Except Per Share Amounts)</w:t>
            </w:r>
          </w:p>
        </w:tc>
        <w:tc>
          <w:tcPr>
            <w:tcW w:w="6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454"/>
        </w:trPr>
        <w:tc>
          <w:tcPr>
            <w:tcW w:w="7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right"/>
              <w:ind w:right="25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7740" w:type="dxa"/>
            <w:vAlign w:val="bottom"/>
          </w:tcPr>
          <w:p>
            <w:pPr>
              <w:spacing w:after="0"/>
              <w:rPr>
                <w:sz w:val="20"/>
                <w:szCs w:val="20"/>
                <w:color w:val="auto"/>
              </w:rPr>
            </w:pPr>
          </w:p>
        </w:tc>
        <w:tc>
          <w:tcPr>
            <w:tcW w:w="182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b w:val="1"/>
                <w:bCs w:val="1"/>
                <w:color w:val="auto"/>
                <w:w w:val="93"/>
              </w:rPr>
              <w:t>September 30, 2021</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r>
      <w:tr>
        <w:trPr>
          <w:trHeight w:val="257"/>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640" w:type="dxa"/>
            <w:vAlign w:val="bottom"/>
            <w:shd w:val="clear" w:color="auto" w:fill="CFF0FC"/>
          </w:tcPr>
          <w:p>
            <w:pPr>
              <w:spacing w:after="0"/>
              <w:rPr>
                <w:sz w:val="22"/>
                <w:szCs w:val="22"/>
                <w:color w:val="auto"/>
              </w:rPr>
            </w:pPr>
          </w:p>
        </w:tc>
        <w:tc>
          <w:tcPr>
            <w:tcW w:w="11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420" w:type="dxa"/>
            <w:vAlign w:val="bottom"/>
            <w:shd w:val="clear" w:color="auto" w:fill="CFF0FC"/>
          </w:tcPr>
          <w:p>
            <w:pPr>
              <w:spacing w:after="0"/>
              <w:rPr>
                <w:sz w:val="22"/>
                <w:szCs w:val="22"/>
                <w:color w:val="auto"/>
              </w:rPr>
            </w:pPr>
          </w:p>
        </w:tc>
      </w:tr>
      <w:tr>
        <w:trPr>
          <w:trHeight w:val="250"/>
        </w:trPr>
        <w:tc>
          <w:tcPr>
            <w:tcW w:w="7740" w:type="dxa"/>
            <w:vAlign w:val="bottom"/>
          </w:tcPr>
          <w:p>
            <w:pPr>
              <w:ind w:left="120"/>
              <w:spacing w:after="0"/>
              <w:rPr>
                <w:sz w:val="20"/>
                <w:szCs w:val="20"/>
                <w:color w:val="auto"/>
              </w:rPr>
            </w:pPr>
            <w:r>
              <w:rPr>
                <w:rFonts w:ascii="Arial" w:cs="Arial" w:eastAsia="Arial" w:hAnsi="Arial"/>
                <w:sz w:val="18"/>
                <w:szCs w:val="18"/>
                <w:color w:val="auto"/>
              </w:rPr>
              <w:t>Cash and cash equivalents</w:t>
            </w: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415,839</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329,063</w:t>
            </w:r>
          </w:p>
        </w:tc>
      </w:tr>
      <w:tr>
        <w:trPr>
          <w:trHeight w:val="263"/>
        </w:trPr>
        <w:tc>
          <w:tcPr>
            <w:tcW w:w="77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Restricted cash</w:t>
            </w:r>
          </w:p>
        </w:tc>
        <w:tc>
          <w:tcPr>
            <w:tcW w:w="640" w:type="dxa"/>
            <w:vAlign w:val="bottom"/>
            <w:shd w:val="clear" w:color="auto" w:fill="CFF0FC"/>
          </w:tcPr>
          <w:p>
            <w:pPr>
              <w:spacing w:after="0"/>
              <w:rPr>
                <w:sz w:val="22"/>
                <w:szCs w:val="22"/>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1,835</w:t>
            </w:r>
          </w:p>
        </w:tc>
        <w:tc>
          <w:tcPr>
            <w:tcW w:w="1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1,845</w:t>
            </w:r>
          </w:p>
        </w:tc>
      </w:tr>
      <w:tr>
        <w:trPr>
          <w:trHeight w:val="250"/>
        </w:trPr>
        <w:tc>
          <w:tcPr>
            <w:tcW w:w="7740" w:type="dxa"/>
            <w:vAlign w:val="bottom"/>
          </w:tcPr>
          <w:p>
            <w:pPr>
              <w:ind w:left="120"/>
              <w:spacing w:after="0"/>
              <w:rPr>
                <w:sz w:val="20"/>
                <w:szCs w:val="20"/>
                <w:color w:val="auto"/>
              </w:rPr>
            </w:pPr>
            <w:r>
              <w:rPr>
                <w:rFonts w:ascii="Arial" w:cs="Arial" w:eastAsia="Arial" w:hAnsi="Arial"/>
                <w:sz w:val="18"/>
                <w:szCs w:val="18"/>
                <w:color w:val="auto"/>
              </w:rPr>
              <w:t>Accounts receivable, net of allowance</w:t>
            </w:r>
          </w:p>
        </w:tc>
        <w:tc>
          <w:tcPr>
            <w:tcW w:w="6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66,021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40,802</w:t>
            </w:r>
          </w:p>
        </w:tc>
      </w:tr>
      <w:tr>
        <w:trPr>
          <w:trHeight w:val="263"/>
        </w:trPr>
        <w:tc>
          <w:tcPr>
            <w:tcW w:w="77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Due from related parties</w:t>
            </w:r>
          </w:p>
        </w:tc>
        <w:tc>
          <w:tcPr>
            <w:tcW w:w="640" w:type="dxa"/>
            <w:vAlign w:val="bottom"/>
            <w:shd w:val="clear" w:color="auto" w:fill="CFF0FC"/>
          </w:tcPr>
          <w:p>
            <w:pPr>
              <w:spacing w:after="0"/>
              <w:rPr>
                <w:sz w:val="22"/>
                <w:szCs w:val="22"/>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289</w:t>
            </w:r>
          </w:p>
        </w:tc>
      </w:tr>
      <w:tr>
        <w:trPr>
          <w:trHeight w:val="250"/>
        </w:trPr>
        <w:tc>
          <w:tcPr>
            <w:tcW w:w="7740" w:type="dxa"/>
            <w:vAlign w:val="bottom"/>
          </w:tcPr>
          <w:p>
            <w:pPr>
              <w:ind w:left="120"/>
              <w:spacing w:after="0"/>
              <w:rPr>
                <w:sz w:val="20"/>
                <w:szCs w:val="20"/>
                <w:color w:val="auto"/>
              </w:rPr>
            </w:pPr>
            <w:r>
              <w:rPr>
                <w:rFonts w:ascii="Arial" w:cs="Arial" w:eastAsia="Arial" w:hAnsi="Arial"/>
                <w:sz w:val="18"/>
                <w:szCs w:val="18"/>
                <w:color w:val="auto"/>
              </w:rPr>
              <w:t>Fixed assets, net of accumulated depreciation and amortization</w:t>
            </w:r>
          </w:p>
        </w:tc>
        <w:tc>
          <w:tcPr>
            <w:tcW w:w="6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11,383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17,189</w:t>
            </w:r>
          </w:p>
        </w:tc>
      </w:tr>
      <w:tr>
        <w:trPr>
          <w:trHeight w:val="263"/>
        </w:trPr>
        <w:tc>
          <w:tcPr>
            <w:tcW w:w="77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Intangible assets, net of accumulated amortization</w:t>
            </w:r>
          </w:p>
        </w:tc>
        <w:tc>
          <w:tcPr>
            <w:tcW w:w="640" w:type="dxa"/>
            <w:vAlign w:val="bottom"/>
            <w:shd w:val="clear" w:color="auto" w:fill="CFF0FC"/>
          </w:tcPr>
          <w:p>
            <w:pPr>
              <w:spacing w:after="0"/>
              <w:rPr>
                <w:sz w:val="22"/>
                <w:szCs w:val="22"/>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33,997</w:t>
            </w:r>
          </w:p>
        </w:tc>
        <w:tc>
          <w:tcPr>
            <w:tcW w:w="1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38,932</w:t>
            </w:r>
          </w:p>
        </w:tc>
      </w:tr>
      <w:tr>
        <w:trPr>
          <w:trHeight w:val="250"/>
        </w:trPr>
        <w:tc>
          <w:tcPr>
            <w:tcW w:w="7740" w:type="dxa"/>
            <w:vAlign w:val="bottom"/>
          </w:tcPr>
          <w:p>
            <w:pPr>
              <w:ind w:left="120"/>
              <w:spacing w:after="0"/>
              <w:rPr>
                <w:sz w:val="20"/>
                <w:szCs w:val="20"/>
                <w:color w:val="auto"/>
              </w:rPr>
            </w:pPr>
            <w:r>
              <w:rPr>
                <w:rFonts w:ascii="Arial" w:cs="Arial" w:eastAsia="Arial" w:hAnsi="Arial"/>
                <w:sz w:val="18"/>
                <w:szCs w:val="18"/>
                <w:color w:val="auto"/>
              </w:rPr>
              <w:t>Goodwill</w:t>
            </w:r>
          </w:p>
        </w:tc>
        <w:tc>
          <w:tcPr>
            <w:tcW w:w="6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34,383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34,383</w:t>
            </w:r>
          </w:p>
        </w:tc>
      </w:tr>
      <w:tr>
        <w:trPr>
          <w:trHeight w:val="263"/>
        </w:trPr>
        <w:tc>
          <w:tcPr>
            <w:tcW w:w="77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Prepaid expenses and other assets</w:t>
            </w:r>
          </w:p>
        </w:tc>
        <w:tc>
          <w:tcPr>
            <w:tcW w:w="640" w:type="dxa"/>
            <w:vAlign w:val="bottom"/>
            <w:shd w:val="clear" w:color="auto" w:fill="CFF0FC"/>
          </w:tcPr>
          <w:p>
            <w:pPr>
              <w:spacing w:after="0"/>
              <w:rPr>
                <w:sz w:val="22"/>
                <w:szCs w:val="22"/>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37,621</w:t>
            </w:r>
          </w:p>
        </w:tc>
        <w:tc>
          <w:tcPr>
            <w:tcW w:w="1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25,792</w:t>
            </w:r>
          </w:p>
        </w:tc>
      </w:tr>
      <w:tr>
        <w:trPr>
          <w:trHeight w:val="250"/>
        </w:trPr>
        <w:tc>
          <w:tcPr>
            <w:tcW w:w="7740" w:type="dxa"/>
            <w:vAlign w:val="bottom"/>
          </w:tcPr>
          <w:p>
            <w:pPr>
              <w:ind w:left="120"/>
              <w:spacing w:after="0"/>
              <w:rPr>
                <w:sz w:val="20"/>
                <w:szCs w:val="20"/>
                <w:color w:val="auto"/>
              </w:rPr>
            </w:pPr>
            <w:r>
              <w:rPr>
                <w:rFonts w:ascii="Arial" w:cs="Arial" w:eastAsia="Arial" w:hAnsi="Arial"/>
                <w:sz w:val="18"/>
                <w:szCs w:val="18"/>
                <w:color w:val="auto"/>
              </w:rPr>
              <w:t>Right-of-use lease assets</w:t>
            </w:r>
          </w:p>
        </w:tc>
        <w:tc>
          <w:tcPr>
            <w:tcW w:w="6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44,162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53,444</w:t>
            </w:r>
          </w:p>
        </w:tc>
      </w:tr>
      <w:tr>
        <w:trPr>
          <w:trHeight w:val="263"/>
        </w:trPr>
        <w:tc>
          <w:tcPr>
            <w:tcW w:w="77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Deferred tax asset, net</w:t>
            </w:r>
          </w:p>
        </w:tc>
        <w:tc>
          <w:tcPr>
            <w:tcW w:w="640" w:type="dxa"/>
            <w:vAlign w:val="bottom"/>
            <w:tcBorders>
              <w:bottom w:val="single" w:sz="8" w:color="auto"/>
            </w:tcBorders>
            <w:shd w:val="clear" w:color="auto" w:fill="CFF0FC"/>
          </w:tcPr>
          <w:p>
            <w:pPr>
              <w:spacing w:after="0"/>
              <w:rPr>
                <w:sz w:val="22"/>
                <w:szCs w:val="22"/>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18,362</w:t>
            </w:r>
          </w:p>
        </w:tc>
        <w:tc>
          <w:tcPr>
            <w:tcW w:w="1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14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1,214</w:t>
            </w:r>
          </w:p>
        </w:tc>
      </w:tr>
      <w:tr>
        <w:trPr>
          <w:trHeight w:val="250"/>
        </w:trPr>
        <w:tc>
          <w:tcPr>
            <w:tcW w:w="7740" w:type="dxa"/>
            <w:vAlign w:val="bottom"/>
          </w:tcPr>
          <w:p>
            <w:pPr>
              <w:ind w:left="200"/>
              <w:spacing w:after="0"/>
              <w:rPr>
                <w:sz w:val="20"/>
                <w:szCs w:val="20"/>
                <w:color w:val="auto"/>
              </w:rPr>
            </w:pPr>
            <w:r>
              <w:rPr>
                <w:rFonts w:ascii="Arial" w:cs="Arial" w:eastAsia="Arial" w:hAnsi="Arial"/>
                <w:sz w:val="18"/>
                <w:szCs w:val="18"/>
                <w:color w:val="auto"/>
              </w:rPr>
              <w:t>Total assets</w:t>
            </w: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663,660</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542,953</w:t>
            </w:r>
          </w:p>
        </w:tc>
      </w:tr>
      <w:tr>
        <w:trPr>
          <w:trHeight w:val="20"/>
        </w:trPr>
        <w:tc>
          <w:tcPr>
            <w:tcW w:w="77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64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r>
      <w:tr>
        <w:trPr>
          <w:trHeight w:val="250"/>
        </w:trPr>
        <w:tc>
          <w:tcPr>
            <w:tcW w:w="7740" w:type="dxa"/>
            <w:vAlign w:val="bottom"/>
          </w:tcPr>
          <w:p>
            <w:pPr>
              <w:ind w:left="120"/>
              <w:spacing w:after="0"/>
              <w:rPr>
                <w:sz w:val="20"/>
                <w:szCs w:val="20"/>
                <w:color w:val="auto"/>
              </w:rPr>
            </w:pPr>
            <w:r>
              <w:rPr>
                <w:rFonts w:ascii="Arial" w:cs="Arial" w:eastAsia="Arial" w:hAnsi="Arial"/>
                <w:sz w:val="18"/>
                <w:szCs w:val="18"/>
                <w:color w:val="auto"/>
              </w:rPr>
              <w:t>Accrued compensation and benefits</w:t>
            </w: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265,130</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213,524</w:t>
            </w:r>
          </w:p>
        </w:tc>
      </w:tr>
      <w:tr>
        <w:trPr>
          <w:trHeight w:val="263"/>
        </w:trPr>
        <w:tc>
          <w:tcPr>
            <w:tcW w:w="77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Deferred compensation programs</w:t>
            </w:r>
          </w:p>
        </w:tc>
        <w:tc>
          <w:tcPr>
            <w:tcW w:w="640" w:type="dxa"/>
            <w:vAlign w:val="bottom"/>
            <w:shd w:val="clear" w:color="auto" w:fill="CFF0FC"/>
          </w:tcPr>
          <w:p>
            <w:pPr>
              <w:spacing w:after="0"/>
              <w:rPr>
                <w:sz w:val="22"/>
                <w:szCs w:val="22"/>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13,798</w:t>
            </w:r>
          </w:p>
        </w:tc>
        <w:tc>
          <w:tcPr>
            <w:tcW w:w="1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17,208</w:t>
            </w:r>
          </w:p>
        </w:tc>
      </w:tr>
      <w:tr>
        <w:trPr>
          <w:trHeight w:val="250"/>
        </w:trPr>
        <w:tc>
          <w:tcPr>
            <w:tcW w:w="7740" w:type="dxa"/>
            <w:vAlign w:val="bottom"/>
          </w:tcPr>
          <w:p>
            <w:pPr>
              <w:ind w:left="120"/>
              <w:spacing w:after="0"/>
              <w:rPr>
                <w:sz w:val="20"/>
                <w:szCs w:val="20"/>
                <w:color w:val="auto"/>
              </w:rPr>
            </w:pPr>
            <w:r>
              <w:rPr>
                <w:rFonts w:ascii="Arial" w:cs="Arial" w:eastAsia="Arial" w:hAnsi="Arial"/>
                <w:sz w:val="18"/>
                <w:szCs w:val="18"/>
                <w:color w:val="auto"/>
              </w:rPr>
              <w:t>Accounts payable, accrued expenses and other liabilities</w:t>
            </w:r>
          </w:p>
        </w:tc>
        <w:tc>
          <w:tcPr>
            <w:tcW w:w="6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29,848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22,246</w:t>
            </w:r>
          </w:p>
        </w:tc>
      </w:tr>
      <w:tr>
        <w:trPr>
          <w:trHeight w:val="263"/>
        </w:trPr>
        <w:tc>
          <w:tcPr>
            <w:tcW w:w="77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Deferred revenue</w:t>
            </w:r>
          </w:p>
        </w:tc>
        <w:tc>
          <w:tcPr>
            <w:tcW w:w="640" w:type="dxa"/>
            <w:vAlign w:val="bottom"/>
            <w:shd w:val="clear" w:color="auto" w:fill="CFF0FC"/>
          </w:tcPr>
          <w:p>
            <w:pPr>
              <w:spacing w:after="0"/>
              <w:rPr>
                <w:sz w:val="22"/>
                <w:szCs w:val="22"/>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5,939</w:t>
            </w:r>
          </w:p>
        </w:tc>
        <w:tc>
          <w:tcPr>
            <w:tcW w:w="1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10,598</w:t>
            </w:r>
          </w:p>
        </w:tc>
      </w:tr>
      <w:tr>
        <w:trPr>
          <w:trHeight w:val="250"/>
        </w:trPr>
        <w:tc>
          <w:tcPr>
            <w:tcW w:w="7740" w:type="dxa"/>
            <w:vAlign w:val="bottom"/>
          </w:tcPr>
          <w:p>
            <w:pPr>
              <w:ind w:left="120"/>
              <w:spacing w:after="0"/>
              <w:rPr>
                <w:sz w:val="20"/>
                <w:szCs w:val="20"/>
                <w:color w:val="auto"/>
              </w:rPr>
            </w:pPr>
            <w:r>
              <w:rPr>
                <w:rFonts w:ascii="Arial" w:cs="Arial" w:eastAsia="Arial" w:hAnsi="Arial"/>
                <w:sz w:val="18"/>
                <w:szCs w:val="18"/>
                <w:color w:val="auto"/>
              </w:rPr>
              <w:t>Lease liabilities</w:t>
            </w:r>
          </w:p>
        </w:tc>
        <w:tc>
          <w:tcPr>
            <w:tcW w:w="6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47,888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58,229</w:t>
            </w:r>
          </w:p>
        </w:tc>
      </w:tr>
      <w:tr>
        <w:trPr>
          <w:trHeight w:val="263"/>
        </w:trPr>
        <w:tc>
          <w:tcPr>
            <w:tcW w:w="77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Debt, net of unamortized debt discounts and issuance costs</w:t>
            </w:r>
          </w:p>
        </w:tc>
        <w:tc>
          <w:tcPr>
            <w:tcW w:w="640" w:type="dxa"/>
            <w:vAlign w:val="bottom"/>
            <w:shd w:val="clear" w:color="auto" w:fill="CFF0FC"/>
          </w:tcPr>
          <w:p>
            <w:pPr>
              <w:spacing w:after="0"/>
              <w:rPr>
                <w:sz w:val="22"/>
                <w:szCs w:val="22"/>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146,965</w:t>
            </w:r>
          </w:p>
        </w:tc>
      </w:tr>
      <w:tr>
        <w:trPr>
          <w:trHeight w:val="250"/>
        </w:trPr>
        <w:tc>
          <w:tcPr>
            <w:tcW w:w="7740" w:type="dxa"/>
            <w:vAlign w:val="bottom"/>
          </w:tcPr>
          <w:p>
            <w:pPr>
              <w:ind w:left="120"/>
              <w:spacing w:after="0"/>
              <w:rPr>
                <w:sz w:val="20"/>
                <w:szCs w:val="20"/>
                <w:color w:val="auto"/>
              </w:rPr>
            </w:pPr>
            <w:r>
              <w:rPr>
                <w:rFonts w:ascii="Arial" w:cs="Arial" w:eastAsia="Arial" w:hAnsi="Arial"/>
                <w:sz w:val="18"/>
                <w:szCs w:val="18"/>
                <w:color w:val="auto"/>
              </w:rPr>
              <w:t>Warrant liabilities</w:t>
            </w:r>
          </w:p>
        </w:tc>
        <w:tc>
          <w:tcPr>
            <w:tcW w:w="6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24,966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57"/>
        </w:trPr>
        <w:tc>
          <w:tcPr>
            <w:tcW w:w="77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Amount due pursuant to tax receivable agreement</w:t>
            </w:r>
          </w:p>
        </w:tc>
        <w:tc>
          <w:tcPr>
            <w:tcW w:w="640" w:type="dxa"/>
            <w:vAlign w:val="bottom"/>
            <w:tcBorders>
              <w:bottom w:val="single" w:sz="8" w:color="auto"/>
            </w:tcBorders>
            <w:shd w:val="clear" w:color="auto" w:fill="CFF0FC"/>
          </w:tcPr>
          <w:p>
            <w:pPr>
              <w:spacing w:after="0"/>
              <w:rPr>
                <w:sz w:val="22"/>
                <w:szCs w:val="22"/>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14,108</w:t>
            </w:r>
          </w:p>
        </w:tc>
        <w:tc>
          <w:tcPr>
            <w:tcW w:w="120" w:type="dxa"/>
            <w:vAlign w:val="bottom"/>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14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7740" w:type="dxa"/>
            <w:vAlign w:val="bottom"/>
          </w:tcPr>
          <w:p>
            <w:pPr>
              <w:ind w:left="200"/>
              <w:spacing w:after="0"/>
              <w:rPr>
                <w:sz w:val="20"/>
                <w:szCs w:val="20"/>
                <w:color w:val="auto"/>
              </w:rPr>
            </w:pPr>
            <w:r>
              <w:rPr>
                <w:rFonts w:ascii="Arial" w:cs="Arial" w:eastAsia="Arial" w:hAnsi="Arial"/>
                <w:sz w:val="18"/>
                <w:szCs w:val="18"/>
                <w:color w:val="auto"/>
              </w:rPr>
              <w:t>Total liabilities</w:t>
            </w:r>
          </w:p>
        </w:tc>
        <w:tc>
          <w:tcPr>
            <w:tcW w:w="6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401,677</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468,770</w:t>
            </w:r>
          </w:p>
        </w:tc>
      </w:tr>
      <w:tr>
        <w:trPr>
          <w:trHeight w:val="250"/>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Commitments and Contingencies (Note 18)</w:t>
            </w:r>
          </w:p>
        </w:tc>
        <w:tc>
          <w:tcPr>
            <w:tcW w:w="64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r>
      <w:tr>
        <w:trPr>
          <w:trHeight w:val="242"/>
        </w:trPr>
        <w:tc>
          <w:tcPr>
            <w:tcW w:w="7740" w:type="dxa"/>
            <w:vAlign w:val="bottom"/>
          </w:tcPr>
          <w:p>
            <w:pPr>
              <w:ind w:left="120"/>
              <w:spacing w:after="0"/>
              <w:rPr>
                <w:sz w:val="20"/>
                <w:szCs w:val="20"/>
                <w:color w:val="auto"/>
              </w:rPr>
            </w:pPr>
            <w:r>
              <w:rPr>
                <w:rFonts w:ascii="Arial" w:cs="Arial" w:eastAsia="Arial" w:hAnsi="Arial"/>
                <w:sz w:val="18"/>
                <w:szCs w:val="18"/>
                <w:color w:val="auto"/>
                <w:w w:val="95"/>
              </w:rPr>
              <w:t>Class A common stock, par value $0.0001 per share (1,500,000,000 shares authorized, 43,492,498</w:t>
            </w:r>
          </w:p>
        </w:tc>
        <w:tc>
          <w:tcPr>
            <w:tcW w:w="6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37"/>
        </w:trPr>
        <w:tc>
          <w:tcPr>
            <w:tcW w:w="7740" w:type="dxa"/>
            <w:vAlign w:val="bottom"/>
          </w:tcPr>
          <w:p>
            <w:pPr>
              <w:ind w:left="120"/>
              <w:spacing w:after="0"/>
              <w:rPr>
                <w:sz w:val="20"/>
                <w:szCs w:val="20"/>
                <w:color w:val="auto"/>
              </w:rPr>
            </w:pPr>
            <w:r>
              <w:rPr>
                <w:rFonts w:ascii="Arial" w:cs="Arial" w:eastAsia="Arial" w:hAnsi="Arial"/>
                <w:sz w:val="18"/>
                <w:szCs w:val="18"/>
                <w:color w:val="auto"/>
              </w:rPr>
              <w:t>issued and 42,492,498 outstanding at September 30, 2021)</w:t>
            </w: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49"/>
        </w:trPr>
        <w:tc>
          <w:tcPr>
            <w:tcW w:w="7740" w:type="dxa"/>
            <w:vAlign w:val="bottom"/>
            <w:shd w:val="clear" w:color="auto" w:fill="CFF0FC"/>
          </w:tcPr>
          <w:p>
            <w:pPr>
              <w:ind w:left="120"/>
              <w:spacing w:after="0"/>
              <w:rPr>
                <w:sz w:val="20"/>
                <w:szCs w:val="20"/>
                <w:color w:val="auto"/>
              </w:rPr>
            </w:pPr>
            <w:r>
              <w:rPr>
                <w:rFonts w:ascii="Arial" w:cs="Arial" w:eastAsia="Arial" w:hAnsi="Arial"/>
                <w:sz w:val="18"/>
                <w:szCs w:val="18"/>
                <w:color w:val="auto"/>
                <w:w w:val="97"/>
              </w:rPr>
              <w:t>Class B common stock, par value $0.0001 per share (600,000,000 shares authorized, 50,154,199</w:t>
            </w:r>
          </w:p>
        </w:tc>
        <w:tc>
          <w:tcPr>
            <w:tcW w:w="64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r>
      <w:tr>
        <w:trPr>
          <w:trHeight w:val="244"/>
        </w:trPr>
        <w:tc>
          <w:tcPr>
            <w:tcW w:w="77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issued and outstanding at September 30, 2021)</w:t>
            </w:r>
          </w:p>
        </w:tc>
        <w:tc>
          <w:tcPr>
            <w:tcW w:w="64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50"/>
        </w:trPr>
        <w:tc>
          <w:tcPr>
            <w:tcW w:w="7740" w:type="dxa"/>
            <w:vAlign w:val="bottom"/>
          </w:tcPr>
          <w:p>
            <w:pPr>
              <w:ind w:left="120"/>
              <w:spacing w:after="0"/>
              <w:rPr>
                <w:sz w:val="20"/>
                <w:szCs w:val="20"/>
                <w:color w:val="auto"/>
              </w:rPr>
            </w:pPr>
            <w:r>
              <w:rPr>
                <w:rFonts w:ascii="Arial" w:cs="Arial" w:eastAsia="Arial" w:hAnsi="Arial"/>
                <w:sz w:val="18"/>
                <w:szCs w:val="18"/>
                <w:color w:val="auto"/>
              </w:rPr>
              <w:t>Additional paid-in-capital</w:t>
            </w:r>
          </w:p>
        </w:tc>
        <w:tc>
          <w:tcPr>
            <w:tcW w:w="6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152,308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63"/>
        </w:trPr>
        <w:tc>
          <w:tcPr>
            <w:tcW w:w="77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Retained earnings (accumulated deficit)</w:t>
            </w:r>
          </w:p>
        </w:tc>
        <w:tc>
          <w:tcPr>
            <w:tcW w:w="64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(13,336 )</w:t>
            </w:r>
          </w:p>
        </w:tc>
        <w:tc>
          <w:tcPr>
            <w:tcW w:w="1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50"/>
        </w:trPr>
        <w:tc>
          <w:tcPr>
            <w:tcW w:w="7740" w:type="dxa"/>
            <w:vAlign w:val="bottom"/>
          </w:tcPr>
          <w:p>
            <w:pPr>
              <w:ind w:left="120"/>
              <w:spacing w:after="0"/>
              <w:rPr>
                <w:sz w:val="20"/>
                <w:szCs w:val="20"/>
                <w:color w:val="auto"/>
              </w:rPr>
            </w:pPr>
            <w:r>
              <w:rPr>
                <w:rFonts w:ascii="Arial" w:cs="Arial" w:eastAsia="Arial" w:hAnsi="Arial"/>
                <w:sz w:val="18"/>
                <w:szCs w:val="18"/>
                <w:color w:val="auto"/>
              </w:rPr>
              <w:t>Accumulated other comprehensive income (loss)</w:t>
            </w:r>
          </w:p>
        </w:tc>
        <w:tc>
          <w:tcPr>
            <w:tcW w:w="6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(1,774 )</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(2,326 )</w:t>
            </w:r>
          </w:p>
        </w:tc>
      </w:tr>
      <w:tr>
        <w:trPr>
          <w:trHeight w:val="263"/>
        </w:trPr>
        <w:tc>
          <w:tcPr>
            <w:tcW w:w="77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Treasury stock, at cost (1,000,000 shares at September 30, 2021)</w:t>
            </w:r>
          </w:p>
        </w:tc>
        <w:tc>
          <w:tcPr>
            <w:tcW w:w="64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(12,000 )</w:t>
            </w:r>
          </w:p>
        </w:tc>
        <w:tc>
          <w:tcPr>
            <w:tcW w:w="1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57"/>
        </w:trPr>
        <w:tc>
          <w:tcPr>
            <w:tcW w:w="7740" w:type="dxa"/>
            <w:vAlign w:val="bottom"/>
          </w:tcPr>
          <w:p>
            <w:pPr>
              <w:ind w:left="120"/>
              <w:spacing w:after="0"/>
              <w:rPr>
                <w:sz w:val="20"/>
                <w:szCs w:val="20"/>
                <w:color w:val="auto"/>
              </w:rPr>
            </w:pPr>
            <w:r>
              <w:rPr>
                <w:rFonts w:ascii="Arial" w:cs="Arial" w:eastAsia="Arial" w:hAnsi="Arial"/>
                <w:sz w:val="18"/>
                <w:szCs w:val="18"/>
                <w:color w:val="auto"/>
              </w:rPr>
              <w:t>Partners’ capital</w:t>
            </w:r>
          </w:p>
        </w:tc>
        <w:tc>
          <w:tcPr>
            <w:tcW w:w="6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76,509</w:t>
            </w:r>
          </w:p>
        </w:tc>
      </w:tr>
      <w:tr>
        <w:trPr>
          <w:trHeight w:val="250"/>
        </w:trPr>
        <w:tc>
          <w:tcPr>
            <w:tcW w:w="7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Perella Weinberg Partners equity / Partners’ capital</w:t>
            </w:r>
          </w:p>
        </w:tc>
        <w:tc>
          <w:tcPr>
            <w:tcW w:w="64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125,207</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74,183</w:t>
            </w:r>
          </w:p>
        </w:tc>
      </w:tr>
      <w:tr>
        <w:trPr>
          <w:trHeight w:val="250"/>
        </w:trPr>
        <w:tc>
          <w:tcPr>
            <w:tcW w:w="7740" w:type="dxa"/>
            <w:vAlign w:val="bottom"/>
          </w:tcPr>
          <w:p>
            <w:pPr>
              <w:ind w:left="120"/>
              <w:spacing w:after="0"/>
              <w:rPr>
                <w:sz w:val="20"/>
                <w:szCs w:val="20"/>
                <w:color w:val="auto"/>
              </w:rPr>
            </w:pPr>
            <w:r>
              <w:rPr>
                <w:rFonts w:ascii="Arial" w:cs="Arial" w:eastAsia="Arial" w:hAnsi="Arial"/>
                <w:sz w:val="18"/>
                <w:szCs w:val="18"/>
                <w:color w:val="auto"/>
              </w:rPr>
              <w:t>Non-controlling interests</w:t>
            </w:r>
          </w:p>
        </w:tc>
        <w:tc>
          <w:tcPr>
            <w:tcW w:w="6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136,776</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50"/>
        </w:trPr>
        <w:tc>
          <w:tcPr>
            <w:tcW w:w="7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equity</w:t>
            </w:r>
          </w:p>
        </w:tc>
        <w:tc>
          <w:tcPr>
            <w:tcW w:w="64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261,983</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74,183</w:t>
            </w:r>
          </w:p>
        </w:tc>
      </w:tr>
      <w:tr>
        <w:trPr>
          <w:trHeight w:val="250"/>
        </w:trPr>
        <w:tc>
          <w:tcPr>
            <w:tcW w:w="7740" w:type="dxa"/>
            <w:vAlign w:val="bottom"/>
          </w:tcPr>
          <w:p>
            <w:pPr>
              <w:ind w:left="300"/>
              <w:spacing w:after="0"/>
              <w:rPr>
                <w:sz w:val="20"/>
                <w:szCs w:val="20"/>
                <w:color w:val="auto"/>
              </w:rPr>
            </w:pPr>
            <w:r>
              <w:rPr>
                <w:rFonts w:ascii="Arial" w:cs="Arial" w:eastAsia="Arial" w:hAnsi="Arial"/>
                <w:sz w:val="18"/>
                <w:szCs w:val="18"/>
                <w:color w:val="auto"/>
              </w:rPr>
              <w:t>Total liabilities and equity</w:t>
            </w: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663,660</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542,953</w:t>
            </w:r>
          </w:p>
        </w:tc>
      </w:tr>
      <w:tr>
        <w:trPr>
          <w:trHeight w:val="20"/>
        </w:trPr>
        <w:tc>
          <w:tcPr>
            <w:tcW w:w="77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-4137025</wp:posOffset>
            </wp:positionV>
            <wp:extent cx="6858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6061710</wp:posOffset>
            </wp:positionH>
            <wp:positionV relativeFrom="paragraph">
              <wp:posOffset>-2489200</wp:posOffset>
            </wp:positionV>
            <wp:extent cx="93980" cy="1968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-536575</wp:posOffset>
            </wp:positionV>
            <wp:extent cx="6858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-193675</wp:posOffset>
            </wp:positionV>
            <wp:extent cx="6858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18"/>
          <w:szCs w:val="18"/>
          <w:b w:val="1"/>
          <w:bCs w:val="1"/>
          <w:color w:val="auto"/>
        </w:rPr>
        <w:t>Perella Weinberg Partners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6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6"/>
                <w:szCs w:val="16"/>
                <w:b w:val="1"/>
                <w:bCs w:val="1"/>
                <w:color w:val="auto"/>
                <w:w w:val="94"/>
              </w:rPr>
              <w:t>Three Months Ended September 30,</w:t>
            </w: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4"/>
          </w:tcPr>
          <w:p>
            <w:pPr>
              <w:jc w:val="right"/>
              <w:ind w:right="239"/>
              <w:spacing w:after="0"/>
              <w:rPr>
                <w:sz w:val="20"/>
                <w:szCs w:val="20"/>
                <w:color w:val="auto"/>
              </w:rPr>
            </w:pPr>
            <w:r>
              <w:rPr>
                <w:rFonts w:ascii="Arial" w:cs="Arial" w:eastAsia="Arial" w:hAnsi="Arial"/>
                <w:sz w:val="16"/>
                <w:szCs w:val="16"/>
                <w:b w:val="1"/>
                <w:bCs w:val="1"/>
                <w:color w:val="auto"/>
                <w:w w:val="92"/>
              </w:rPr>
              <w:t>Nine Months Ended September 30,</w:t>
            </w:r>
          </w:p>
        </w:tc>
      </w:tr>
      <w:tr>
        <w:trPr>
          <w:trHeight w:val="223"/>
        </w:trPr>
        <w:tc>
          <w:tcPr>
            <w:tcW w:w="5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r>
      <w:tr>
        <w:trPr>
          <w:trHeight w:val="230"/>
        </w:trPr>
        <w:tc>
          <w:tcPr>
            <w:tcW w:w="51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Revenues</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177,427</w:t>
            </w:r>
          </w:p>
        </w:tc>
        <w:tc>
          <w:tcPr>
            <w:tcW w:w="4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122,844</w:t>
            </w: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602,749</w:t>
            </w:r>
          </w:p>
        </w:tc>
        <w:tc>
          <w:tcPr>
            <w:tcW w:w="4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329,841</w:t>
            </w:r>
          </w:p>
        </w:tc>
      </w:tr>
      <w:tr>
        <w:trPr>
          <w:trHeight w:val="220"/>
        </w:trPr>
        <w:tc>
          <w:tcPr>
            <w:tcW w:w="5100" w:type="dxa"/>
            <w:vAlign w:val="bottom"/>
          </w:tcPr>
          <w:p>
            <w:pPr>
              <w:ind w:left="20"/>
              <w:spacing w:after="0"/>
              <w:rPr>
                <w:sz w:val="20"/>
                <w:szCs w:val="20"/>
                <w:color w:val="auto"/>
              </w:rPr>
            </w:pPr>
            <w:r>
              <w:rPr>
                <w:rFonts w:ascii="Arial" w:cs="Arial" w:eastAsia="Arial" w:hAnsi="Arial"/>
                <w:sz w:val="16"/>
                <w:szCs w:val="16"/>
                <w:b w:val="1"/>
                <w:bCs w:val="1"/>
                <w:color w:val="auto"/>
              </w:rPr>
              <w:t>Expenses</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9"/>
        </w:trPr>
        <w:tc>
          <w:tcPr>
            <w:tcW w:w="51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Compensation and benefits</w:t>
            </w:r>
          </w:p>
        </w:tc>
        <w:tc>
          <w:tcPr>
            <w:tcW w:w="160" w:type="dxa"/>
            <w:vAlign w:val="bottom"/>
            <w:shd w:val="clear" w:color="auto" w:fill="CFF0FC"/>
          </w:tcPr>
          <w:p>
            <w:pPr>
              <w:spacing w:after="0"/>
              <w:rPr>
                <w:sz w:val="20"/>
                <w:szCs w:val="20"/>
                <w:color w:val="auto"/>
              </w:rPr>
            </w:pPr>
          </w:p>
        </w:tc>
        <w:tc>
          <w:tcPr>
            <w:tcW w:w="14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113,322</w:t>
            </w: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84,785</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387,196</w:t>
            </w:r>
          </w:p>
        </w:tc>
        <w:tc>
          <w:tcPr>
            <w:tcW w:w="1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229,550</w:t>
            </w:r>
          </w:p>
        </w:tc>
      </w:tr>
      <w:tr>
        <w:trPr>
          <w:trHeight w:val="227"/>
        </w:trPr>
        <w:tc>
          <w:tcPr>
            <w:tcW w:w="5100" w:type="dxa"/>
            <w:vAlign w:val="bottom"/>
          </w:tcPr>
          <w:p>
            <w:pPr>
              <w:ind w:left="120"/>
              <w:spacing w:after="0"/>
              <w:rPr>
                <w:sz w:val="20"/>
                <w:szCs w:val="20"/>
                <w:color w:val="auto"/>
              </w:rPr>
            </w:pPr>
            <w:r>
              <w:rPr>
                <w:rFonts w:ascii="Arial" w:cs="Arial" w:eastAsia="Arial" w:hAnsi="Arial"/>
                <w:sz w:val="16"/>
                <w:szCs w:val="16"/>
                <w:color w:val="auto"/>
              </w:rPr>
              <w:t>Equity-based compensation</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38,050</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6,120</w:t>
            </w: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51,272</w:t>
            </w: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18,484</w:t>
            </w:r>
          </w:p>
        </w:tc>
      </w:tr>
      <w:tr>
        <w:trPr>
          <w:trHeight w:val="226"/>
        </w:trPr>
        <w:tc>
          <w:tcPr>
            <w:tcW w:w="51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Total compensation and benefits</w:t>
            </w: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151,372</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90,905</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438,468</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248,034</w:t>
            </w:r>
          </w:p>
        </w:tc>
      </w:tr>
      <w:tr>
        <w:trPr>
          <w:trHeight w:val="220"/>
        </w:trPr>
        <w:tc>
          <w:tcPr>
            <w:tcW w:w="5100" w:type="dxa"/>
            <w:vAlign w:val="bottom"/>
          </w:tcPr>
          <w:p>
            <w:pPr>
              <w:ind w:left="120"/>
              <w:spacing w:after="0"/>
              <w:rPr>
                <w:sz w:val="20"/>
                <w:szCs w:val="20"/>
                <w:color w:val="auto"/>
              </w:rPr>
            </w:pPr>
            <w:r>
              <w:rPr>
                <w:rFonts w:ascii="Arial" w:cs="Arial" w:eastAsia="Arial" w:hAnsi="Arial"/>
                <w:sz w:val="16"/>
                <w:szCs w:val="16"/>
                <w:color w:val="auto"/>
              </w:rPr>
              <w:t>Professional fees</w:t>
            </w:r>
          </w:p>
        </w:tc>
        <w:tc>
          <w:tcPr>
            <w:tcW w:w="160" w:type="dxa"/>
            <w:vAlign w:val="bottom"/>
          </w:tcPr>
          <w:p>
            <w:pPr>
              <w:spacing w:after="0"/>
              <w:rPr>
                <w:sz w:val="19"/>
                <w:szCs w:val="19"/>
                <w:color w:val="auto"/>
              </w:rPr>
            </w:pP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11,006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6,116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28,954</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34,479</w:t>
            </w:r>
          </w:p>
        </w:tc>
      </w:tr>
      <w:tr>
        <w:trPr>
          <w:trHeight w:val="239"/>
        </w:trPr>
        <w:tc>
          <w:tcPr>
            <w:tcW w:w="51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Technology and infrastructure</w:t>
            </w:r>
          </w:p>
        </w:tc>
        <w:tc>
          <w:tcPr>
            <w:tcW w:w="160" w:type="dxa"/>
            <w:vAlign w:val="bottom"/>
            <w:shd w:val="clear" w:color="auto" w:fill="CFF0FC"/>
          </w:tcPr>
          <w:p>
            <w:pPr>
              <w:spacing w:after="0"/>
              <w:rPr>
                <w:sz w:val="20"/>
                <w:szCs w:val="20"/>
                <w:color w:val="auto"/>
              </w:rPr>
            </w:pPr>
          </w:p>
        </w:tc>
        <w:tc>
          <w:tcPr>
            <w:tcW w:w="14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7,368</w:t>
            </w: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6,969</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21,465</w:t>
            </w:r>
          </w:p>
        </w:tc>
        <w:tc>
          <w:tcPr>
            <w:tcW w:w="1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20,207</w:t>
            </w:r>
          </w:p>
        </w:tc>
      </w:tr>
      <w:tr>
        <w:trPr>
          <w:trHeight w:val="220"/>
        </w:trPr>
        <w:tc>
          <w:tcPr>
            <w:tcW w:w="5100" w:type="dxa"/>
            <w:vAlign w:val="bottom"/>
          </w:tcPr>
          <w:p>
            <w:pPr>
              <w:ind w:left="120"/>
              <w:spacing w:after="0"/>
              <w:rPr>
                <w:sz w:val="20"/>
                <w:szCs w:val="20"/>
                <w:color w:val="auto"/>
              </w:rPr>
            </w:pPr>
            <w:r>
              <w:rPr>
                <w:rFonts w:ascii="Arial" w:cs="Arial" w:eastAsia="Arial" w:hAnsi="Arial"/>
                <w:sz w:val="16"/>
                <w:szCs w:val="16"/>
                <w:color w:val="auto"/>
              </w:rPr>
              <w:t>Rent and occupancy</w:t>
            </w:r>
          </w:p>
        </w:tc>
        <w:tc>
          <w:tcPr>
            <w:tcW w:w="160" w:type="dxa"/>
            <w:vAlign w:val="bottom"/>
          </w:tcPr>
          <w:p>
            <w:pPr>
              <w:spacing w:after="0"/>
              <w:rPr>
                <w:sz w:val="19"/>
                <w:szCs w:val="19"/>
                <w:color w:val="auto"/>
              </w:rPr>
            </w:pP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6,773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6,984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20,068</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20,802</w:t>
            </w:r>
          </w:p>
        </w:tc>
      </w:tr>
      <w:tr>
        <w:trPr>
          <w:trHeight w:val="239"/>
        </w:trPr>
        <w:tc>
          <w:tcPr>
            <w:tcW w:w="51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Travel and related expenses</w:t>
            </w:r>
          </w:p>
        </w:tc>
        <w:tc>
          <w:tcPr>
            <w:tcW w:w="160" w:type="dxa"/>
            <w:vAlign w:val="bottom"/>
            <w:shd w:val="clear" w:color="auto" w:fill="CFF0FC"/>
          </w:tcPr>
          <w:p>
            <w:pPr>
              <w:spacing w:after="0"/>
              <w:rPr>
                <w:sz w:val="20"/>
                <w:szCs w:val="20"/>
                <w:color w:val="auto"/>
              </w:rPr>
            </w:pPr>
          </w:p>
        </w:tc>
        <w:tc>
          <w:tcPr>
            <w:tcW w:w="14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1,629</w:t>
            </w: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391</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3,505</w:t>
            </w:r>
          </w:p>
        </w:tc>
        <w:tc>
          <w:tcPr>
            <w:tcW w:w="1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4,981</w:t>
            </w:r>
          </w:p>
        </w:tc>
      </w:tr>
      <w:tr>
        <w:trPr>
          <w:trHeight w:val="220"/>
        </w:trPr>
        <w:tc>
          <w:tcPr>
            <w:tcW w:w="5100" w:type="dxa"/>
            <w:vAlign w:val="bottom"/>
          </w:tcPr>
          <w:p>
            <w:pPr>
              <w:ind w:left="120"/>
              <w:spacing w:after="0"/>
              <w:rPr>
                <w:sz w:val="20"/>
                <w:szCs w:val="20"/>
                <w:color w:val="auto"/>
              </w:rPr>
            </w:pPr>
            <w:r>
              <w:rPr>
                <w:rFonts w:ascii="Arial" w:cs="Arial" w:eastAsia="Arial" w:hAnsi="Arial"/>
                <w:sz w:val="16"/>
                <w:szCs w:val="16"/>
                <w:color w:val="auto"/>
              </w:rPr>
              <w:t>General, administrative and other expenses</w:t>
            </w:r>
          </w:p>
        </w:tc>
        <w:tc>
          <w:tcPr>
            <w:tcW w:w="160" w:type="dxa"/>
            <w:vAlign w:val="bottom"/>
          </w:tcPr>
          <w:p>
            <w:pPr>
              <w:spacing w:after="0"/>
              <w:rPr>
                <w:sz w:val="19"/>
                <w:szCs w:val="19"/>
                <w:color w:val="auto"/>
              </w:rPr>
            </w:pP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6,127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6,096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12,005</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12,457</w:t>
            </w:r>
          </w:p>
        </w:tc>
      </w:tr>
      <w:tr>
        <w:trPr>
          <w:trHeight w:val="239"/>
        </w:trPr>
        <w:tc>
          <w:tcPr>
            <w:tcW w:w="51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Depreciation and amortization</w:t>
            </w:r>
          </w:p>
        </w:tc>
        <w:tc>
          <w:tcPr>
            <w:tcW w:w="160" w:type="dxa"/>
            <w:vAlign w:val="bottom"/>
            <w:tcBorders>
              <w:bottom w:val="single" w:sz="8" w:color="auto"/>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3,479</w:t>
            </w:r>
          </w:p>
        </w:tc>
        <w:tc>
          <w:tcPr>
            <w:tcW w:w="120" w:type="dxa"/>
            <w:vAlign w:val="bottom"/>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3,851</w:t>
            </w:r>
          </w:p>
        </w:tc>
        <w:tc>
          <w:tcPr>
            <w:tcW w:w="14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11,081</w:t>
            </w:r>
          </w:p>
        </w:tc>
        <w:tc>
          <w:tcPr>
            <w:tcW w:w="140" w:type="dxa"/>
            <w:vAlign w:val="bottom"/>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11,645</w:t>
            </w:r>
          </w:p>
        </w:tc>
      </w:tr>
      <w:tr>
        <w:trPr>
          <w:trHeight w:val="207"/>
        </w:trPr>
        <w:tc>
          <w:tcPr>
            <w:tcW w:w="5100" w:type="dxa"/>
            <w:vAlign w:val="bottom"/>
          </w:tcPr>
          <w:p>
            <w:pPr>
              <w:ind w:left="300"/>
              <w:spacing w:after="0"/>
              <w:rPr>
                <w:sz w:val="20"/>
                <w:szCs w:val="20"/>
                <w:color w:val="auto"/>
              </w:rPr>
            </w:pPr>
            <w:r>
              <w:rPr>
                <w:rFonts w:ascii="Arial" w:cs="Arial" w:eastAsia="Arial" w:hAnsi="Arial"/>
                <w:sz w:val="16"/>
                <w:szCs w:val="16"/>
                <w:color w:val="auto"/>
              </w:rPr>
              <w:t>Total expenses</w:t>
            </w: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187,754</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121,312</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535,546</w:t>
            </w:r>
          </w:p>
        </w:tc>
        <w:tc>
          <w:tcPr>
            <w:tcW w:w="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352,605</w:t>
            </w:r>
          </w:p>
        </w:tc>
      </w:tr>
      <w:tr>
        <w:trPr>
          <w:trHeight w:val="226"/>
        </w:trPr>
        <w:tc>
          <w:tcPr>
            <w:tcW w:w="51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(10,327 )</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1,532</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67,203</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(22,764 )</w:t>
            </w:r>
          </w:p>
        </w:tc>
      </w:tr>
      <w:tr>
        <w:trPr>
          <w:trHeight w:val="220"/>
        </w:trPr>
        <w:tc>
          <w:tcPr>
            <w:tcW w:w="5100" w:type="dxa"/>
            <w:vAlign w:val="bottom"/>
          </w:tcPr>
          <w:p>
            <w:pPr>
              <w:ind w:left="20"/>
              <w:spacing w:after="0"/>
              <w:rPr>
                <w:sz w:val="20"/>
                <w:szCs w:val="20"/>
                <w:color w:val="auto"/>
              </w:rPr>
            </w:pPr>
            <w:r>
              <w:rPr>
                <w:rFonts w:ascii="Arial" w:cs="Arial" w:eastAsia="Arial" w:hAnsi="Arial"/>
                <w:sz w:val="16"/>
                <w:szCs w:val="16"/>
                <w:b w:val="1"/>
                <w:bCs w:val="1"/>
                <w:color w:val="auto"/>
              </w:rPr>
              <w:t>Non-operating income (expenses)</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9"/>
        </w:trPr>
        <w:tc>
          <w:tcPr>
            <w:tcW w:w="51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Related party income</w:t>
            </w:r>
          </w:p>
        </w:tc>
        <w:tc>
          <w:tcPr>
            <w:tcW w:w="160" w:type="dxa"/>
            <w:vAlign w:val="bottom"/>
            <w:shd w:val="clear" w:color="auto" w:fill="CFF0FC"/>
          </w:tcPr>
          <w:p>
            <w:pPr>
              <w:spacing w:after="0"/>
              <w:rPr>
                <w:sz w:val="20"/>
                <w:szCs w:val="20"/>
                <w:color w:val="auto"/>
              </w:rPr>
            </w:pPr>
          </w:p>
        </w:tc>
        <w:tc>
          <w:tcPr>
            <w:tcW w:w="14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1,529</w:t>
            </w: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2,412</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5,303</w:t>
            </w:r>
          </w:p>
        </w:tc>
        <w:tc>
          <w:tcPr>
            <w:tcW w:w="1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7,183</w:t>
            </w:r>
          </w:p>
        </w:tc>
      </w:tr>
      <w:tr>
        <w:trPr>
          <w:trHeight w:val="220"/>
        </w:trPr>
        <w:tc>
          <w:tcPr>
            <w:tcW w:w="5100" w:type="dxa"/>
            <w:vAlign w:val="bottom"/>
          </w:tcPr>
          <w:p>
            <w:pPr>
              <w:ind w:left="120"/>
              <w:spacing w:after="0"/>
              <w:rPr>
                <w:sz w:val="20"/>
                <w:szCs w:val="20"/>
                <w:color w:val="auto"/>
              </w:rPr>
            </w:pPr>
            <w:r>
              <w:rPr>
                <w:rFonts w:ascii="Arial" w:cs="Arial" w:eastAsia="Arial" w:hAnsi="Arial"/>
                <w:sz w:val="16"/>
                <w:szCs w:val="16"/>
                <w:color w:val="auto"/>
              </w:rPr>
              <w:t>Other income (expense)</w:t>
            </w:r>
          </w:p>
        </w:tc>
        <w:tc>
          <w:tcPr>
            <w:tcW w:w="160" w:type="dxa"/>
            <w:vAlign w:val="bottom"/>
          </w:tcPr>
          <w:p>
            <w:pPr>
              <w:spacing w:after="0"/>
              <w:rPr>
                <w:sz w:val="19"/>
                <w:szCs w:val="19"/>
                <w:color w:val="auto"/>
              </w:rPr>
            </w:pP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2,564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(126 )</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1,236</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2,724</w:t>
            </w:r>
          </w:p>
        </w:tc>
      </w:tr>
      <w:tr>
        <w:trPr>
          <w:trHeight w:val="239"/>
        </w:trPr>
        <w:tc>
          <w:tcPr>
            <w:tcW w:w="51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Change in fair value of warrant liabilities</w:t>
            </w:r>
          </w:p>
        </w:tc>
        <w:tc>
          <w:tcPr>
            <w:tcW w:w="16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(3,006 )</w:t>
            </w: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(2,058 )</w:t>
            </w:r>
          </w:p>
        </w:tc>
        <w:tc>
          <w:tcPr>
            <w:tcW w:w="1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20"/>
        </w:trPr>
        <w:tc>
          <w:tcPr>
            <w:tcW w:w="5100" w:type="dxa"/>
            <w:vAlign w:val="bottom"/>
          </w:tcPr>
          <w:p>
            <w:pPr>
              <w:ind w:left="120"/>
              <w:spacing w:after="0"/>
              <w:rPr>
                <w:sz w:val="20"/>
                <w:szCs w:val="20"/>
                <w:color w:val="auto"/>
              </w:rPr>
            </w:pPr>
            <w:r>
              <w:rPr>
                <w:rFonts w:ascii="Arial" w:cs="Arial" w:eastAsia="Arial" w:hAnsi="Arial"/>
                <w:sz w:val="16"/>
                <w:szCs w:val="16"/>
                <w:color w:val="auto"/>
              </w:rPr>
              <w:t>Loss on debt extinguishment</w:t>
            </w:r>
          </w:p>
        </w:tc>
        <w:tc>
          <w:tcPr>
            <w:tcW w:w="160" w:type="dxa"/>
            <w:vAlign w:val="bottom"/>
          </w:tcPr>
          <w:p>
            <w:pPr>
              <w:spacing w:after="0"/>
              <w:rPr>
                <w:sz w:val="19"/>
                <w:szCs w:val="19"/>
                <w:color w:val="auto"/>
              </w:rPr>
            </w:pP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(39,408 )</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36"/>
        </w:trPr>
        <w:tc>
          <w:tcPr>
            <w:tcW w:w="51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Interest expense</w:t>
            </w:r>
          </w:p>
        </w:tc>
        <w:tc>
          <w:tcPr>
            <w:tcW w:w="160" w:type="dxa"/>
            <w:vAlign w:val="bottom"/>
            <w:tcBorders>
              <w:bottom w:val="single" w:sz="8" w:color="auto"/>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(72 )</w:t>
            </w:r>
          </w:p>
        </w:tc>
        <w:tc>
          <w:tcPr>
            <w:tcW w:w="1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(3,913 )</w:t>
            </w:r>
          </w:p>
        </w:tc>
        <w:tc>
          <w:tcPr>
            <w:tcW w:w="1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(7,536 )</w:t>
            </w:r>
          </w:p>
        </w:tc>
        <w:tc>
          <w:tcPr>
            <w:tcW w:w="1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(11,883 )</w:t>
            </w:r>
          </w:p>
        </w:tc>
      </w:tr>
      <w:tr>
        <w:trPr>
          <w:trHeight w:val="223"/>
        </w:trPr>
        <w:tc>
          <w:tcPr>
            <w:tcW w:w="5100" w:type="dxa"/>
            <w:vAlign w:val="bottom"/>
          </w:tcPr>
          <w:p>
            <w:pPr>
              <w:ind w:left="200"/>
              <w:spacing w:after="0"/>
              <w:rPr>
                <w:sz w:val="20"/>
                <w:szCs w:val="20"/>
                <w:color w:val="auto"/>
              </w:rPr>
            </w:pPr>
            <w:r>
              <w:rPr>
                <w:rFonts w:ascii="Arial" w:cs="Arial" w:eastAsia="Arial" w:hAnsi="Arial"/>
                <w:sz w:val="16"/>
                <w:szCs w:val="16"/>
                <w:color w:val="auto"/>
              </w:rPr>
              <w:t>Total non-operating income (expenses)</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1,015</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(1,627 )</w:t>
            </w: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(42,463 )</w:t>
            </w: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(1,976 )</w:t>
            </w:r>
          </w:p>
        </w:tc>
      </w:tr>
      <w:tr>
        <w:trPr>
          <w:trHeight w:val="226"/>
        </w:trPr>
        <w:tc>
          <w:tcPr>
            <w:tcW w:w="51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Income (loss) before income taxes</w:t>
            </w: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(9,312 )</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(95 )</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24,740</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(24,740 )</w:t>
            </w:r>
          </w:p>
        </w:tc>
      </w:tr>
      <w:tr>
        <w:trPr>
          <w:trHeight w:val="227"/>
        </w:trPr>
        <w:tc>
          <w:tcPr>
            <w:tcW w:w="5100" w:type="dxa"/>
            <w:vAlign w:val="bottom"/>
          </w:tcPr>
          <w:p>
            <w:pPr>
              <w:ind w:left="120"/>
              <w:spacing w:after="0"/>
              <w:rPr>
                <w:sz w:val="20"/>
                <w:szCs w:val="20"/>
                <w:color w:val="auto"/>
              </w:rPr>
            </w:pPr>
            <w:r>
              <w:rPr>
                <w:rFonts w:ascii="Arial" w:cs="Arial" w:eastAsia="Arial" w:hAnsi="Arial"/>
                <w:sz w:val="16"/>
                <w:szCs w:val="16"/>
                <w:color w:val="auto"/>
              </w:rPr>
              <w:t>Income tax benefit (expense)</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(150 )</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(974 )</w:t>
            </w: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(2,695 )</w:t>
            </w: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(2,518 )</w:t>
            </w:r>
          </w:p>
        </w:tc>
      </w:tr>
      <w:tr>
        <w:trPr>
          <w:trHeight w:val="266"/>
        </w:trPr>
        <w:tc>
          <w:tcPr>
            <w:tcW w:w="51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Net income (loss)</w:t>
            </w:r>
          </w:p>
        </w:tc>
        <w:tc>
          <w:tcPr>
            <w:tcW w:w="160" w:type="dxa"/>
            <w:vAlign w:val="bottom"/>
            <w:shd w:val="clear" w:color="auto" w:fill="CFF0FC"/>
          </w:tcPr>
          <w:p>
            <w:pPr>
              <w:spacing w:after="0"/>
              <w:rPr>
                <w:sz w:val="23"/>
                <w:szCs w:val="23"/>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(9,462 )</w:t>
            </w:r>
          </w:p>
        </w:tc>
        <w:tc>
          <w:tcPr>
            <w:tcW w:w="4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(1,069 )</w:t>
            </w:r>
          </w:p>
        </w:tc>
        <w:tc>
          <w:tcPr>
            <w:tcW w:w="14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22,045</w:t>
            </w:r>
          </w:p>
        </w:tc>
        <w:tc>
          <w:tcPr>
            <w:tcW w:w="4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(27,258 )</w:t>
            </w:r>
          </w:p>
        </w:tc>
      </w:tr>
      <w:tr>
        <w:trPr>
          <w:trHeight w:val="207"/>
        </w:trPr>
        <w:tc>
          <w:tcPr>
            <w:tcW w:w="510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Less: Net income (loss) attributable to non-controlling interests</w:t>
            </w:r>
          </w:p>
        </w:tc>
        <w:tc>
          <w:tcPr>
            <w:tcW w:w="160" w:type="dxa"/>
            <w:vAlign w:val="bottom"/>
            <w:tcBorders>
              <w:top w:val="single" w:sz="8" w:color="CFF0FC"/>
              <w:bottom w:val="single" w:sz="8" w:color="auto"/>
            </w:tcBorders>
          </w:tcPr>
          <w:p>
            <w:pPr>
              <w:spacing w:after="0"/>
              <w:rPr>
                <w:sz w:val="18"/>
                <w:szCs w:val="18"/>
                <w:color w:val="auto"/>
              </w:rPr>
            </w:pPr>
          </w:p>
        </w:tc>
        <w:tc>
          <w:tcPr>
            <w:tcW w:w="1440" w:type="dxa"/>
            <w:vAlign w:val="bottom"/>
            <w:tcBorders>
              <w:top w:val="single" w:sz="8" w:color="CFF0FC"/>
              <w:bottom w:val="single" w:sz="8" w:color="auto"/>
            </w:tcBorders>
          </w:tcPr>
          <w:p>
            <w:pPr>
              <w:jc w:val="right"/>
              <w:spacing w:after="0"/>
              <w:rPr>
                <w:sz w:val="20"/>
                <w:szCs w:val="20"/>
                <w:color w:val="auto"/>
              </w:rPr>
            </w:pPr>
            <w:r>
              <w:rPr>
                <w:rFonts w:ascii="Arial" w:cs="Arial" w:eastAsia="Arial" w:hAnsi="Arial"/>
                <w:sz w:val="16"/>
                <w:szCs w:val="16"/>
                <w:color w:val="auto"/>
              </w:rPr>
              <w:t>(12,938 )</w:t>
            </w:r>
          </w:p>
        </w:tc>
        <w:tc>
          <w:tcPr>
            <w:tcW w:w="12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20" w:type="dxa"/>
            <w:vAlign w:val="bottom"/>
            <w:tcBorders>
              <w:top w:val="single" w:sz="8" w:color="CFF0FC"/>
              <w:bottom w:val="single" w:sz="8" w:color="auto"/>
            </w:tcBorders>
          </w:tcPr>
          <w:p>
            <w:pPr>
              <w:spacing w:after="0"/>
              <w:rPr>
                <w:sz w:val="18"/>
                <w:szCs w:val="18"/>
                <w:color w:val="auto"/>
              </w:rPr>
            </w:pPr>
          </w:p>
        </w:tc>
        <w:tc>
          <w:tcPr>
            <w:tcW w:w="1260" w:type="dxa"/>
            <w:vAlign w:val="bottom"/>
            <w:tcBorders>
              <w:top w:val="single" w:sz="8" w:color="CFF0FC"/>
              <w:bottom w:val="single" w:sz="8" w:color="auto"/>
            </w:tcBorders>
          </w:tcPr>
          <w:p>
            <w:pPr>
              <w:jc w:val="right"/>
              <w:ind w:right="39"/>
              <w:spacing w:after="0"/>
              <w:rPr>
                <w:sz w:val="20"/>
                <w:szCs w:val="20"/>
                <w:color w:val="auto"/>
              </w:rPr>
            </w:pPr>
            <w:r>
              <w:rPr>
                <w:rFonts w:ascii="Arial" w:cs="Arial" w:eastAsia="Arial" w:hAnsi="Arial"/>
                <w:sz w:val="16"/>
                <w:szCs w:val="16"/>
                <w:color w:val="auto"/>
              </w:rPr>
              <w:t>31,068</w:t>
            </w:r>
          </w:p>
        </w:tc>
        <w:tc>
          <w:tcPr>
            <w:tcW w:w="14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r>
      <w:tr>
        <w:trPr>
          <w:trHeight w:val="266"/>
        </w:trPr>
        <w:tc>
          <w:tcPr>
            <w:tcW w:w="51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Net income (loss) attributable to Perella Weinberg Partners</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3,476</w:t>
            </w:r>
          </w:p>
        </w:tc>
        <w:tc>
          <w:tcPr>
            <w:tcW w:w="120" w:type="dxa"/>
            <w:vAlign w:val="bottom"/>
            <w:shd w:val="clear" w:color="auto" w:fill="CFF0FC"/>
          </w:tcPr>
          <w:p>
            <w:pPr>
              <w:spacing w:after="0"/>
              <w:rPr>
                <w:sz w:val="23"/>
                <w:szCs w:val="23"/>
                <w:color w:val="auto"/>
              </w:rPr>
            </w:pPr>
          </w:p>
        </w:tc>
        <w:tc>
          <w:tcPr>
            <w:tcW w:w="280" w:type="dxa"/>
            <w:vAlign w:val="bottom"/>
            <w:shd w:val="clear" w:color="auto" w:fill="CFF0FC"/>
          </w:tcPr>
          <w:p>
            <w:pPr>
              <w:spacing w:after="0"/>
              <w:rPr>
                <w:sz w:val="23"/>
                <w:szCs w:val="23"/>
                <w:color w:val="auto"/>
              </w:rPr>
            </w:pPr>
          </w:p>
        </w:tc>
        <w:tc>
          <w:tcPr>
            <w:tcW w:w="1100" w:type="dxa"/>
            <w:vAlign w:val="bottom"/>
            <w:shd w:val="clear" w:color="auto" w:fill="CFF0FC"/>
          </w:tcPr>
          <w:p>
            <w:pPr>
              <w:spacing w:after="0"/>
              <w:rPr>
                <w:sz w:val="23"/>
                <w:szCs w:val="23"/>
                <w:color w:val="auto"/>
              </w:rPr>
            </w:pP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(9,023 )</w:t>
            </w:r>
          </w:p>
        </w:tc>
        <w:tc>
          <w:tcPr>
            <w:tcW w:w="140" w:type="dxa"/>
            <w:vAlign w:val="bottom"/>
            <w:shd w:val="clear" w:color="auto" w:fill="CFF0FC"/>
          </w:tcPr>
          <w:p>
            <w:pPr>
              <w:spacing w:after="0"/>
              <w:rPr>
                <w:sz w:val="23"/>
                <w:szCs w:val="23"/>
                <w:color w:val="auto"/>
              </w:rPr>
            </w:pPr>
          </w:p>
        </w:tc>
        <w:tc>
          <w:tcPr>
            <w:tcW w:w="280" w:type="dxa"/>
            <w:vAlign w:val="bottom"/>
            <w:shd w:val="clear" w:color="auto" w:fill="CFF0FC"/>
          </w:tcPr>
          <w:p>
            <w:pPr>
              <w:spacing w:after="0"/>
              <w:rPr>
                <w:sz w:val="23"/>
                <w:szCs w:val="23"/>
                <w:color w:val="auto"/>
              </w:rPr>
            </w:pPr>
          </w:p>
        </w:tc>
        <w:tc>
          <w:tcPr>
            <w:tcW w:w="1100" w:type="dxa"/>
            <w:vAlign w:val="bottom"/>
            <w:shd w:val="clear" w:color="auto" w:fill="CFF0FC"/>
          </w:tcPr>
          <w:p>
            <w:pPr>
              <w:spacing w:after="0"/>
              <w:rPr>
                <w:sz w:val="23"/>
                <w:szCs w:val="23"/>
                <w:color w:val="auto"/>
              </w:rPr>
            </w:pPr>
          </w:p>
        </w:tc>
      </w:tr>
      <w:tr>
        <w:trPr>
          <w:trHeight w:val="183"/>
        </w:trPr>
        <w:tc>
          <w:tcPr>
            <w:tcW w:w="5100" w:type="dxa"/>
            <w:vAlign w:val="bottom"/>
            <w:tcBorders>
              <w:top w:val="single" w:sz="8" w:color="CFF0FC"/>
            </w:tcBorders>
          </w:tcPr>
          <w:p>
            <w:pPr>
              <w:ind w:left="20"/>
              <w:spacing w:after="0" w:line="183" w:lineRule="exact"/>
              <w:rPr>
                <w:sz w:val="20"/>
                <w:szCs w:val="20"/>
                <w:color w:val="auto"/>
              </w:rPr>
            </w:pPr>
            <w:r>
              <w:rPr>
                <w:rFonts w:ascii="Arial" w:cs="Arial" w:eastAsia="Arial" w:hAnsi="Arial"/>
                <w:sz w:val="16"/>
                <w:szCs w:val="16"/>
                <w:b w:val="1"/>
                <w:bCs w:val="1"/>
                <w:color w:val="auto"/>
              </w:rPr>
              <w:t>Net income (loss) per share attributable to Class A common</w:t>
            </w:r>
          </w:p>
        </w:tc>
        <w:tc>
          <w:tcPr>
            <w:tcW w:w="16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280" w:type="dxa"/>
            <w:vAlign w:val="bottom"/>
            <w:tcBorders>
              <w:top w:val="single" w:sz="8" w:color="CFF0FC"/>
            </w:tcBorders>
          </w:tcPr>
          <w:p>
            <w:pPr>
              <w:spacing w:after="0"/>
              <w:rPr>
                <w:sz w:val="15"/>
                <w:szCs w:val="15"/>
                <w:color w:val="auto"/>
              </w:rPr>
            </w:pPr>
          </w:p>
        </w:tc>
        <w:tc>
          <w:tcPr>
            <w:tcW w:w="1100" w:type="dxa"/>
            <w:vAlign w:val="bottom"/>
            <w:tcBorders>
              <w:top w:val="single" w:sz="8" w:color="CFF0FC"/>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280" w:type="dxa"/>
            <w:vAlign w:val="bottom"/>
            <w:tcBorders>
              <w:top w:val="single" w:sz="8" w:color="CFF0FC"/>
            </w:tcBorders>
          </w:tcPr>
          <w:p>
            <w:pPr>
              <w:spacing w:after="0"/>
              <w:rPr>
                <w:sz w:val="15"/>
                <w:szCs w:val="15"/>
                <w:color w:val="auto"/>
              </w:rPr>
            </w:pPr>
          </w:p>
        </w:tc>
        <w:tc>
          <w:tcPr>
            <w:tcW w:w="1100" w:type="dxa"/>
            <w:vAlign w:val="bottom"/>
            <w:tcBorders>
              <w:top w:val="single" w:sz="8" w:color="CFF0FC"/>
            </w:tcBorders>
          </w:tcPr>
          <w:p>
            <w:pPr>
              <w:spacing w:after="0"/>
              <w:rPr>
                <w:sz w:val="15"/>
                <w:szCs w:val="15"/>
                <w:color w:val="auto"/>
              </w:rPr>
            </w:pPr>
          </w:p>
        </w:tc>
      </w:tr>
      <w:tr>
        <w:trPr>
          <w:trHeight w:val="220"/>
        </w:trPr>
        <w:tc>
          <w:tcPr>
            <w:tcW w:w="5100" w:type="dxa"/>
            <w:vAlign w:val="bottom"/>
          </w:tcPr>
          <w:p>
            <w:pPr>
              <w:ind w:left="20"/>
              <w:spacing w:after="0"/>
              <w:rPr>
                <w:sz w:val="20"/>
                <w:szCs w:val="20"/>
                <w:color w:val="auto"/>
              </w:rPr>
            </w:pPr>
            <w:r>
              <w:rPr>
                <w:rFonts w:ascii="Arial" w:cs="Arial" w:eastAsia="Arial" w:hAnsi="Arial"/>
                <w:sz w:val="16"/>
                <w:szCs w:val="16"/>
                <w:b w:val="1"/>
                <w:bCs w:val="1"/>
                <w:color w:val="auto"/>
              </w:rPr>
              <w:t>shareholders (1)</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9"/>
        </w:trPr>
        <w:tc>
          <w:tcPr>
            <w:tcW w:w="51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Basic</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0.08</w:t>
            </w: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(0.21 )</w:t>
            </w:r>
          </w:p>
        </w:tc>
        <w:tc>
          <w:tcPr>
            <w:tcW w:w="1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r>
      <w:tr>
        <w:trPr>
          <w:trHeight w:val="220"/>
        </w:trPr>
        <w:tc>
          <w:tcPr>
            <w:tcW w:w="5100" w:type="dxa"/>
            <w:vAlign w:val="bottom"/>
          </w:tcPr>
          <w:p>
            <w:pPr>
              <w:ind w:left="120"/>
              <w:spacing w:after="0"/>
              <w:rPr>
                <w:sz w:val="20"/>
                <w:szCs w:val="20"/>
                <w:color w:val="auto"/>
              </w:rPr>
            </w:pPr>
            <w:r>
              <w:rPr>
                <w:rFonts w:ascii="Arial" w:cs="Arial" w:eastAsia="Arial" w:hAnsi="Arial"/>
                <w:sz w:val="16"/>
                <w:szCs w:val="16"/>
                <w:color w:val="auto"/>
              </w:rPr>
              <w:t>Diluted</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(0.09 )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(0.40 )</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9"/>
        </w:trPr>
        <w:tc>
          <w:tcPr>
            <w:tcW w:w="51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w w:val="98"/>
              </w:rPr>
              <w:t>Weighted-average shares of Class A common stock outstanding (1)</w:t>
            </w:r>
          </w:p>
        </w:tc>
        <w:tc>
          <w:tcPr>
            <w:tcW w:w="16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r>
      <w:tr>
        <w:trPr>
          <w:trHeight w:val="220"/>
        </w:trPr>
        <w:tc>
          <w:tcPr>
            <w:tcW w:w="5100" w:type="dxa"/>
            <w:vAlign w:val="bottom"/>
          </w:tcPr>
          <w:p>
            <w:pPr>
              <w:ind w:left="120"/>
              <w:spacing w:after="0"/>
              <w:rPr>
                <w:sz w:val="20"/>
                <w:szCs w:val="20"/>
                <w:color w:val="auto"/>
              </w:rPr>
            </w:pPr>
            <w:r>
              <w:rPr>
                <w:rFonts w:ascii="Arial" w:cs="Arial" w:eastAsia="Arial" w:hAnsi="Arial"/>
                <w:sz w:val="16"/>
                <w:szCs w:val="16"/>
                <w:color w:val="auto"/>
              </w:rPr>
              <w:t>Basic</w:t>
            </w:r>
          </w:p>
        </w:tc>
        <w:tc>
          <w:tcPr>
            <w:tcW w:w="160" w:type="dxa"/>
            <w:vAlign w:val="bottom"/>
          </w:tcPr>
          <w:p>
            <w:pPr>
              <w:spacing w:after="0"/>
              <w:rPr>
                <w:sz w:val="19"/>
                <w:szCs w:val="19"/>
                <w:color w:val="auto"/>
              </w:rPr>
            </w:pP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42,572,813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42,599,954</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9"/>
        </w:trPr>
        <w:tc>
          <w:tcPr>
            <w:tcW w:w="51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Diluted</w:t>
            </w:r>
          </w:p>
        </w:tc>
        <w:tc>
          <w:tcPr>
            <w:tcW w:w="160" w:type="dxa"/>
            <w:vAlign w:val="bottom"/>
            <w:shd w:val="clear" w:color="auto" w:fill="CFF0FC"/>
          </w:tcPr>
          <w:p>
            <w:pPr>
              <w:spacing w:after="0"/>
              <w:rPr>
                <w:sz w:val="20"/>
                <w:szCs w:val="20"/>
                <w:color w:val="auto"/>
              </w:rPr>
            </w:pPr>
          </w:p>
        </w:tc>
        <w:tc>
          <w:tcPr>
            <w:tcW w:w="14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92,727,012</w:t>
            </w: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92,754,153</w:t>
            </w:r>
          </w:p>
        </w:tc>
        <w:tc>
          <w:tcPr>
            <w:tcW w:w="1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4235450</wp:posOffset>
            </wp:positionH>
            <wp:positionV relativeFrom="paragraph">
              <wp:posOffset>-3149600</wp:posOffset>
            </wp:positionV>
            <wp:extent cx="111125" cy="1797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111125" cy="179705"/>
                    </a:xfrm>
                    <a:prstGeom prst="rect">
                      <a:avLst/>
                    </a:prstGeom>
                    <a:noFill/>
                  </pic:spPr>
                </pic:pic>
              </a:graphicData>
            </a:graphic>
          </wp:anchor>
        </w:drawing>
        <w:drawing>
          <wp:anchor simplePos="0" relativeHeight="251657728" behindDoc="1" locked="0" layoutInCell="0" allowOverlap="1">
            <wp:simplePos x="0" y="0"/>
            <wp:positionH relativeFrom="column">
              <wp:posOffset>5195570</wp:posOffset>
            </wp:positionH>
            <wp:positionV relativeFrom="paragraph">
              <wp:posOffset>-3149600</wp:posOffset>
            </wp:positionV>
            <wp:extent cx="111125" cy="1797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111125" cy="179705"/>
                    </a:xfrm>
                    <a:prstGeom prst="rect">
                      <a:avLst/>
                    </a:prstGeom>
                    <a:noFill/>
                  </pic:spPr>
                </pic:pic>
              </a:graphicData>
            </a:graphic>
          </wp:anchor>
        </w:drawing>
        <w:drawing>
          <wp:anchor simplePos="0" relativeHeight="251657728" behindDoc="1" locked="0" layoutInCell="0" allowOverlap="1">
            <wp:simplePos x="0" y="0"/>
            <wp:positionH relativeFrom="column">
              <wp:posOffset>6164580</wp:posOffset>
            </wp:positionH>
            <wp:positionV relativeFrom="paragraph">
              <wp:posOffset>-3149600</wp:posOffset>
            </wp:positionV>
            <wp:extent cx="111125" cy="1797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111125" cy="17970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-1959610</wp:posOffset>
            </wp:positionV>
            <wp:extent cx="85725"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-1959610</wp:posOffset>
            </wp:positionV>
            <wp:extent cx="85725"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-1959610</wp:posOffset>
            </wp:positionV>
            <wp:extent cx="85725"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-1353820</wp:posOffset>
            </wp:positionV>
            <wp:extent cx="8572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-1336675</wp:posOffset>
            </wp:positionV>
            <wp:extent cx="857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-1028065</wp:posOffset>
            </wp:positionV>
            <wp:extent cx="857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-1010920</wp:posOffset>
            </wp:positionV>
            <wp:extent cx="857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-1028065</wp:posOffset>
            </wp:positionV>
            <wp:extent cx="8572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-1010920</wp:posOffset>
            </wp:positionV>
            <wp:extent cx="857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87" w:lineRule="exact"/>
        <w:rPr>
          <w:sz w:val="20"/>
          <w:szCs w:val="20"/>
          <w:color w:val="auto"/>
        </w:rPr>
      </w:pPr>
    </w:p>
    <w:p>
      <w:pPr>
        <w:jc w:val="both"/>
        <w:ind w:left="340" w:hanging="332"/>
        <w:spacing w:after="0" w:line="275"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the nine months ended September 30, 2021, net income (loss) per share of Class A common stock and weighted-average shares of Class A common stock outstanding is representative of the period from June 24, 2021 through September 30, 2021, the period following the Business Combination, as defined in Note 1 – Organization and Nature of Business. For more information, refer to Note 15 – Net Income (Loss) Per Share Attributable to Class A Common Shareholders.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 (unaudited).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18"/>
          <w:szCs w:val="18"/>
          <w:b w:val="1"/>
          <w:bCs w:val="1"/>
          <w:color w:val="auto"/>
        </w:rPr>
        <w:t>Perella Weinberg Partners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6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gridSpan w:val="4"/>
          </w:tcPr>
          <w:p>
            <w:pPr>
              <w:jc w:val="right"/>
              <w:ind w:right="660"/>
              <w:spacing w:after="0"/>
              <w:rPr>
                <w:sz w:val="20"/>
                <w:szCs w:val="20"/>
                <w:color w:val="auto"/>
              </w:rPr>
            </w:pPr>
            <w:r>
              <w:rPr>
                <w:rFonts w:ascii="Arial" w:cs="Arial" w:eastAsia="Arial" w:hAnsi="Arial"/>
                <w:sz w:val="18"/>
                <w:szCs w:val="18"/>
                <w:b w:val="1"/>
                <w:bCs w:val="1"/>
                <w:color w:val="auto"/>
              </w:rPr>
              <w:t>(Dollars in Thousands)</w:t>
            </w: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54"/>
        </w:trPr>
        <w:tc>
          <w:tcPr>
            <w:tcW w:w="5760" w:type="dxa"/>
            <w:vAlign w:val="bottom"/>
          </w:tcPr>
          <w:p>
            <w:pPr>
              <w:spacing w:after="0"/>
              <w:rPr>
                <w:sz w:val="24"/>
                <w:szCs w:val="24"/>
                <w:color w:val="auto"/>
              </w:rPr>
            </w:pPr>
          </w:p>
        </w:tc>
        <w:tc>
          <w:tcPr>
            <w:tcW w:w="2720" w:type="dxa"/>
            <w:vAlign w:val="bottom"/>
            <w:gridSpan w:val="5"/>
          </w:tcPr>
          <w:p>
            <w:pPr>
              <w:ind w:left="20"/>
              <w:spacing w:after="0"/>
              <w:rPr>
                <w:sz w:val="20"/>
                <w:szCs w:val="20"/>
                <w:color w:val="auto"/>
              </w:rPr>
            </w:pPr>
            <w:r>
              <w:rPr>
                <w:rFonts w:ascii="Arial" w:cs="Arial" w:eastAsia="Arial" w:hAnsi="Arial"/>
                <w:sz w:val="18"/>
                <w:szCs w:val="18"/>
                <w:b w:val="1"/>
                <w:bCs w:val="1"/>
                <w:color w:val="auto"/>
                <w:w w:val="97"/>
              </w:rPr>
              <w:t>Three Months Ended September</w:t>
            </w:r>
          </w:p>
        </w:tc>
        <w:tc>
          <w:tcPr>
            <w:tcW w:w="120" w:type="dxa"/>
            <w:vAlign w:val="bottom"/>
          </w:tcPr>
          <w:p>
            <w:pPr>
              <w:spacing w:after="0"/>
              <w:rPr>
                <w:sz w:val="24"/>
                <w:szCs w:val="24"/>
                <w:color w:val="auto"/>
              </w:rPr>
            </w:pPr>
          </w:p>
        </w:tc>
        <w:tc>
          <w:tcPr>
            <w:tcW w:w="2640" w:type="dxa"/>
            <w:vAlign w:val="bottom"/>
            <w:gridSpan w:val="5"/>
          </w:tcPr>
          <w:p>
            <w:pPr>
              <w:jc w:val="center"/>
              <w:ind w:right="70"/>
              <w:spacing w:after="0"/>
              <w:rPr>
                <w:sz w:val="20"/>
                <w:szCs w:val="20"/>
                <w:color w:val="auto"/>
              </w:rPr>
            </w:pPr>
            <w:r>
              <w:rPr>
                <w:rFonts w:ascii="Arial" w:cs="Arial" w:eastAsia="Arial" w:hAnsi="Arial"/>
                <w:sz w:val="18"/>
                <w:szCs w:val="18"/>
                <w:b w:val="1"/>
                <w:bCs w:val="1"/>
                <w:color w:val="auto"/>
                <w:w w:val="90"/>
              </w:rPr>
              <w:t>Nine Months Ended September</w:t>
            </w:r>
          </w:p>
        </w:tc>
      </w:tr>
      <w:tr>
        <w:trPr>
          <w:trHeight w:val="241"/>
        </w:trPr>
        <w:tc>
          <w:tcPr>
            <w:tcW w:w="57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30,</w:t>
            </w: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30,</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250"/>
        </w:trPr>
        <w:tc>
          <w:tcPr>
            <w:tcW w:w="57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r>
      <w:tr>
        <w:trPr>
          <w:trHeight w:val="256"/>
        </w:trPr>
        <w:tc>
          <w:tcPr>
            <w:tcW w:w="57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income (loss)</w:t>
            </w:r>
          </w:p>
        </w:tc>
        <w:tc>
          <w:tcPr>
            <w:tcW w:w="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(9,462 )</w:t>
            </w:r>
          </w:p>
        </w:tc>
        <w:tc>
          <w:tcPr>
            <w:tcW w:w="12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(1,069 )</w:t>
            </w:r>
          </w:p>
        </w:tc>
        <w:tc>
          <w:tcPr>
            <w:tcW w:w="3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22,045</w:t>
            </w:r>
          </w:p>
        </w:tc>
        <w:tc>
          <w:tcPr>
            <w:tcW w:w="10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(27,258 )</w:t>
            </w:r>
          </w:p>
        </w:tc>
      </w:tr>
      <w:tr>
        <w:trPr>
          <w:trHeight w:val="257"/>
        </w:trPr>
        <w:tc>
          <w:tcPr>
            <w:tcW w:w="5760" w:type="dxa"/>
            <w:vAlign w:val="bottom"/>
          </w:tcPr>
          <w:p>
            <w:pPr>
              <w:ind w:left="120"/>
              <w:spacing w:after="0"/>
              <w:rPr>
                <w:sz w:val="20"/>
                <w:szCs w:val="20"/>
                <w:color w:val="auto"/>
              </w:rPr>
            </w:pPr>
            <w:r>
              <w:rPr>
                <w:rFonts w:ascii="Arial" w:cs="Arial" w:eastAsia="Arial" w:hAnsi="Arial"/>
                <w:sz w:val="18"/>
                <w:szCs w:val="18"/>
                <w:color w:val="auto"/>
              </w:rPr>
              <w:t>Foreign currency translation gain (loss)</w:t>
            </w: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(2,086 )</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2,839</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(1,542 )</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348</w:t>
            </w:r>
          </w:p>
        </w:tc>
      </w:tr>
      <w:tr>
        <w:trPr>
          <w:trHeight w:val="290"/>
        </w:trPr>
        <w:tc>
          <w:tcPr>
            <w:tcW w:w="5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Comprehensive income (loss)</w:t>
            </w:r>
          </w:p>
        </w:tc>
        <w:tc>
          <w:tcPr>
            <w:tcW w:w="26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(11,548 )</w:t>
            </w:r>
          </w:p>
        </w:tc>
        <w:tc>
          <w:tcPr>
            <w:tcW w:w="1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1,770</w:t>
            </w:r>
          </w:p>
        </w:tc>
        <w:tc>
          <w:tcPr>
            <w:tcW w:w="1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20,503</w:t>
            </w:r>
          </w:p>
        </w:tc>
        <w:tc>
          <w:tcPr>
            <w:tcW w:w="1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(26,910 )</w:t>
            </w:r>
          </w:p>
        </w:tc>
      </w:tr>
      <w:tr>
        <w:trPr>
          <w:trHeight w:val="237"/>
        </w:trPr>
        <w:tc>
          <w:tcPr>
            <w:tcW w:w="5760" w:type="dxa"/>
            <w:vAlign w:val="bottom"/>
          </w:tcPr>
          <w:p>
            <w:pPr>
              <w:ind w:left="20"/>
              <w:spacing w:after="0"/>
              <w:rPr>
                <w:sz w:val="20"/>
                <w:szCs w:val="20"/>
                <w:color w:val="auto"/>
              </w:rPr>
            </w:pPr>
            <w:r>
              <w:rPr>
                <w:rFonts w:ascii="Arial" w:cs="Arial" w:eastAsia="Arial" w:hAnsi="Arial"/>
                <w:sz w:val="18"/>
                <w:szCs w:val="18"/>
                <w:color w:val="auto"/>
                <w:w w:val="95"/>
              </w:rPr>
              <w:t>Less: Comprehensive income (loss) attributable to non-controlling interests</w:t>
            </w: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(14,068 )</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30,474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90"/>
        </w:trPr>
        <w:tc>
          <w:tcPr>
            <w:tcW w:w="5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w w:val="93"/>
              </w:rPr>
              <w:t>Comprehensive income (loss) attributable to Perella Weinberg Partners</w:t>
            </w:r>
          </w:p>
        </w:tc>
        <w:tc>
          <w:tcPr>
            <w:tcW w:w="2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2,520</w:t>
            </w:r>
          </w:p>
        </w:tc>
        <w:tc>
          <w:tcPr>
            <w:tcW w:w="1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(9,971 )</w:t>
            </w:r>
          </w:p>
        </w:tc>
        <w:tc>
          <w:tcPr>
            <w:tcW w:w="1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5379720</wp:posOffset>
            </wp:positionH>
            <wp:positionV relativeFrom="paragraph">
              <wp:posOffset>-385445</wp:posOffset>
            </wp:positionV>
            <wp:extent cx="774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-367665</wp:posOffset>
            </wp:positionV>
            <wp:extent cx="774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-24765</wp:posOffset>
            </wp:positionV>
            <wp:extent cx="768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-7620</wp:posOffset>
            </wp:positionV>
            <wp:extent cx="768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-24765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-7620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 (unaudited).</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8" w:name="page9"/>
    <w:bookmarkEnd w:id="8"/>
    <w:p>
      <w:pPr>
        <w:ind w:left="4580"/>
        <w:spacing w:after="0"/>
        <w:rPr>
          <w:sz w:val="20"/>
          <w:szCs w:val="20"/>
          <w:color w:val="auto"/>
        </w:rPr>
      </w:pPr>
      <w:r>
        <w:rPr>
          <w:rFonts w:ascii="Arial" w:cs="Arial" w:eastAsia="Arial" w:hAnsi="Arial"/>
          <w:sz w:val="18"/>
          <w:szCs w:val="18"/>
          <w:b w:val="1"/>
          <w:bCs w:val="1"/>
          <w:color w:val="auto"/>
        </w:rPr>
        <w:t>Perella Weinberg Partners</w:t>
      </w:r>
    </w:p>
    <w:p>
      <w:pPr>
        <w:spacing w:after="0" w:line="63"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Condensed Consolidated Statements of Changes in Equity</w:t>
      </w:r>
    </w:p>
    <w:p>
      <w:pPr>
        <w:spacing w:after="0" w:line="50"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(Dollars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2"/>
              </w:rPr>
              <w:t>Shares</w:t>
            </w:r>
          </w:p>
        </w:tc>
        <w:tc>
          <w:tcPr>
            <w:tcW w:w="780" w:type="dxa"/>
            <w:vAlign w:val="bottom"/>
            <w:tcBorders>
              <w:bottom w:val="single" w:sz="8" w:color="auto"/>
            </w:tcBorders>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rPr>
              <w:t>Accumulate</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157"/>
              <w:spacing w:after="0"/>
              <w:rPr>
                <w:sz w:val="20"/>
                <w:szCs w:val="20"/>
                <w:color w:val="auto"/>
              </w:rPr>
            </w:pPr>
            <w:r>
              <w:rPr>
                <w:rFonts w:ascii="Arial" w:cs="Arial" w:eastAsia="Arial" w:hAnsi="Arial"/>
                <w:sz w:val="13"/>
                <w:szCs w:val="13"/>
                <w:b w:val="1"/>
                <w:bCs w:val="1"/>
                <w:color w:val="auto"/>
              </w:rPr>
              <w:t>d</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ind w:right="137"/>
              <w:spacing w:after="0"/>
              <w:rPr>
                <w:sz w:val="20"/>
                <w:szCs w:val="20"/>
                <w:color w:val="auto"/>
              </w:rPr>
            </w:pPr>
            <w:r>
              <w:rPr>
                <w:rFonts w:ascii="Arial" w:cs="Arial" w:eastAsia="Arial" w:hAnsi="Arial"/>
                <w:sz w:val="13"/>
                <w:szCs w:val="13"/>
                <w:b w:val="1"/>
                <w:bCs w:val="1"/>
                <w:color w:val="auto"/>
                <w:w w:val="87"/>
              </w:rPr>
              <w:t>Retained</w:t>
            </w:r>
          </w:p>
        </w:tc>
        <w:tc>
          <w:tcPr>
            <w:tcW w:w="100" w:type="dxa"/>
            <w:vAlign w:val="bottom"/>
          </w:tcPr>
          <w:p>
            <w:pPr>
              <w:spacing w:after="0"/>
              <w:rPr>
                <w:sz w:val="14"/>
                <w:szCs w:val="14"/>
                <w:color w:val="auto"/>
              </w:rPr>
            </w:pPr>
          </w:p>
        </w:tc>
        <w:tc>
          <w:tcPr>
            <w:tcW w:w="700" w:type="dxa"/>
            <w:vAlign w:val="bottom"/>
          </w:tcPr>
          <w:p>
            <w:pPr>
              <w:jc w:val="center"/>
              <w:ind w:right="157"/>
              <w:spacing w:after="0"/>
              <w:rPr>
                <w:sz w:val="20"/>
                <w:szCs w:val="20"/>
                <w:color w:val="auto"/>
              </w:rPr>
            </w:pPr>
            <w:r>
              <w:rPr>
                <w:rFonts w:ascii="Arial" w:cs="Arial" w:eastAsia="Arial" w:hAnsi="Arial"/>
                <w:sz w:val="13"/>
                <w:szCs w:val="13"/>
                <w:b w:val="1"/>
                <w:bCs w:val="1"/>
                <w:color w:val="auto"/>
                <w:w w:val="92"/>
              </w:rPr>
              <w:t>Other</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ind w:right="137"/>
              <w:spacing w:after="0"/>
              <w:rPr>
                <w:sz w:val="20"/>
                <w:szCs w:val="20"/>
                <w:color w:val="auto"/>
              </w:rPr>
            </w:pPr>
            <w:r>
              <w:rPr>
                <w:rFonts w:ascii="Arial" w:cs="Arial" w:eastAsia="Arial" w:hAnsi="Arial"/>
                <w:sz w:val="13"/>
                <w:szCs w:val="13"/>
                <w:b w:val="1"/>
                <w:bCs w:val="1"/>
                <w:color w:val="auto"/>
                <w:w w:val="86"/>
              </w:rPr>
              <w:t>Earnings</w:t>
            </w: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rPr>
              <w:t>Comprehen</w:t>
            </w:r>
          </w:p>
        </w:tc>
        <w:tc>
          <w:tcPr>
            <w:tcW w:w="80" w:type="dxa"/>
            <w:vAlign w:val="bottom"/>
          </w:tcPr>
          <w:p>
            <w:pPr>
              <w:spacing w:after="0"/>
              <w:rPr>
                <w:sz w:val="14"/>
                <w:szCs w:val="14"/>
                <w:color w:val="auto"/>
              </w:rPr>
            </w:pPr>
          </w:p>
        </w:tc>
        <w:tc>
          <w:tcPr>
            <w:tcW w:w="640" w:type="dxa"/>
            <w:vAlign w:val="bottom"/>
          </w:tcPr>
          <w:p>
            <w:pPr>
              <w:jc w:val="center"/>
              <w:ind w:right="117"/>
              <w:spacing w:after="0"/>
              <w:rPr>
                <w:sz w:val="20"/>
                <w:szCs w:val="20"/>
                <w:color w:val="auto"/>
              </w:rPr>
            </w:pPr>
            <w:r>
              <w:rPr>
                <w:rFonts w:ascii="Arial" w:cs="Arial" w:eastAsia="Arial" w:hAnsi="Arial"/>
                <w:sz w:val="13"/>
                <w:szCs w:val="13"/>
                <w:b w:val="1"/>
                <w:bCs w:val="1"/>
                <w:color w:val="auto"/>
                <w:w w:val="87"/>
              </w:rPr>
              <w:t>Non-</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jc w:val="center"/>
              <w:ind w:right="57"/>
              <w:spacing w:after="0"/>
              <w:rPr>
                <w:sz w:val="20"/>
                <w:szCs w:val="20"/>
                <w:color w:val="auto"/>
              </w:rPr>
            </w:pPr>
            <w:r>
              <w:rPr>
                <w:rFonts w:ascii="Arial" w:cs="Arial" w:eastAsia="Arial" w:hAnsi="Arial"/>
                <w:sz w:val="13"/>
                <w:szCs w:val="13"/>
                <w:b w:val="1"/>
                <w:bCs w:val="1"/>
                <w:color w:val="auto"/>
                <w:w w:val="87"/>
              </w:rPr>
              <w:t>Class A</w:t>
            </w:r>
          </w:p>
        </w:tc>
        <w:tc>
          <w:tcPr>
            <w:tcW w:w="780" w:type="dxa"/>
            <w:vAlign w:val="bottom"/>
          </w:tcPr>
          <w:p>
            <w:pPr>
              <w:jc w:val="center"/>
              <w:ind w:right="37"/>
              <w:spacing w:after="0"/>
              <w:rPr>
                <w:sz w:val="20"/>
                <w:szCs w:val="20"/>
                <w:color w:val="auto"/>
              </w:rPr>
            </w:pPr>
            <w:r>
              <w:rPr>
                <w:rFonts w:ascii="Arial" w:cs="Arial" w:eastAsia="Arial" w:hAnsi="Arial"/>
                <w:sz w:val="13"/>
                <w:szCs w:val="13"/>
                <w:b w:val="1"/>
                <w:bCs w:val="1"/>
                <w:color w:val="auto"/>
                <w:w w:val="83"/>
              </w:rPr>
              <w:t>Class B</w:t>
            </w:r>
          </w:p>
        </w:tc>
        <w:tc>
          <w:tcPr>
            <w:tcW w:w="780" w:type="dxa"/>
            <w:vAlign w:val="bottom"/>
          </w:tcPr>
          <w:p>
            <w:pPr>
              <w:spacing w:after="0"/>
              <w:rPr>
                <w:sz w:val="14"/>
                <w:szCs w:val="14"/>
                <w:color w:val="auto"/>
              </w:rPr>
            </w:pPr>
          </w:p>
        </w:tc>
        <w:tc>
          <w:tcPr>
            <w:tcW w:w="600" w:type="dxa"/>
            <w:vAlign w:val="bottom"/>
          </w:tcPr>
          <w:p>
            <w:pPr>
              <w:jc w:val="center"/>
              <w:ind w:left="17"/>
              <w:spacing w:after="0"/>
              <w:rPr>
                <w:sz w:val="20"/>
                <w:szCs w:val="20"/>
                <w:color w:val="auto"/>
              </w:rPr>
            </w:pPr>
            <w:r>
              <w:rPr>
                <w:rFonts w:ascii="Arial" w:cs="Arial" w:eastAsia="Arial" w:hAnsi="Arial"/>
                <w:sz w:val="13"/>
                <w:szCs w:val="13"/>
                <w:b w:val="1"/>
                <w:bCs w:val="1"/>
                <w:color w:val="auto"/>
                <w:w w:val="83"/>
              </w:rPr>
              <w:t>Class A</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center"/>
              <w:ind w:left="1"/>
              <w:spacing w:after="0"/>
              <w:rPr>
                <w:sz w:val="20"/>
                <w:szCs w:val="20"/>
                <w:color w:val="auto"/>
              </w:rPr>
            </w:pPr>
            <w:r>
              <w:rPr>
                <w:rFonts w:ascii="Arial" w:cs="Arial" w:eastAsia="Arial" w:hAnsi="Arial"/>
                <w:sz w:val="13"/>
                <w:szCs w:val="13"/>
                <w:b w:val="1"/>
                <w:bCs w:val="1"/>
                <w:color w:val="auto"/>
                <w:w w:val="83"/>
              </w:rPr>
              <w:t>Class B</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jc w:val="right"/>
              <w:ind w:right="97"/>
              <w:spacing w:after="0"/>
              <w:rPr>
                <w:sz w:val="20"/>
                <w:szCs w:val="20"/>
                <w:color w:val="auto"/>
              </w:rPr>
            </w:pPr>
            <w:r>
              <w:rPr>
                <w:rFonts w:ascii="Arial" w:cs="Arial" w:eastAsia="Arial" w:hAnsi="Arial"/>
                <w:sz w:val="13"/>
                <w:szCs w:val="13"/>
                <w:b w:val="1"/>
                <w:bCs w:val="1"/>
                <w:color w:val="auto"/>
                <w:w w:val="94"/>
              </w:rPr>
              <w:t>Additional</w:t>
            </w: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rPr>
              <w:t>(Accumulat</w:t>
            </w:r>
          </w:p>
        </w:tc>
        <w:tc>
          <w:tcPr>
            <w:tcW w:w="100" w:type="dxa"/>
            <w:vAlign w:val="bottom"/>
          </w:tcPr>
          <w:p>
            <w:pPr>
              <w:spacing w:after="0"/>
              <w:rPr>
                <w:sz w:val="14"/>
                <w:szCs w:val="14"/>
                <w:color w:val="auto"/>
              </w:rPr>
            </w:pPr>
          </w:p>
        </w:tc>
        <w:tc>
          <w:tcPr>
            <w:tcW w:w="700" w:type="dxa"/>
            <w:vAlign w:val="bottom"/>
          </w:tcPr>
          <w:p>
            <w:pPr>
              <w:jc w:val="center"/>
              <w:ind w:right="157"/>
              <w:spacing w:after="0"/>
              <w:rPr>
                <w:sz w:val="20"/>
                <w:szCs w:val="20"/>
                <w:color w:val="auto"/>
              </w:rPr>
            </w:pPr>
            <w:r>
              <w:rPr>
                <w:rFonts w:ascii="Arial" w:cs="Arial" w:eastAsia="Arial" w:hAnsi="Arial"/>
                <w:sz w:val="13"/>
                <w:szCs w:val="13"/>
                <w:b w:val="1"/>
                <w:bCs w:val="1"/>
                <w:color w:val="auto"/>
                <w:w w:val="78"/>
              </w:rPr>
              <w:t>sive</w:t>
            </w:r>
          </w:p>
        </w:tc>
        <w:tc>
          <w:tcPr>
            <w:tcW w:w="720" w:type="dxa"/>
            <w:vAlign w:val="bottom"/>
            <w:gridSpan w:val="2"/>
          </w:tcPr>
          <w:p>
            <w:pPr>
              <w:jc w:val="center"/>
              <w:ind w:right="17"/>
              <w:spacing w:after="0"/>
              <w:rPr>
                <w:sz w:val="20"/>
                <w:szCs w:val="20"/>
                <w:color w:val="auto"/>
              </w:rPr>
            </w:pPr>
            <w:r>
              <w:rPr>
                <w:rFonts w:ascii="Arial" w:cs="Arial" w:eastAsia="Arial" w:hAnsi="Arial"/>
                <w:sz w:val="13"/>
                <w:szCs w:val="13"/>
                <w:b w:val="1"/>
                <w:bCs w:val="1"/>
                <w:color w:val="auto"/>
                <w:w w:val="91"/>
              </w:rPr>
              <w:t>Controllin</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60" w:type="dxa"/>
            <w:vAlign w:val="bottom"/>
          </w:tcPr>
          <w:p>
            <w:pPr>
              <w:spacing w:after="0"/>
              <w:rPr>
                <w:sz w:val="14"/>
                <w:szCs w:val="14"/>
                <w:color w:val="auto"/>
              </w:rPr>
            </w:pPr>
          </w:p>
        </w:tc>
        <w:tc>
          <w:tcPr>
            <w:tcW w:w="780" w:type="dxa"/>
            <w:vAlign w:val="bottom"/>
            <w:gridSpan w:val="2"/>
          </w:tcPr>
          <w:p>
            <w:pPr>
              <w:jc w:val="right"/>
              <w:ind w:right="137"/>
              <w:spacing w:after="0"/>
              <w:rPr>
                <w:sz w:val="20"/>
                <w:szCs w:val="20"/>
                <w:color w:val="auto"/>
              </w:rPr>
            </w:pPr>
            <w:r>
              <w:rPr>
                <w:rFonts w:ascii="Arial" w:cs="Arial" w:eastAsia="Arial" w:hAnsi="Arial"/>
                <w:sz w:val="13"/>
                <w:szCs w:val="13"/>
                <w:b w:val="1"/>
                <w:bCs w:val="1"/>
                <w:color w:val="auto"/>
                <w:w w:val="99"/>
              </w:rPr>
              <w:t>Partners’</w:t>
            </w:r>
          </w:p>
        </w:tc>
        <w:tc>
          <w:tcPr>
            <w:tcW w:w="780" w:type="dxa"/>
            <w:vAlign w:val="bottom"/>
          </w:tcPr>
          <w:p>
            <w:pPr>
              <w:jc w:val="center"/>
              <w:ind w:right="57"/>
              <w:spacing w:after="0"/>
              <w:rPr>
                <w:sz w:val="20"/>
                <w:szCs w:val="20"/>
                <w:color w:val="auto"/>
              </w:rPr>
            </w:pPr>
            <w:r>
              <w:rPr>
                <w:rFonts w:ascii="Arial" w:cs="Arial" w:eastAsia="Arial" w:hAnsi="Arial"/>
                <w:sz w:val="13"/>
                <w:szCs w:val="13"/>
                <w:b w:val="1"/>
                <w:bCs w:val="1"/>
                <w:color w:val="auto"/>
                <w:w w:val="88"/>
              </w:rPr>
              <w:t>Common</w:t>
            </w:r>
          </w:p>
        </w:tc>
        <w:tc>
          <w:tcPr>
            <w:tcW w:w="780" w:type="dxa"/>
            <w:vAlign w:val="bottom"/>
          </w:tcPr>
          <w:p>
            <w:pPr>
              <w:jc w:val="center"/>
              <w:ind w:right="57"/>
              <w:spacing w:after="0"/>
              <w:rPr>
                <w:sz w:val="20"/>
                <w:szCs w:val="20"/>
                <w:color w:val="auto"/>
              </w:rPr>
            </w:pPr>
            <w:r>
              <w:rPr>
                <w:rFonts w:ascii="Arial" w:cs="Arial" w:eastAsia="Arial" w:hAnsi="Arial"/>
                <w:sz w:val="13"/>
                <w:szCs w:val="13"/>
                <w:b w:val="1"/>
                <w:bCs w:val="1"/>
                <w:color w:val="auto"/>
                <w:w w:val="88"/>
              </w:rPr>
              <w:t>Common</w:t>
            </w:r>
          </w:p>
        </w:tc>
        <w:tc>
          <w:tcPr>
            <w:tcW w:w="780" w:type="dxa"/>
            <w:vAlign w:val="bottom"/>
          </w:tcPr>
          <w:p>
            <w:pPr>
              <w:jc w:val="right"/>
              <w:ind w:right="137"/>
              <w:spacing w:after="0"/>
              <w:rPr>
                <w:sz w:val="20"/>
                <w:szCs w:val="20"/>
                <w:color w:val="auto"/>
              </w:rPr>
            </w:pPr>
            <w:r>
              <w:rPr>
                <w:rFonts w:ascii="Arial" w:cs="Arial" w:eastAsia="Arial" w:hAnsi="Arial"/>
                <w:sz w:val="13"/>
                <w:szCs w:val="13"/>
                <w:b w:val="1"/>
                <w:bCs w:val="1"/>
                <w:color w:val="auto"/>
              </w:rPr>
              <w:t>Treasury</w:t>
            </w:r>
          </w:p>
        </w:tc>
        <w:tc>
          <w:tcPr>
            <w:tcW w:w="600" w:type="dxa"/>
            <w:vAlign w:val="bottom"/>
          </w:tcPr>
          <w:p>
            <w:pPr>
              <w:jc w:val="center"/>
              <w:ind w:left="17"/>
              <w:spacing w:after="0"/>
              <w:rPr>
                <w:sz w:val="20"/>
                <w:szCs w:val="20"/>
                <w:color w:val="auto"/>
              </w:rPr>
            </w:pPr>
            <w:r>
              <w:rPr>
                <w:rFonts w:ascii="Arial" w:cs="Arial" w:eastAsia="Arial" w:hAnsi="Arial"/>
                <w:sz w:val="13"/>
                <w:szCs w:val="13"/>
                <w:b w:val="1"/>
                <w:bCs w:val="1"/>
                <w:color w:val="auto"/>
                <w:w w:val="85"/>
              </w:rPr>
              <w:t>Common</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center"/>
              <w:ind w:left="21"/>
              <w:spacing w:after="0"/>
              <w:rPr>
                <w:sz w:val="20"/>
                <w:szCs w:val="20"/>
                <w:color w:val="auto"/>
              </w:rPr>
            </w:pPr>
            <w:r>
              <w:rPr>
                <w:rFonts w:ascii="Arial" w:cs="Arial" w:eastAsia="Arial" w:hAnsi="Arial"/>
                <w:sz w:val="13"/>
                <w:szCs w:val="13"/>
                <w:b w:val="1"/>
                <w:bCs w:val="1"/>
                <w:color w:val="auto"/>
                <w:w w:val="88"/>
              </w:rPr>
              <w:t>Common</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b w:val="1"/>
                <w:bCs w:val="1"/>
                <w:color w:val="auto"/>
                <w:w w:val="98"/>
              </w:rPr>
              <w:t>Treasury</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177"/>
              <w:spacing w:after="0"/>
              <w:rPr>
                <w:sz w:val="20"/>
                <w:szCs w:val="20"/>
                <w:color w:val="auto"/>
              </w:rPr>
            </w:pPr>
            <w:r>
              <w:rPr>
                <w:rFonts w:ascii="Arial" w:cs="Arial" w:eastAsia="Arial" w:hAnsi="Arial"/>
                <w:sz w:val="13"/>
                <w:szCs w:val="13"/>
                <w:b w:val="1"/>
                <w:bCs w:val="1"/>
                <w:color w:val="auto"/>
                <w:w w:val="96"/>
              </w:rPr>
              <w:t>Paid-In</w:t>
            </w:r>
          </w:p>
        </w:tc>
        <w:tc>
          <w:tcPr>
            <w:tcW w:w="80" w:type="dxa"/>
            <w:vAlign w:val="bottom"/>
          </w:tcPr>
          <w:p>
            <w:pPr>
              <w:spacing w:after="0"/>
              <w:rPr>
                <w:sz w:val="14"/>
                <w:szCs w:val="14"/>
                <w:color w:val="auto"/>
              </w:rPr>
            </w:pPr>
          </w:p>
        </w:tc>
        <w:tc>
          <w:tcPr>
            <w:tcW w:w="720" w:type="dxa"/>
            <w:vAlign w:val="bottom"/>
          </w:tcPr>
          <w:p>
            <w:pPr>
              <w:jc w:val="center"/>
              <w:ind w:right="137"/>
              <w:spacing w:after="0"/>
              <w:rPr>
                <w:sz w:val="20"/>
                <w:szCs w:val="20"/>
                <w:color w:val="auto"/>
              </w:rPr>
            </w:pPr>
            <w:r>
              <w:rPr>
                <w:rFonts w:ascii="Arial" w:cs="Arial" w:eastAsia="Arial" w:hAnsi="Arial"/>
                <w:sz w:val="13"/>
                <w:szCs w:val="13"/>
                <w:b w:val="1"/>
                <w:bCs w:val="1"/>
                <w:color w:val="auto"/>
                <w:w w:val="78"/>
              </w:rPr>
              <w:t>ed</w:t>
            </w:r>
          </w:p>
        </w:tc>
        <w:tc>
          <w:tcPr>
            <w:tcW w:w="100" w:type="dxa"/>
            <w:vAlign w:val="bottom"/>
          </w:tcPr>
          <w:p>
            <w:pPr>
              <w:spacing w:after="0"/>
              <w:rPr>
                <w:sz w:val="14"/>
                <w:szCs w:val="14"/>
                <w:color w:val="auto"/>
              </w:rPr>
            </w:pPr>
          </w:p>
        </w:tc>
        <w:tc>
          <w:tcPr>
            <w:tcW w:w="700" w:type="dxa"/>
            <w:vAlign w:val="bottom"/>
          </w:tcPr>
          <w:p>
            <w:pPr>
              <w:jc w:val="right"/>
              <w:ind w:right="217"/>
              <w:spacing w:after="0"/>
              <w:rPr>
                <w:sz w:val="20"/>
                <w:szCs w:val="20"/>
                <w:color w:val="auto"/>
              </w:rPr>
            </w:pPr>
            <w:r>
              <w:rPr>
                <w:rFonts w:ascii="Arial" w:cs="Arial" w:eastAsia="Arial" w:hAnsi="Arial"/>
                <w:sz w:val="13"/>
                <w:szCs w:val="13"/>
                <w:b w:val="1"/>
                <w:bCs w:val="1"/>
                <w:color w:val="auto"/>
                <w:w w:val="87"/>
              </w:rPr>
              <w:t>Income</w:t>
            </w:r>
          </w:p>
        </w:tc>
        <w:tc>
          <w:tcPr>
            <w:tcW w:w="80" w:type="dxa"/>
            <w:vAlign w:val="bottom"/>
          </w:tcPr>
          <w:p>
            <w:pPr>
              <w:spacing w:after="0"/>
              <w:rPr>
                <w:sz w:val="14"/>
                <w:szCs w:val="14"/>
                <w:color w:val="auto"/>
              </w:rPr>
            </w:pPr>
          </w:p>
        </w:tc>
        <w:tc>
          <w:tcPr>
            <w:tcW w:w="640" w:type="dxa"/>
            <w:vAlign w:val="bottom"/>
          </w:tcPr>
          <w:p>
            <w:pPr>
              <w:jc w:val="center"/>
              <w:ind w:right="117"/>
              <w:spacing w:after="0"/>
              <w:rPr>
                <w:sz w:val="20"/>
                <w:szCs w:val="20"/>
                <w:color w:val="auto"/>
              </w:rPr>
            </w:pPr>
            <w:r>
              <w:rPr>
                <w:rFonts w:ascii="Arial" w:cs="Arial" w:eastAsia="Arial" w:hAnsi="Arial"/>
                <w:sz w:val="13"/>
                <w:szCs w:val="13"/>
                <w:b w:val="1"/>
                <w:bCs w:val="1"/>
                <w:color w:val="auto"/>
                <w:w w:val="74"/>
              </w:rPr>
              <w:t>g</w:t>
            </w:r>
          </w:p>
        </w:tc>
        <w:tc>
          <w:tcPr>
            <w:tcW w:w="100" w:type="dxa"/>
            <w:vAlign w:val="bottom"/>
          </w:tcPr>
          <w:p>
            <w:pPr>
              <w:spacing w:after="0"/>
              <w:rPr>
                <w:sz w:val="14"/>
                <w:szCs w:val="14"/>
                <w:color w:val="auto"/>
              </w:rPr>
            </w:pPr>
          </w:p>
        </w:tc>
        <w:tc>
          <w:tcPr>
            <w:tcW w:w="580" w:type="dxa"/>
            <w:vAlign w:val="bottom"/>
          </w:tcPr>
          <w:p>
            <w:pPr>
              <w:jc w:val="right"/>
              <w:ind w:right="15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4"/>
        </w:trPr>
        <w:tc>
          <w:tcPr>
            <w:tcW w:w="18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w w:val="92"/>
              </w:rPr>
              <w:t>Capital</w:t>
            </w:r>
          </w:p>
        </w:tc>
        <w:tc>
          <w:tcPr>
            <w:tcW w:w="78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4"/>
              </w:rPr>
              <w:t>Stock</w:t>
            </w:r>
          </w:p>
        </w:tc>
        <w:tc>
          <w:tcPr>
            <w:tcW w:w="78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4"/>
              </w:rPr>
              <w:t>Stock</w:t>
            </w:r>
          </w:p>
        </w:tc>
        <w:tc>
          <w:tcPr>
            <w:tcW w:w="78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Stock</w:t>
            </w:r>
          </w:p>
        </w:tc>
        <w:tc>
          <w:tcPr>
            <w:tcW w:w="600" w:type="dxa"/>
            <w:vAlign w:val="bottom"/>
            <w:tcBorders>
              <w:bottom w:val="single" w:sz="8" w:color="auto"/>
            </w:tcBorders>
          </w:tcPr>
          <w:p>
            <w:pPr>
              <w:jc w:val="center"/>
              <w:ind w:left="17"/>
              <w:spacing w:after="0"/>
              <w:rPr>
                <w:sz w:val="20"/>
                <w:szCs w:val="20"/>
                <w:color w:val="auto"/>
              </w:rPr>
            </w:pPr>
            <w:r>
              <w:rPr>
                <w:rFonts w:ascii="Arial" w:cs="Arial" w:eastAsia="Arial" w:hAnsi="Arial"/>
                <w:sz w:val="13"/>
                <w:szCs w:val="13"/>
                <w:b w:val="1"/>
                <w:bCs w:val="1"/>
                <w:color w:val="auto"/>
                <w:w w:val="90"/>
              </w:rPr>
              <w:t>Stock</w:t>
            </w:r>
          </w:p>
        </w:tc>
        <w:tc>
          <w:tcPr>
            <w:tcW w:w="1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Borders>
              <w:bottom w:val="single" w:sz="8" w:color="auto"/>
            </w:tcBorders>
          </w:tcPr>
          <w:p>
            <w:pPr>
              <w:jc w:val="center"/>
              <w:ind w:left="21"/>
              <w:spacing w:after="0"/>
              <w:rPr>
                <w:sz w:val="20"/>
                <w:szCs w:val="20"/>
                <w:color w:val="auto"/>
              </w:rPr>
            </w:pPr>
            <w:r>
              <w:rPr>
                <w:rFonts w:ascii="Arial" w:cs="Arial" w:eastAsia="Arial" w:hAnsi="Arial"/>
                <w:sz w:val="13"/>
                <w:szCs w:val="13"/>
                <w:b w:val="1"/>
                <w:bCs w:val="1"/>
                <w:color w:val="auto"/>
                <w:w w:val="84"/>
              </w:rPr>
              <w:t>Stock</w:t>
            </w:r>
          </w:p>
        </w:tc>
        <w:tc>
          <w:tcPr>
            <w:tcW w:w="1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Stock</w:t>
            </w: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w w:val="92"/>
              </w:rPr>
              <w:t>Capital</w:t>
            </w: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37"/>
              <w:spacing w:after="0"/>
              <w:rPr>
                <w:sz w:val="20"/>
                <w:szCs w:val="20"/>
                <w:color w:val="auto"/>
              </w:rPr>
            </w:pPr>
            <w:r>
              <w:rPr>
                <w:rFonts w:ascii="Arial" w:cs="Arial" w:eastAsia="Arial" w:hAnsi="Arial"/>
                <w:sz w:val="13"/>
                <w:szCs w:val="13"/>
                <w:b w:val="1"/>
                <w:bCs w:val="1"/>
                <w:color w:val="auto"/>
                <w:w w:val="90"/>
              </w:rPr>
              <w:t>Deficit)</w:t>
            </w: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157"/>
              <w:spacing w:after="0"/>
              <w:rPr>
                <w:sz w:val="20"/>
                <w:szCs w:val="20"/>
                <w:color w:val="auto"/>
              </w:rPr>
            </w:pPr>
            <w:r>
              <w:rPr>
                <w:rFonts w:ascii="Arial" w:cs="Arial" w:eastAsia="Arial" w:hAnsi="Arial"/>
                <w:sz w:val="13"/>
                <w:szCs w:val="13"/>
                <w:b w:val="1"/>
                <w:bCs w:val="1"/>
                <w:color w:val="auto"/>
                <w:w w:val="81"/>
              </w:rPr>
              <w:t>(Loss)</w:t>
            </w: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117"/>
              <w:spacing w:after="0"/>
              <w:rPr>
                <w:sz w:val="20"/>
                <w:szCs w:val="20"/>
                <w:color w:val="auto"/>
              </w:rPr>
            </w:pPr>
            <w:r>
              <w:rPr>
                <w:rFonts w:ascii="Arial" w:cs="Arial" w:eastAsia="Arial" w:hAnsi="Arial"/>
                <w:sz w:val="13"/>
                <w:szCs w:val="13"/>
                <w:b w:val="1"/>
                <w:bCs w:val="1"/>
                <w:color w:val="auto"/>
                <w:w w:val="84"/>
              </w:rPr>
              <w:t>Interests</w:t>
            </w: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89"/>
        </w:trPr>
        <w:tc>
          <w:tcPr>
            <w:tcW w:w="186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w w:val="97"/>
              </w:rPr>
              <w:t>Balance at December 31, 2019</w:t>
            </w: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87,725</w:t>
            </w:r>
          </w:p>
        </w:tc>
        <w:tc>
          <w:tcPr>
            <w:tcW w:w="7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Borders>
              <w:right w:val="single" w:sz="8" w:color="CFF0FC"/>
            </w:tcBorders>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780" w:type="dxa"/>
            <w:vAlign w:val="bottom"/>
            <w:tcBorders>
              <w:right w:val="single" w:sz="8" w:color="CFF0FC"/>
            </w:tcBorders>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ind w:right="457"/>
              <w:spacing w:after="0"/>
              <w:rPr>
                <w:sz w:val="20"/>
                <w:szCs w:val="20"/>
                <w:color w:val="auto"/>
              </w:rPr>
            </w:pPr>
            <w:r>
              <w:rPr>
                <w:rFonts w:ascii="Arial" w:cs="Arial" w:eastAsia="Arial" w:hAnsi="Arial"/>
                <w:sz w:val="13"/>
                <w:szCs w:val="13"/>
                <w:color w:val="auto"/>
                <w:w w:val="82"/>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660" w:type="dxa"/>
            <w:vAlign w:val="bottom"/>
            <w:gridSpan w:val="2"/>
            <w:shd w:val="clear" w:color="auto" w:fill="CFF0FC"/>
          </w:tcPr>
          <w:p>
            <w:pPr>
              <w:jc w:val="right"/>
              <w:ind w:right="461"/>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660" w:type="dxa"/>
            <w:vAlign w:val="bottom"/>
            <w:gridSpan w:val="2"/>
            <w:shd w:val="clear" w:color="auto" w:fill="CFF0FC"/>
          </w:tcPr>
          <w:p>
            <w:pPr>
              <w:jc w:val="right"/>
              <w:ind w:right="437"/>
              <w:spacing w:after="0"/>
              <w:rPr>
                <w:sz w:val="20"/>
                <w:szCs w:val="20"/>
                <w:color w:val="auto"/>
              </w:rPr>
            </w:pPr>
            <w:r>
              <w:rPr>
                <w:rFonts w:ascii="Arial" w:cs="Arial" w:eastAsia="Arial" w:hAnsi="Arial"/>
                <w:sz w:val="13"/>
                <w:szCs w:val="13"/>
                <w:color w:val="auto"/>
              </w:rPr>
              <w:t>$</w:t>
            </w:r>
          </w:p>
        </w:tc>
        <w:tc>
          <w:tcPr>
            <w:tcW w:w="20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ind w:left="20"/>
              <w:spacing w:after="0"/>
              <w:rPr>
                <w:sz w:val="20"/>
                <w:szCs w:val="20"/>
                <w:color w:val="auto"/>
              </w:rPr>
            </w:pPr>
            <w:r>
              <w:rPr>
                <w:rFonts w:ascii="Arial" w:cs="Arial" w:eastAsia="Arial" w:hAnsi="Arial"/>
                <w:sz w:val="10"/>
                <w:szCs w:val="10"/>
                <w:color w:val="auto"/>
                <w:w w:val="71"/>
              </w:rPr>
              <w:t>$</w:t>
            </w:r>
          </w:p>
        </w:tc>
        <w:tc>
          <w:tcPr>
            <w:tcW w:w="72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ind w:left="20"/>
              <w:spacing w:after="0"/>
              <w:rPr>
                <w:sz w:val="20"/>
                <w:szCs w:val="20"/>
                <w:color w:val="auto"/>
              </w:rPr>
            </w:pPr>
            <w:r>
              <w:rPr>
                <w:rFonts w:ascii="Arial" w:cs="Arial" w:eastAsia="Arial" w:hAnsi="Arial"/>
                <w:sz w:val="13"/>
                <w:szCs w:val="13"/>
                <w:color w:val="auto"/>
                <w:w w:val="82"/>
              </w:rPr>
              <w:t>$</w:t>
            </w:r>
          </w:p>
        </w:tc>
        <w:tc>
          <w:tcPr>
            <w:tcW w:w="7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(5,820 )</w:t>
            </w: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right w:val="single" w:sz="8" w:color="CFF0FC"/>
            </w:tcBorders>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81,905</w:t>
            </w:r>
          </w:p>
        </w:tc>
        <w:tc>
          <w:tcPr>
            <w:tcW w:w="0" w:type="dxa"/>
            <w:vAlign w:val="bottom"/>
          </w:tcPr>
          <w:p>
            <w:pPr>
              <w:spacing w:after="0"/>
              <w:rPr>
                <w:sz w:val="1"/>
                <w:szCs w:val="1"/>
                <w:color w:val="auto"/>
              </w:rPr>
            </w:pPr>
          </w:p>
        </w:tc>
      </w:tr>
      <w:tr>
        <w:trPr>
          <w:trHeight w:val="173"/>
        </w:trPr>
        <w:tc>
          <w:tcPr>
            <w:tcW w:w="1860" w:type="dxa"/>
            <w:vAlign w:val="bottom"/>
          </w:tcPr>
          <w:p>
            <w:pPr>
              <w:ind w:left="120"/>
              <w:spacing w:after="0"/>
              <w:rPr>
                <w:sz w:val="20"/>
                <w:szCs w:val="20"/>
                <w:color w:val="auto"/>
              </w:rPr>
            </w:pPr>
            <w:r>
              <w:rPr>
                <w:rFonts w:ascii="Arial" w:cs="Arial" w:eastAsia="Arial" w:hAnsi="Arial"/>
                <w:sz w:val="13"/>
                <w:szCs w:val="13"/>
                <w:color w:val="auto"/>
                <w:w w:val="94"/>
              </w:rPr>
              <w:t>Cumulative effect of accounting</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860" w:type="dxa"/>
            <w:vAlign w:val="bottom"/>
          </w:tcPr>
          <w:p>
            <w:pPr>
              <w:ind w:left="120"/>
              <w:spacing w:after="0"/>
              <w:rPr>
                <w:sz w:val="20"/>
                <w:szCs w:val="20"/>
                <w:color w:val="auto"/>
              </w:rPr>
            </w:pPr>
            <w:r>
              <w:rPr>
                <w:rFonts w:ascii="Arial" w:cs="Arial" w:eastAsia="Arial" w:hAnsi="Arial"/>
                <w:sz w:val="13"/>
                <w:szCs w:val="13"/>
                <w:color w:val="auto"/>
              </w:rPr>
              <w:t>change</w:t>
            </w:r>
          </w:p>
        </w:tc>
        <w:tc>
          <w:tcPr>
            <w:tcW w:w="100" w:type="dxa"/>
            <w:vAlign w:val="bottom"/>
          </w:tcPr>
          <w:p>
            <w:pPr>
              <w:spacing w:after="0"/>
              <w:rPr>
                <w:sz w:val="14"/>
                <w:szCs w:val="14"/>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(188 )</w:t>
            </w: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6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jc w:val="right"/>
              <w:ind w:right="77"/>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4"/>
                <w:szCs w:val="14"/>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(188 )</w:t>
            </w:r>
          </w:p>
        </w:tc>
        <w:tc>
          <w:tcPr>
            <w:tcW w:w="0" w:type="dxa"/>
            <w:vAlign w:val="bottom"/>
          </w:tcPr>
          <w:p>
            <w:pPr>
              <w:spacing w:after="0"/>
              <w:rPr>
                <w:sz w:val="1"/>
                <w:szCs w:val="1"/>
                <w:color w:val="auto"/>
              </w:rPr>
            </w:pPr>
          </w:p>
        </w:tc>
      </w:tr>
      <w:tr>
        <w:trPr>
          <w:trHeight w:val="197"/>
        </w:trPr>
        <w:tc>
          <w:tcPr>
            <w:tcW w:w="1860" w:type="dxa"/>
            <w:vAlign w:val="bottom"/>
            <w:shd w:val="clear" w:color="auto" w:fill="CFF0FC"/>
          </w:tcPr>
          <w:p>
            <w:pPr>
              <w:ind w:left="120"/>
              <w:spacing w:after="0"/>
              <w:rPr>
                <w:sz w:val="20"/>
                <w:szCs w:val="20"/>
                <w:color w:val="auto"/>
              </w:rPr>
            </w:pPr>
            <w:r>
              <w:rPr>
                <w:rFonts w:ascii="Arial" w:cs="Arial" w:eastAsia="Arial" w:hAnsi="Arial"/>
                <w:sz w:val="13"/>
                <w:szCs w:val="13"/>
                <w:color w:val="auto"/>
              </w:rPr>
              <w:t>Net income (loss)</w:t>
            </w:r>
          </w:p>
        </w:tc>
        <w:tc>
          <w:tcPr>
            <w:tcW w:w="100" w:type="dxa"/>
            <w:vAlign w:val="bottom"/>
            <w:shd w:val="clear" w:color="auto" w:fill="CFF0FC"/>
          </w:tcPr>
          <w:p>
            <w:pPr>
              <w:spacing w:after="0"/>
              <w:rPr>
                <w:sz w:val="17"/>
                <w:szCs w:val="17"/>
                <w:color w:val="auto"/>
              </w:rPr>
            </w:pPr>
          </w:p>
        </w:tc>
        <w:tc>
          <w:tcPr>
            <w:tcW w:w="680" w:type="dxa"/>
            <w:vAlign w:val="bottom"/>
            <w:tcBorders>
              <w:right w:val="single" w:sz="8" w:color="CFF0FC"/>
            </w:tcBorders>
            <w:shd w:val="clear" w:color="auto" w:fill="CFF0FC"/>
          </w:tcPr>
          <w:p>
            <w:pPr>
              <w:jc w:val="right"/>
              <w:ind w:right="17"/>
              <w:spacing w:after="0"/>
              <w:rPr>
                <w:sz w:val="20"/>
                <w:szCs w:val="20"/>
                <w:color w:val="auto"/>
              </w:rPr>
            </w:pPr>
            <w:r>
              <w:rPr>
                <w:rFonts w:ascii="Arial" w:cs="Arial" w:eastAsia="Arial" w:hAnsi="Arial"/>
                <w:sz w:val="13"/>
                <w:szCs w:val="13"/>
                <w:color w:val="auto"/>
              </w:rPr>
              <w:t>(4,062 )</w:t>
            </w:r>
          </w:p>
        </w:tc>
        <w:tc>
          <w:tcPr>
            <w:tcW w:w="7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Borders>
              <w:right w:val="single" w:sz="8" w:color="CFF0FC"/>
            </w:tcBorders>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780" w:type="dxa"/>
            <w:vAlign w:val="bottom"/>
            <w:tcBorders>
              <w:right w:val="single" w:sz="8" w:color="CFF0FC"/>
            </w:tcBorders>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0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FF0FC"/>
          </w:tcPr>
          <w:p>
            <w:pPr>
              <w:spacing w:after="0"/>
              <w:rPr>
                <w:sz w:val="17"/>
                <w:szCs w:val="17"/>
                <w:color w:val="auto"/>
              </w:rPr>
            </w:pPr>
          </w:p>
        </w:tc>
        <w:tc>
          <w:tcPr>
            <w:tcW w:w="6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7"/>
                <w:szCs w:val="17"/>
                <w:color w:val="auto"/>
              </w:rPr>
            </w:pPr>
          </w:p>
        </w:tc>
        <w:tc>
          <w:tcPr>
            <w:tcW w:w="72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700" w:type="dxa"/>
            <w:vAlign w:val="bottom"/>
            <w:tcBorders>
              <w:right w:val="single" w:sz="8" w:color="CFF0FC"/>
            </w:tcBorders>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7"/>
                <w:szCs w:val="17"/>
                <w:color w:val="auto"/>
              </w:rPr>
            </w:pPr>
          </w:p>
        </w:tc>
        <w:tc>
          <w:tcPr>
            <w:tcW w:w="640" w:type="dxa"/>
            <w:vAlign w:val="bottom"/>
            <w:tcBorders>
              <w:right w:val="single" w:sz="8" w:color="CFF0FC"/>
            </w:tcBorders>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(4,062 )</w:t>
            </w:r>
          </w:p>
        </w:tc>
        <w:tc>
          <w:tcPr>
            <w:tcW w:w="0" w:type="dxa"/>
            <w:vAlign w:val="bottom"/>
          </w:tcPr>
          <w:p>
            <w:pPr>
              <w:spacing w:after="0"/>
              <w:rPr>
                <w:sz w:val="1"/>
                <w:szCs w:val="1"/>
                <w:color w:val="auto"/>
              </w:rPr>
            </w:pPr>
          </w:p>
        </w:tc>
      </w:tr>
      <w:tr>
        <w:trPr>
          <w:trHeight w:val="181"/>
        </w:trPr>
        <w:tc>
          <w:tcPr>
            <w:tcW w:w="1860" w:type="dxa"/>
            <w:vAlign w:val="bottom"/>
          </w:tcPr>
          <w:p>
            <w:pPr>
              <w:ind w:left="120"/>
              <w:spacing w:after="0"/>
              <w:rPr>
                <w:sz w:val="20"/>
                <w:szCs w:val="20"/>
                <w:color w:val="auto"/>
              </w:rPr>
            </w:pPr>
            <w:r>
              <w:rPr>
                <w:rFonts w:ascii="Arial" w:cs="Arial" w:eastAsia="Arial" w:hAnsi="Arial"/>
                <w:sz w:val="13"/>
                <w:szCs w:val="13"/>
                <w:color w:val="auto"/>
              </w:rPr>
              <w:t>Equity-based compensation</w:t>
            </w:r>
          </w:p>
        </w:tc>
        <w:tc>
          <w:tcPr>
            <w:tcW w:w="100" w:type="dxa"/>
            <w:vAlign w:val="bottom"/>
          </w:tcPr>
          <w:p>
            <w:pPr>
              <w:spacing w:after="0"/>
              <w:rPr>
                <w:sz w:val="15"/>
                <w:szCs w:val="15"/>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6,185</w:t>
            </w: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6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jc w:val="right"/>
              <w:ind w:right="77"/>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5"/>
                <w:szCs w:val="15"/>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6,185</w:t>
            </w:r>
          </w:p>
        </w:tc>
        <w:tc>
          <w:tcPr>
            <w:tcW w:w="0" w:type="dxa"/>
            <w:vAlign w:val="bottom"/>
          </w:tcPr>
          <w:p>
            <w:pPr>
              <w:spacing w:after="0"/>
              <w:rPr>
                <w:sz w:val="1"/>
                <w:szCs w:val="1"/>
                <w:color w:val="auto"/>
              </w:rPr>
            </w:pPr>
          </w:p>
        </w:tc>
      </w:tr>
      <w:tr>
        <w:trPr>
          <w:trHeight w:val="197"/>
        </w:trPr>
        <w:tc>
          <w:tcPr>
            <w:tcW w:w="1860" w:type="dxa"/>
            <w:vAlign w:val="bottom"/>
            <w:shd w:val="clear" w:color="auto" w:fill="CFF0FC"/>
          </w:tcPr>
          <w:p>
            <w:pPr>
              <w:ind w:left="120"/>
              <w:spacing w:after="0"/>
              <w:rPr>
                <w:sz w:val="20"/>
                <w:szCs w:val="20"/>
                <w:color w:val="auto"/>
              </w:rPr>
            </w:pPr>
            <w:r>
              <w:rPr>
                <w:rFonts w:ascii="Arial" w:cs="Arial" w:eastAsia="Arial" w:hAnsi="Arial"/>
                <w:sz w:val="13"/>
                <w:szCs w:val="13"/>
                <w:color w:val="auto"/>
              </w:rPr>
              <w:t>Distributions to partners</w:t>
            </w:r>
          </w:p>
        </w:tc>
        <w:tc>
          <w:tcPr>
            <w:tcW w:w="100" w:type="dxa"/>
            <w:vAlign w:val="bottom"/>
            <w:shd w:val="clear" w:color="auto" w:fill="CFF0FC"/>
          </w:tcPr>
          <w:p>
            <w:pPr>
              <w:spacing w:after="0"/>
              <w:rPr>
                <w:sz w:val="17"/>
                <w:szCs w:val="17"/>
                <w:color w:val="auto"/>
              </w:rPr>
            </w:pPr>
          </w:p>
        </w:tc>
        <w:tc>
          <w:tcPr>
            <w:tcW w:w="680" w:type="dxa"/>
            <w:vAlign w:val="bottom"/>
            <w:tcBorders>
              <w:right w:val="single" w:sz="8" w:color="CFF0FC"/>
            </w:tcBorders>
            <w:shd w:val="clear" w:color="auto" w:fill="CFF0FC"/>
          </w:tcPr>
          <w:p>
            <w:pPr>
              <w:jc w:val="right"/>
              <w:ind w:right="17"/>
              <w:spacing w:after="0"/>
              <w:rPr>
                <w:sz w:val="20"/>
                <w:szCs w:val="20"/>
                <w:color w:val="auto"/>
              </w:rPr>
            </w:pPr>
            <w:r>
              <w:rPr>
                <w:rFonts w:ascii="Arial" w:cs="Arial" w:eastAsia="Arial" w:hAnsi="Arial"/>
                <w:sz w:val="13"/>
                <w:szCs w:val="13"/>
                <w:color w:val="auto"/>
              </w:rPr>
              <w:t>(9,429 )</w:t>
            </w:r>
          </w:p>
        </w:tc>
        <w:tc>
          <w:tcPr>
            <w:tcW w:w="7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Borders>
              <w:right w:val="single" w:sz="8" w:color="CFF0FC"/>
            </w:tcBorders>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780" w:type="dxa"/>
            <w:vAlign w:val="bottom"/>
            <w:tcBorders>
              <w:right w:val="single" w:sz="8" w:color="CFF0FC"/>
            </w:tcBorders>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0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FF0FC"/>
          </w:tcPr>
          <w:p>
            <w:pPr>
              <w:spacing w:after="0"/>
              <w:rPr>
                <w:sz w:val="17"/>
                <w:szCs w:val="17"/>
                <w:color w:val="auto"/>
              </w:rPr>
            </w:pPr>
          </w:p>
        </w:tc>
        <w:tc>
          <w:tcPr>
            <w:tcW w:w="6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7"/>
                <w:szCs w:val="17"/>
                <w:color w:val="auto"/>
              </w:rPr>
            </w:pPr>
          </w:p>
        </w:tc>
        <w:tc>
          <w:tcPr>
            <w:tcW w:w="72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700" w:type="dxa"/>
            <w:vAlign w:val="bottom"/>
            <w:tcBorders>
              <w:right w:val="single" w:sz="8" w:color="CFF0FC"/>
            </w:tcBorders>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7"/>
                <w:szCs w:val="17"/>
                <w:color w:val="auto"/>
              </w:rPr>
            </w:pPr>
          </w:p>
        </w:tc>
        <w:tc>
          <w:tcPr>
            <w:tcW w:w="640" w:type="dxa"/>
            <w:vAlign w:val="bottom"/>
            <w:tcBorders>
              <w:right w:val="single" w:sz="8" w:color="CFF0FC"/>
            </w:tcBorders>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(9,429 )</w:t>
            </w:r>
          </w:p>
        </w:tc>
        <w:tc>
          <w:tcPr>
            <w:tcW w:w="0" w:type="dxa"/>
            <w:vAlign w:val="bottom"/>
          </w:tcPr>
          <w:p>
            <w:pPr>
              <w:spacing w:after="0"/>
              <w:rPr>
                <w:sz w:val="1"/>
                <w:szCs w:val="1"/>
                <w:color w:val="auto"/>
              </w:rPr>
            </w:pPr>
          </w:p>
        </w:tc>
      </w:tr>
      <w:tr>
        <w:trPr>
          <w:trHeight w:val="181"/>
        </w:trPr>
        <w:tc>
          <w:tcPr>
            <w:tcW w:w="1860" w:type="dxa"/>
            <w:vAlign w:val="bottom"/>
          </w:tcPr>
          <w:p>
            <w:pPr>
              <w:ind w:left="120"/>
              <w:spacing w:after="0"/>
              <w:rPr>
                <w:sz w:val="20"/>
                <w:szCs w:val="20"/>
                <w:color w:val="auto"/>
              </w:rPr>
            </w:pPr>
            <w:r>
              <w:rPr>
                <w:rFonts w:ascii="Arial" w:cs="Arial" w:eastAsia="Arial" w:hAnsi="Arial"/>
                <w:sz w:val="13"/>
                <w:szCs w:val="13"/>
                <w:color w:val="auto"/>
              </w:rPr>
              <w:t>Other</w:t>
            </w:r>
          </w:p>
        </w:tc>
        <w:tc>
          <w:tcPr>
            <w:tcW w:w="100" w:type="dxa"/>
            <w:vAlign w:val="bottom"/>
          </w:tcPr>
          <w:p>
            <w:pPr>
              <w:spacing w:after="0"/>
              <w:rPr>
                <w:sz w:val="15"/>
                <w:szCs w:val="15"/>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(44 )</w:t>
            </w: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6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jc w:val="right"/>
              <w:ind w:right="77"/>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5"/>
                <w:szCs w:val="15"/>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(44 )</w:t>
            </w:r>
          </w:p>
        </w:tc>
        <w:tc>
          <w:tcPr>
            <w:tcW w:w="0" w:type="dxa"/>
            <w:vAlign w:val="bottom"/>
          </w:tcPr>
          <w:p>
            <w:pPr>
              <w:spacing w:after="0"/>
              <w:rPr>
                <w:sz w:val="1"/>
                <w:szCs w:val="1"/>
                <w:color w:val="auto"/>
              </w:rPr>
            </w:pPr>
          </w:p>
        </w:tc>
      </w:tr>
      <w:tr>
        <w:trPr>
          <w:trHeight w:val="181"/>
        </w:trPr>
        <w:tc>
          <w:tcPr>
            <w:tcW w:w="1860" w:type="dxa"/>
            <w:vAlign w:val="bottom"/>
            <w:shd w:val="clear" w:color="auto" w:fill="CFF0FC"/>
          </w:tcPr>
          <w:p>
            <w:pPr>
              <w:ind w:left="120"/>
              <w:spacing w:after="0"/>
              <w:rPr>
                <w:sz w:val="20"/>
                <w:szCs w:val="20"/>
                <w:color w:val="auto"/>
              </w:rPr>
            </w:pPr>
            <w:r>
              <w:rPr>
                <w:rFonts w:ascii="Arial" w:cs="Arial" w:eastAsia="Arial" w:hAnsi="Arial"/>
                <w:sz w:val="13"/>
                <w:szCs w:val="13"/>
                <w:color w:val="auto"/>
              </w:rPr>
              <w:t>Foreign currency translation</w:t>
            </w:r>
          </w:p>
        </w:tc>
        <w:tc>
          <w:tcPr>
            <w:tcW w:w="100" w:type="dxa"/>
            <w:vAlign w:val="bottom"/>
            <w:shd w:val="clear" w:color="auto" w:fill="CFF0FC"/>
          </w:tcPr>
          <w:p>
            <w:pPr>
              <w:spacing w:after="0"/>
              <w:rPr>
                <w:sz w:val="15"/>
                <w:szCs w:val="15"/>
                <w:color w:val="auto"/>
              </w:rPr>
            </w:pPr>
          </w:p>
        </w:tc>
        <w:tc>
          <w:tcPr>
            <w:tcW w:w="680" w:type="dxa"/>
            <w:vAlign w:val="bottom"/>
            <w:tcBorders>
              <w:right w:val="single" w:sz="8" w:color="CFF0FC"/>
            </w:tcBorders>
            <w:vMerge w:val="restart"/>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Borders>
              <w:right w:val="single" w:sz="8" w:color="CFF0FC"/>
            </w:tcBorders>
            <w:vMerge w:val="restart"/>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Borders>
              <w:right w:val="single" w:sz="8" w:color="CFF0FC"/>
            </w:tcBorders>
            <w:vMerge w:val="restart"/>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780" w:type="dxa"/>
            <w:vAlign w:val="bottom"/>
            <w:tcBorders>
              <w:right w:val="single" w:sz="8" w:color="CFF0FC"/>
            </w:tcBorders>
            <w:vMerge w:val="restart"/>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spacing w:after="0"/>
              <w:rPr>
                <w:sz w:val="15"/>
                <w:szCs w:val="15"/>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00" w:type="dxa"/>
            <w:vAlign w:val="bottom"/>
            <w:tcBorders>
              <w:right w:val="single" w:sz="8" w:color="CFF0FC"/>
            </w:tcBorders>
            <w:vMerge w:val="restart"/>
            <w:shd w:val="clear" w:color="auto" w:fill="CFF0FC"/>
          </w:tcPr>
          <w:p>
            <w:pPr>
              <w:jc w:val="right"/>
              <w:ind w:right="77"/>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FF0FC"/>
          </w:tcPr>
          <w:p>
            <w:pPr>
              <w:spacing w:after="0"/>
              <w:rPr>
                <w:sz w:val="15"/>
                <w:szCs w:val="15"/>
                <w:color w:val="auto"/>
              </w:rPr>
            </w:pPr>
          </w:p>
        </w:tc>
        <w:tc>
          <w:tcPr>
            <w:tcW w:w="680" w:type="dxa"/>
            <w:vAlign w:val="bottom"/>
            <w:tcBorders>
              <w:right w:val="single" w:sz="8" w:color="CFF0FC"/>
            </w:tcBorders>
            <w:vMerge w:val="restart"/>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720" w:type="dxa"/>
            <w:vAlign w:val="bottom"/>
            <w:tcBorders>
              <w:right w:val="single" w:sz="8" w:color="CFF0FC"/>
            </w:tcBorders>
            <w:vMerge w:val="restart"/>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70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(2,612 )</w:t>
            </w:r>
          </w:p>
        </w:tc>
        <w:tc>
          <w:tcPr>
            <w:tcW w:w="80" w:type="dxa"/>
            <w:vAlign w:val="bottom"/>
            <w:shd w:val="clear" w:color="auto" w:fill="CFF0FC"/>
          </w:tcPr>
          <w:p>
            <w:pPr>
              <w:spacing w:after="0"/>
              <w:rPr>
                <w:sz w:val="15"/>
                <w:szCs w:val="15"/>
                <w:color w:val="auto"/>
              </w:rPr>
            </w:pPr>
          </w:p>
        </w:tc>
        <w:tc>
          <w:tcPr>
            <w:tcW w:w="640" w:type="dxa"/>
            <w:vAlign w:val="bottom"/>
            <w:tcBorders>
              <w:right w:val="single" w:sz="8" w:color="CFF0FC"/>
            </w:tcBorders>
            <w:vMerge w:val="restart"/>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(2,612 )</w:t>
            </w:r>
          </w:p>
        </w:tc>
        <w:tc>
          <w:tcPr>
            <w:tcW w:w="0" w:type="dxa"/>
            <w:vAlign w:val="bottom"/>
          </w:tcPr>
          <w:p>
            <w:pPr>
              <w:spacing w:after="0"/>
              <w:rPr>
                <w:sz w:val="1"/>
                <w:szCs w:val="1"/>
                <w:color w:val="auto"/>
              </w:rPr>
            </w:pPr>
          </w:p>
        </w:tc>
      </w:tr>
      <w:tr>
        <w:trPr>
          <w:trHeight w:val="163"/>
        </w:trPr>
        <w:tc>
          <w:tcPr>
            <w:tcW w:w="1860" w:type="dxa"/>
            <w:vAlign w:val="bottom"/>
            <w:shd w:val="clear" w:color="auto" w:fill="CFF0FC"/>
          </w:tcPr>
          <w:p>
            <w:pPr>
              <w:ind w:left="120"/>
              <w:spacing w:after="0"/>
              <w:rPr>
                <w:sz w:val="20"/>
                <w:szCs w:val="20"/>
                <w:color w:val="auto"/>
              </w:rPr>
            </w:pPr>
            <w:r>
              <w:rPr>
                <w:rFonts w:ascii="Arial" w:cs="Arial" w:eastAsia="Arial" w:hAnsi="Arial"/>
                <w:sz w:val="13"/>
                <w:szCs w:val="13"/>
                <w:color w:val="auto"/>
              </w:rPr>
              <w:t>gain (loss)</w:t>
            </w:r>
          </w:p>
        </w:tc>
        <w:tc>
          <w:tcPr>
            <w:tcW w:w="100" w:type="dxa"/>
            <w:vAlign w:val="bottom"/>
            <w:shd w:val="clear" w:color="auto" w:fill="CFF0FC"/>
          </w:tcPr>
          <w:p>
            <w:pPr>
              <w:spacing w:after="0"/>
              <w:rPr>
                <w:sz w:val="14"/>
                <w:szCs w:val="14"/>
                <w:color w:val="auto"/>
              </w:rPr>
            </w:pPr>
          </w:p>
        </w:tc>
        <w:tc>
          <w:tcPr>
            <w:tcW w:w="680" w:type="dxa"/>
            <w:vAlign w:val="bottom"/>
            <w:tcBorders>
              <w:right w:val="single" w:sz="8" w:color="CFF0FC"/>
            </w:tcBorders>
            <w:vMerge w:val="continue"/>
            <w:shd w:val="clear" w:color="auto" w:fill="CFF0FC"/>
          </w:tcPr>
          <w:p>
            <w:pPr>
              <w:spacing w:after="0"/>
              <w:rPr>
                <w:sz w:val="14"/>
                <w:szCs w:val="14"/>
                <w:color w:val="auto"/>
              </w:rPr>
            </w:pPr>
          </w:p>
        </w:tc>
        <w:tc>
          <w:tcPr>
            <w:tcW w:w="780" w:type="dxa"/>
            <w:vAlign w:val="bottom"/>
            <w:tcBorders>
              <w:right w:val="single" w:sz="8" w:color="CFF0FC"/>
            </w:tcBorders>
            <w:vMerge w:val="continue"/>
            <w:shd w:val="clear" w:color="auto" w:fill="CFF0FC"/>
          </w:tcPr>
          <w:p>
            <w:pPr>
              <w:spacing w:after="0"/>
              <w:rPr>
                <w:sz w:val="14"/>
                <w:szCs w:val="14"/>
                <w:color w:val="auto"/>
              </w:rPr>
            </w:pPr>
          </w:p>
        </w:tc>
        <w:tc>
          <w:tcPr>
            <w:tcW w:w="780" w:type="dxa"/>
            <w:vAlign w:val="bottom"/>
            <w:tcBorders>
              <w:right w:val="single" w:sz="8" w:color="CFF0FC"/>
            </w:tcBorders>
            <w:vMerge w:val="continue"/>
            <w:shd w:val="clear" w:color="auto" w:fill="CFF0FC"/>
          </w:tcPr>
          <w:p>
            <w:pPr>
              <w:spacing w:after="0"/>
              <w:rPr>
                <w:sz w:val="14"/>
                <w:szCs w:val="14"/>
                <w:color w:val="auto"/>
              </w:rPr>
            </w:pPr>
          </w:p>
        </w:tc>
        <w:tc>
          <w:tcPr>
            <w:tcW w:w="780" w:type="dxa"/>
            <w:vAlign w:val="bottom"/>
            <w:tcBorders>
              <w:right w:val="single" w:sz="8" w:color="CFF0FC"/>
            </w:tcBorders>
            <w:vMerge w:val="continue"/>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20" w:type="dxa"/>
            <w:vAlign w:val="bottom"/>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00" w:type="dxa"/>
            <w:vAlign w:val="bottom"/>
            <w:tcBorders>
              <w:right w:val="single" w:sz="8" w:color="CFF0FC"/>
            </w:tcBorders>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tcBorders>
              <w:right w:val="single" w:sz="8" w:color="CFF0FC"/>
            </w:tcBorders>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tcBorders>
              <w:right w:val="single" w:sz="8" w:color="CFF0FC"/>
            </w:tcBorders>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tcBorders>
              <w:right w:val="single" w:sz="8" w:color="CFF0FC"/>
            </w:tcBorders>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tcBorders>
              <w:right w:val="single" w:sz="8" w:color="CFF0FC"/>
            </w:tcBorders>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tcBorders>
              <w:right w:val="single" w:sz="8" w:color="CFF0FC"/>
            </w:tcBorders>
            <w:shd w:val="clear" w:color="auto" w:fill="000000"/>
          </w:tcPr>
          <w:p>
            <w:pPr>
              <w:spacing w:after="0" w:line="20" w:lineRule="exact"/>
              <w:rPr>
                <w:sz w:val="1"/>
                <w:szCs w:val="1"/>
                <w:color w:val="auto"/>
              </w:rPr>
            </w:pPr>
          </w:p>
        </w:tc>
        <w:tc>
          <w:tcPr>
            <w:tcW w:w="780" w:type="dxa"/>
            <w:vAlign w:val="bottom"/>
            <w:tcBorders>
              <w:right w:val="single" w:sz="8" w:color="CFF0FC"/>
            </w:tcBorders>
            <w:shd w:val="clear" w:color="auto" w:fill="000000"/>
          </w:tcPr>
          <w:p>
            <w:pPr>
              <w:spacing w:after="0" w:line="20" w:lineRule="exact"/>
              <w:rPr>
                <w:sz w:val="1"/>
                <w:szCs w:val="1"/>
                <w:color w:val="auto"/>
              </w:rPr>
            </w:pPr>
          </w:p>
        </w:tc>
        <w:tc>
          <w:tcPr>
            <w:tcW w:w="780" w:type="dxa"/>
            <w:vAlign w:val="bottom"/>
            <w:tcBorders>
              <w:right w:val="single" w:sz="8" w:color="CFF0FC"/>
            </w:tcBorders>
            <w:shd w:val="clear" w:color="auto" w:fill="000000"/>
          </w:tcPr>
          <w:p>
            <w:pPr>
              <w:spacing w:after="0" w:line="20" w:lineRule="exact"/>
              <w:rPr>
                <w:sz w:val="1"/>
                <w:szCs w:val="1"/>
                <w:color w:val="auto"/>
              </w:rPr>
            </w:pPr>
          </w:p>
        </w:tc>
        <w:tc>
          <w:tcPr>
            <w:tcW w:w="780" w:type="dxa"/>
            <w:vAlign w:val="bottom"/>
            <w:tcBorders>
              <w:right w:val="single" w:sz="8" w:color="CFF0FC"/>
            </w:tcBorders>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tcBorders>
              <w:right w:val="single" w:sz="8" w:color="CFF0FC"/>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tcBorders>
              <w:right w:val="single" w:sz="8" w:color="CFF0FC"/>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tcBorders>
              <w:right w:val="single" w:sz="8" w:color="CFF0FC"/>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tcBorders>
              <w:right w:val="single" w:sz="8" w:color="CFF0FC"/>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860" w:type="dxa"/>
            <w:vAlign w:val="bottom"/>
          </w:tcPr>
          <w:p>
            <w:pPr>
              <w:ind w:left="20"/>
              <w:spacing w:after="0"/>
              <w:rPr>
                <w:sz w:val="20"/>
                <w:szCs w:val="20"/>
                <w:color w:val="auto"/>
              </w:rPr>
            </w:pPr>
            <w:r>
              <w:rPr>
                <w:rFonts w:ascii="Arial" w:cs="Arial" w:eastAsia="Arial" w:hAnsi="Arial"/>
                <w:sz w:val="13"/>
                <w:szCs w:val="13"/>
                <w:b w:val="1"/>
                <w:bCs w:val="1"/>
                <w:color w:val="auto"/>
              </w:rPr>
              <w:t>Balance at March 31, 2020</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80,187</w:t>
            </w: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457"/>
              <w:spacing w:after="0"/>
              <w:rPr>
                <w:sz w:val="20"/>
                <w:szCs w:val="20"/>
                <w:color w:val="auto"/>
              </w:rPr>
            </w:pPr>
            <w:r>
              <w:rPr>
                <w:rFonts w:ascii="Arial" w:cs="Arial" w:eastAsia="Arial" w:hAnsi="Arial"/>
                <w:sz w:val="13"/>
                <w:szCs w:val="13"/>
                <w:color w:val="auto"/>
                <w:w w:val="82"/>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5"/>
                <w:szCs w:val="15"/>
                <w:color w:val="auto"/>
              </w:rPr>
            </w:pPr>
          </w:p>
        </w:tc>
        <w:tc>
          <w:tcPr>
            <w:tcW w:w="580" w:type="dxa"/>
            <w:vAlign w:val="bottom"/>
          </w:tcPr>
          <w:p>
            <w:pPr>
              <w:jc w:val="right"/>
              <w:ind w:right="461"/>
              <w:spacing w:after="0"/>
              <w:rPr>
                <w:sz w:val="20"/>
                <w:szCs w:val="20"/>
                <w:color w:val="auto"/>
              </w:rPr>
            </w:pPr>
            <w:r>
              <w:rPr>
                <w:rFonts w:ascii="Arial" w:cs="Arial" w:eastAsia="Arial" w:hAnsi="Arial"/>
                <w:sz w:val="10"/>
                <w:szCs w:val="10"/>
                <w:color w:val="auto"/>
                <w:w w:val="71"/>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5"/>
                <w:szCs w:val="15"/>
                <w:color w:val="auto"/>
              </w:rPr>
            </w:pPr>
          </w:p>
        </w:tc>
        <w:tc>
          <w:tcPr>
            <w:tcW w:w="580" w:type="dxa"/>
            <w:vAlign w:val="bottom"/>
          </w:tcPr>
          <w:p>
            <w:pPr>
              <w:jc w:val="right"/>
              <w:ind w:right="437"/>
              <w:spacing w:after="0"/>
              <w:rPr>
                <w:sz w:val="20"/>
                <w:szCs w:val="20"/>
                <w:color w:val="auto"/>
              </w:rPr>
            </w:pPr>
            <w:r>
              <w:rPr>
                <w:rFonts w:ascii="Arial" w:cs="Arial" w:eastAsia="Arial" w:hAnsi="Arial"/>
                <w:sz w:val="13"/>
                <w:szCs w:val="13"/>
                <w:color w:val="auto"/>
                <w:w w:val="82"/>
              </w:rPr>
              <w:t>$</w:t>
            </w:r>
          </w:p>
        </w:tc>
        <w:tc>
          <w:tcPr>
            <w:tcW w:w="200" w:type="dxa"/>
            <w:vAlign w:val="bottom"/>
          </w:tcPr>
          <w:p>
            <w:pPr>
              <w:jc w:val="right"/>
              <w:ind w:right="77"/>
              <w:spacing w:after="0"/>
              <w:rPr>
                <w:sz w:val="20"/>
                <w:szCs w:val="20"/>
                <w:color w:val="auto"/>
              </w:rPr>
            </w:pPr>
            <w:r>
              <w:rPr>
                <w:rFonts w:ascii="Arial" w:cs="Arial" w:eastAsia="Arial" w:hAnsi="Arial"/>
                <w:sz w:val="13"/>
                <w:szCs w:val="13"/>
                <w:color w:val="auto"/>
                <w:w w:val="91"/>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(8,432 )</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71,755</w:t>
            </w:r>
          </w:p>
        </w:tc>
        <w:tc>
          <w:tcPr>
            <w:tcW w:w="0" w:type="dxa"/>
            <w:vAlign w:val="bottom"/>
          </w:tcPr>
          <w:p>
            <w:pPr>
              <w:spacing w:after="0"/>
              <w:rPr>
                <w:sz w:val="1"/>
                <w:szCs w:val="1"/>
                <w:color w:val="auto"/>
              </w:rPr>
            </w:pPr>
          </w:p>
        </w:tc>
      </w:tr>
      <w:tr>
        <w:trPr>
          <w:trHeight w:val="197"/>
        </w:trPr>
        <w:tc>
          <w:tcPr>
            <w:tcW w:w="1860" w:type="dxa"/>
            <w:vAlign w:val="bottom"/>
            <w:shd w:val="clear" w:color="auto" w:fill="CFF0FC"/>
          </w:tcPr>
          <w:p>
            <w:pPr>
              <w:ind w:left="120"/>
              <w:spacing w:after="0"/>
              <w:rPr>
                <w:sz w:val="20"/>
                <w:szCs w:val="20"/>
                <w:color w:val="auto"/>
              </w:rPr>
            </w:pPr>
            <w:r>
              <w:rPr>
                <w:rFonts w:ascii="Arial" w:cs="Arial" w:eastAsia="Arial" w:hAnsi="Arial"/>
                <w:sz w:val="13"/>
                <w:szCs w:val="13"/>
                <w:color w:val="auto"/>
              </w:rPr>
              <w:t>Net income (loss)</w:t>
            </w:r>
          </w:p>
        </w:tc>
        <w:tc>
          <w:tcPr>
            <w:tcW w:w="100" w:type="dxa"/>
            <w:vAlign w:val="bottom"/>
            <w:shd w:val="clear" w:color="auto" w:fill="CFF0FC"/>
          </w:tcPr>
          <w:p>
            <w:pPr>
              <w:spacing w:after="0"/>
              <w:rPr>
                <w:sz w:val="17"/>
                <w:szCs w:val="17"/>
                <w:color w:val="auto"/>
              </w:rPr>
            </w:pPr>
          </w:p>
        </w:tc>
        <w:tc>
          <w:tcPr>
            <w:tcW w:w="680" w:type="dxa"/>
            <w:vAlign w:val="bottom"/>
            <w:tcBorders>
              <w:right w:val="single" w:sz="8" w:color="CFF0FC"/>
            </w:tcBorders>
            <w:shd w:val="clear" w:color="auto" w:fill="CFF0FC"/>
          </w:tcPr>
          <w:p>
            <w:pPr>
              <w:jc w:val="right"/>
              <w:ind w:right="17"/>
              <w:spacing w:after="0"/>
              <w:rPr>
                <w:sz w:val="20"/>
                <w:szCs w:val="20"/>
                <w:color w:val="auto"/>
              </w:rPr>
            </w:pPr>
            <w:r>
              <w:rPr>
                <w:rFonts w:ascii="Arial" w:cs="Arial" w:eastAsia="Arial" w:hAnsi="Arial"/>
                <w:sz w:val="13"/>
                <w:szCs w:val="13"/>
                <w:color w:val="auto"/>
              </w:rPr>
              <w:t>(22,127 )</w:t>
            </w:r>
          </w:p>
        </w:tc>
        <w:tc>
          <w:tcPr>
            <w:tcW w:w="7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Borders>
              <w:right w:val="single" w:sz="8" w:color="CFF0FC"/>
            </w:tcBorders>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780" w:type="dxa"/>
            <w:vAlign w:val="bottom"/>
            <w:tcBorders>
              <w:right w:val="single" w:sz="8" w:color="CFF0FC"/>
            </w:tcBorders>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0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FF0FC"/>
          </w:tcPr>
          <w:p>
            <w:pPr>
              <w:spacing w:after="0"/>
              <w:rPr>
                <w:sz w:val="17"/>
                <w:szCs w:val="17"/>
                <w:color w:val="auto"/>
              </w:rPr>
            </w:pPr>
          </w:p>
        </w:tc>
        <w:tc>
          <w:tcPr>
            <w:tcW w:w="6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7"/>
                <w:szCs w:val="17"/>
                <w:color w:val="auto"/>
              </w:rPr>
            </w:pPr>
          </w:p>
        </w:tc>
        <w:tc>
          <w:tcPr>
            <w:tcW w:w="72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700" w:type="dxa"/>
            <w:vAlign w:val="bottom"/>
            <w:tcBorders>
              <w:right w:val="single" w:sz="8" w:color="CFF0FC"/>
            </w:tcBorders>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7"/>
                <w:szCs w:val="17"/>
                <w:color w:val="auto"/>
              </w:rPr>
            </w:pPr>
          </w:p>
        </w:tc>
        <w:tc>
          <w:tcPr>
            <w:tcW w:w="640" w:type="dxa"/>
            <w:vAlign w:val="bottom"/>
            <w:tcBorders>
              <w:right w:val="single" w:sz="8" w:color="CFF0FC"/>
            </w:tcBorders>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(22,127 )</w:t>
            </w:r>
          </w:p>
        </w:tc>
        <w:tc>
          <w:tcPr>
            <w:tcW w:w="0" w:type="dxa"/>
            <w:vAlign w:val="bottom"/>
          </w:tcPr>
          <w:p>
            <w:pPr>
              <w:spacing w:after="0"/>
              <w:rPr>
                <w:sz w:val="1"/>
                <w:szCs w:val="1"/>
                <w:color w:val="auto"/>
              </w:rPr>
            </w:pPr>
          </w:p>
        </w:tc>
      </w:tr>
      <w:tr>
        <w:trPr>
          <w:trHeight w:val="181"/>
        </w:trPr>
        <w:tc>
          <w:tcPr>
            <w:tcW w:w="1860" w:type="dxa"/>
            <w:vAlign w:val="bottom"/>
          </w:tcPr>
          <w:p>
            <w:pPr>
              <w:ind w:left="120"/>
              <w:spacing w:after="0"/>
              <w:rPr>
                <w:sz w:val="20"/>
                <w:szCs w:val="20"/>
                <w:color w:val="auto"/>
              </w:rPr>
            </w:pPr>
            <w:r>
              <w:rPr>
                <w:rFonts w:ascii="Arial" w:cs="Arial" w:eastAsia="Arial" w:hAnsi="Arial"/>
                <w:sz w:val="13"/>
                <w:szCs w:val="13"/>
                <w:color w:val="auto"/>
              </w:rPr>
              <w:t>Equity-based compensation</w:t>
            </w:r>
          </w:p>
        </w:tc>
        <w:tc>
          <w:tcPr>
            <w:tcW w:w="100" w:type="dxa"/>
            <w:vAlign w:val="bottom"/>
          </w:tcPr>
          <w:p>
            <w:pPr>
              <w:spacing w:after="0"/>
              <w:rPr>
                <w:sz w:val="15"/>
                <w:szCs w:val="15"/>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6,179</w:t>
            </w: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6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jc w:val="right"/>
              <w:ind w:right="77"/>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5"/>
                <w:szCs w:val="15"/>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6,179</w:t>
            </w:r>
          </w:p>
        </w:tc>
        <w:tc>
          <w:tcPr>
            <w:tcW w:w="0" w:type="dxa"/>
            <w:vAlign w:val="bottom"/>
          </w:tcPr>
          <w:p>
            <w:pPr>
              <w:spacing w:after="0"/>
              <w:rPr>
                <w:sz w:val="1"/>
                <w:szCs w:val="1"/>
                <w:color w:val="auto"/>
              </w:rPr>
            </w:pPr>
          </w:p>
        </w:tc>
      </w:tr>
      <w:tr>
        <w:trPr>
          <w:trHeight w:val="197"/>
        </w:trPr>
        <w:tc>
          <w:tcPr>
            <w:tcW w:w="1860" w:type="dxa"/>
            <w:vAlign w:val="bottom"/>
            <w:shd w:val="clear" w:color="auto" w:fill="CFF0FC"/>
          </w:tcPr>
          <w:p>
            <w:pPr>
              <w:ind w:left="120"/>
              <w:spacing w:after="0"/>
              <w:rPr>
                <w:sz w:val="20"/>
                <w:szCs w:val="20"/>
                <w:color w:val="auto"/>
              </w:rPr>
            </w:pPr>
            <w:r>
              <w:rPr>
                <w:rFonts w:ascii="Arial" w:cs="Arial" w:eastAsia="Arial" w:hAnsi="Arial"/>
                <w:sz w:val="13"/>
                <w:szCs w:val="13"/>
                <w:color w:val="auto"/>
              </w:rPr>
              <w:t>Other</w:t>
            </w:r>
          </w:p>
        </w:tc>
        <w:tc>
          <w:tcPr>
            <w:tcW w:w="100" w:type="dxa"/>
            <w:vAlign w:val="bottom"/>
            <w:shd w:val="clear" w:color="auto" w:fill="CFF0FC"/>
          </w:tcPr>
          <w:p>
            <w:pPr>
              <w:spacing w:after="0"/>
              <w:rPr>
                <w:sz w:val="17"/>
                <w:szCs w:val="17"/>
                <w:color w:val="auto"/>
              </w:rPr>
            </w:pPr>
          </w:p>
        </w:tc>
        <w:tc>
          <w:tcPr>
            <w:tcW w:w="680" w:type="dxa"/>
            <w:vAlign w:val="bottom"/>
            <w:tcBorders>
              <w:right w:val="single" w:sz="8" w:color="CFF0FC"/>
            </w:tcBorders>
            <w:shd w:val="clear" w:color="auto" w:fill="CFF0FC"/>
          </w:tcPr>
          <w:p>
            <w:pPr>
              <w:jc w:val="right"/>
              <w:ind w:right="17"/>
              <w:spacing w:after="0"/>
              <w:rPr>
                <w:sz w:val="20"/>
                <w:szCs w:val="20"/>
                <w:color w:val="auto"/>
              </w:rPr>
            </w:pPr>
            <w:r>
              <w:rPr>
                <w:rFonts w:ascii="Arial" w:cs="Arial" w:eastAsia="Arial" w:hAnsi="Arial"/>
                <w:sz w:val="13"/>
                <w:szCs w:val="13"/>
                <w:color w:val="auto"/>
              </w:rPr>
              <w:t>(26 )</w:t>
            </w:r>
          </w:p>
        </w:tc>
        <w:tc>
          <w:tcPr>
            <w:tcW w:w="7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Borders>
              <w:right w:val="single" w:sz="8" w:color="CFF0FC"/>
            </w:tcBorders>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780" w:type="dxa"/>
            <w:vAlign w:val="bottom"/>
            <w:tcBorders>
              <w:right w:val="single" w:sz="8" w:color="CFF0FC"/>
            </w:tcBorders>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0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FF0FC"/>
          </w:tcPr>
          <w:p>
            <w:pPr>
              <w:spacing w:after="0"/>
              <w:rPr>
                <w:sz w:val="17"/>
                <w:szCs w:val="17"/>
                <w:color w:val="auto"/>
              </w:rPr>
            </w:pPr>
          </w:p>
        </w:tc>
        <w:tc>
          <w:tcPr>
            <w:tcW w:w="6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7"/>
                <w:szCs w:val="17"/>
                <w:color w:val="auto"/>
              </w:rPr>
            </w:pPr>
          </w:p>
        </w:tc>
        <w:tc>
          <w:tcPr>
            <w:tcW w:w="72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700" w:type="dxa"/>
            <w:vAlign w:val="bottom"/>
            <w:tcBorders>
              <w:right w:val="single" w:sz="8" w:color="CFF0FC"/>
            </w:tcBorders>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7"/>
                <w:szCs w:val="17"/>
                <w:color w:val="auto"/>
              </w:rPr>
            </w:pPr>
          </w:p>
        </w:tc>
        <w:tc>
          <w:tcPr>
            <w:tcW w:w="640" w:type="dxa"/>
            <w:vAlign w:val="bottom"/>
            <w:tcBorders>
              <w:right w:val="single" w:sz="8" w:color="CFF0FC"/>
            </w:tcBorders>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(26 )</w:t>
            </w:r>
          </w:p>
        </w:tc>
        <w:tc>
          <w:tcPr>
            <w:tcW w:w="0" w:type="dxa"/>
            <w:vAlign w:val="bottom"/>
          </w:tcPr>
          <w:p>
            <w:pPr>
              <w:spacing w:after="0"/>
              <w:rPr>
                <w:sz w:val="1"/>
                <w:szCs w:val="1"/>
                <w:color w:val="auto"/>
              </w:rPr>
            </w:pPr>
          </w:p>
        </w:tc>
      </w:tr>
      <w:tr>
        <w:trPr>
          <w:trHeight w:val="173"/>
        </w:trPr>
        <w:tc>
          <w:tcPr>
            <w:tcW w:w="1860" w:type="dxa"/>
            <w:vAlign w:val="bottom"/>
          </w:tcPr>
          <w:p>
            <w:pPr>
              <w:ind w:left="120"/>
              <w:spacing w:after="0"/>
              <w:rPr>
                <w:sz w:val="20"/>
                <w:szCs w:val="20"/>
                <w:color w:val="auto"/>
              </w:rPr>
            </w:pPr>
            <w:r>
              <w:rPr>
                <w:rFonts w:ascii="Arial" w:cs="Arial" w:eastAsia="Arial" w:hAnsi="Arial"/>
                <w:sz w:val="13"/>
                <w:szCs w:val="13"/>
                <w:color w:val="auto"/>
              </w:rPr>
              <w:t>Foreign currency translation</w:t>
            </w:r>
          </w:p>
        </w:tc>
        <w:tc>
          <w:tcPr>
            <w:tcW w:w="100" w:type="dxa"/>
            <w:vAlign w:val="bottom"/>
          </w:tcPr>
          <w:p>
            <w:pPr>
              <w:spacing w:after="0"/>
              <w:rPr>
                <w:sz w:val="15"/>
                <w:szCs w:val="15"/>
                <w:color w:val="auto"/>
              </w:rPr>
            </w:pPr>
          </w:p>
        </w:tc>
        <w:tc>
          <w:tcPr>
            <w:tcW w:w="680" w:type="dxa"/>
            <w:vAlign w:val="bottom"/>
            <w:vMerge w:val="restart"/>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60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vMerge w:val="restart"/>
          </w:tcPr>
          <w:p>
            <w:pPr>
              <w:jc w:val="right"/>
              <w:ind w:right="77"/>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5"/>
                <w:szCs w:val="15"/>
                <w:color w:val="auto"/>
              </w:rPr>
            </w:pPr>
          </w:p>
        </w:tc>
        <w:tc>
          <w:tcPr>
            <w:tcW w:w="680" w:type="dxa"/>
            <w:vAlign w:val="bottom"/>
            <w:vMerge w:val="restart"/>
          </w:tcPr>
          <w:p>
            <w:pPr>
              <w:jc w:val="right"/>
              <w:ind w:right="7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20" w:type="dxa"/>
            <w:vAlign w:val="bottom"/>
            <w:vMerge w:val="restart"/>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00" w:type="dxa"/>
            <w:vAlign w:val="bottom"/>
            <w:vMerge w:val="restart"/>
          </w:tcPr>
          <w:p>
            <w:pPr>
              <w:jc w:val="right"/>
              <w:ind w:right="57"/>
              <w:spacing w:after="0"/>
              <w:rPr>
                <w:sz w:val="20"/>
                <w:szCs w:val="20"/>
                <w:color w:val="auto"/>
              </w:rPr>
            </w:pPr>
            <w:r>
              <w:rPr>
                <w:rFonts w:ascii="Arial" w:cs="Arial" w:eastAsia="Arial" w:hAnsi="Arial"/>
                <w:sz w:val="13"/>
                <w:szCs w:val="13"/>
                <w:color w:val="auto"/>
              </w:rPr>
              <w:t>121</w:t>
            </w:r>
          </w:p>
        </w:tc>
        <w:tc>
          <w:tcPr>
            <w:tcW w:w="80" w:type="dxa"/>
            <w:vAlign w:val="bottom"/>
          </w:tcPr>
          <w:p>
            <w:pPr>
              <w:spacing w:after="0"/>
              <w:rPr>
                <w:sz w:val="15"/>
                <w:szCs w:val="15"/>
                <w:color w:val="auto"/>
              </w:rPr>
            </w:pPr>
          </w:p>
        </w:tc>
        <w:tc>
          <w:tcPr>
            <w:tcW w:w="64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121</w:t>
            </w:r>
          </w:p>
        </w:tc>
        <w:tc>
          <w:tcPr>
            <w:tcW w:w="0" w:type="dxa"/>
            <w:vAlign w:val="bottom"/>
          </w:tcPr>
          <w:p>
            <w:pPr>
              <w:spacing w:after="0"/>
              <w:rPr>
                <w:sz w:val="1"/>
                <w:szCs w:val="1"/>
                <w:color w:val="auto"/>
              </w:rPr>
            </w:pPr>
          </w:p>
        </w:tc>
      </w:tr>
      <w:tr>
        <w:trPr>
          <w:trHeight w:val="163"/>
        </w:trPr>
        <w:tc>
          <w:tcPr>
            <w:tcW w:w="1860" w:type="dxa"/>
            <w:vAlign w:val="bottom"/>
          </w:tcPr>
          <w:p>
            <w:pPr>
              <w:ind w:left="120"/>
              <w:spacing w:after="0"/>
              <w:rPr>
                <w:sz w:val="20"/>
                <w:szCs w:val="20"/>
                <w:color w:val="auto"/>
              </w:rPr>
            </w:pPr>
            <w:r>
              <w:rPr>
                <w:rFonts w:ascii="Arial" w:cs="Arial" w:eastAsia="Arial" w:hAnsi="Arial"/>
                <w:sz w:val="13"/>
                <w:szCs w:val="13"/>
                <w:color w:val="auto"/>
              </w:rPr>
              <w:t>gain (loss)</w:t>
            </w: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86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 at June 30, 2020</w:t>
            </w: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64,213</w:t>
            </w:r>
          </w:p>
        </w:tc>
        <w:tc>
          <w:tcPr>
            <w:tcW w:w="7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Borders>
              <w:right w:val="single" w:sz="8" w:color="CFF0FC"/>
            </w:tcBorders>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780" w:type="dxa"/>
            <w:vAlign w:val="bottom"/>
            <w:tcBorders>
              <w:right w:val="single" w:sz="8" w:color="CFF0FC"/>
            </w:tcBorders>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ind w:right="457"/>
              <w:spacing w:after="0"/>
              <w:rPr>
                <w:sz w:val="20"/>
                <w:szCs w:val="20"/>
                <w:color w:val="auto"/>
              </w:rPr>
            </w:pPr>
            <w:r>
              <w:rPr>
                <w:rFonts w:ascii="Arial" w:cs="Arial" w:eastAsia="Arial" w:hAnsi="Arial"/>
                <w:sz w:val="13"/>
                <w:szCs w:val="13"/>
                <w:color w:val="auto"/>
                <w:w w:val="82"/>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660" w:type="dxa"/>
            <w:vAlign w:val="bottom"/>
            <w:gridSpan w:val="2"/>
            <w:shd w:val="clear" w:color="auto" w:fill="CFF0FC"/>
          </w:tcPr>
          <w:p>
            <w:pPr>
              <w:jc w:val="right"/>
              <w:ind w:right="461"/>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660" w:type="dxa"/>
            <w:vAlign w:val="bottom"/>
            <w:gridSpan w:val="2"/>
            <w:shd w:val="clear" w:color="auto" w:fill="CFF0FC"/>
          </w:tcPr>
          <w:p>
            <w:pPr>
              <w:jc w:val="right"/>
              <w:ind w:right="437"/>
              <w:spacing w:after="0"/>
              <w:rPr>
                <w:sz w:val="20"/>
                <w:szCs w:val="20"/>
                <w:color w:val="auto"/>
              </w:rPr>
            </w:pPr>
            <w:r>
              <w:rPr>
                <w:rFonts w:ascii="Arial" w:cs="Arial" w:eastAsia="Arial" w:hAnsi="Arial"/>
                <w:sz w:val="13"/>
                <w:szCs w:val="13"/>
                <w:color w:val="auto"/>
              </w:rPr>
              <w:t>$</w:t>
            </w:r>
          </w:p>
        </w:tc>
        <w:tc>
          <w:tcPr>
            <w:tcW w:w="20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ind w:left="20"/>
              <w:spacing w:after="0"/>
              <w:rPr>
                <w:sz w:val="20"/>
                <w:szCs w:val="20"/>
                <w:color w:val="auto"/>
              </w:rPr>
            </w:pPr>
            <w:r>
              <w:rPr>
                <w:rFonts w:ascii="Arial" w:cs="Arial" w:eastAsia="Arial" w:hAnsi="Arial"/>
                <w:sz w:val="10"/>
                <w:szCs w:val="10"/>
                <w:color w:val="auto"/>
                <w:w w:val="71"/>
              </w:rPr>
              <w:t>$</w:t>
            </w:r>
          </w:p>
        </w:tc>
        <w:tc>
          <w:tcPr>
            <w:tcW w:w="72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ind w:left="20"/>
              <w:spacing w:after="0"/>
              <w:rPr>
                <w:sz w:val="20"/>
                <w:szCs w:val="20"/>
                <w:color w:val="auto"/>
              </w:rPr>
            </w:pPr>
            <w:r>
              <w:rPr>
                <w:rFonts w:ascii="Arial" w:cs="Arial" w:eastAsia="Arial" w:hAnsi="Arial"/>
                <w:sz w:val="13"/>
                <w:szCs w:val="13"/>
                <w:color w:val="auto"/>
                <w:w w:val="82"/>
              </w:rPr>
              <w:t>$</w:t>
            </w:r>
          </w:p>
        </w:tc>
        <w:tc>
          <w:tcPr>
            <w:tcW w:w="7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(8,311 )</w:t>
            </w: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right w:val="single" w:sz="8" w:color="CFF0FC"/>
            </w:tcBorders>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55,902</w:t>
            </w:r>
          </w:p>
        </w:tc>
        <w:tc>
          <w:tcPr>
            <w:tcW w:w="0" w:type="dxa"/>
            <w:vAlign w:val="bottom"/>
          </w:tcPr>
          <w:p>
            <w:pPr>
              <w:spacing w:after="0"/>
              <w:rPr>
                <w:sz w:val="1"/>
                <w:szCs w:val="1"/>
                <w:color w:val="auto"/>
              </w:rPr>
            </w:pPr>
          </w:p>
        </w:tc>
      </w:tr>
      <w:tr>
        <w:trPr>
          <w:trHeight w:val="181"/>
        </w:trPr>
        <w:tc>
          <w:tcPr>
            <w:tcW w:w="1860" w:type="dxa"/>
            <w:vAlign w:val="bottom"/>
          </w:tcPr>
          <w:p>
            <w:pPr>
              <w:ind w:left="120"/>
              <w:spacing w:after="0"/>
              <w:rPr>
                <w:sz w:val="20"/>
                <w:szCs w:val="20"/>
                <w:color w:val="auto"/>
              </w:rPr>
            </w:pPr>
            <w:r>
              <w:rPr>
                <w:rFonts w:ascii="Arial" w:cs="Arial" w:eastAsia="Arial" w:hAnsi="Arial"/>
                <w:sz w:val="13"/>
                <w:szCs w:val="13"/>
                <w:color w:val="auto"/>
              </w:rPr>
              <w:t>Net income (loss)</w:t>
            </w:r>
          </w:p>
        </w:tc>
        <w:tc>
          <w:tcPr>
            <w:tcW w:w="100" w:type="dxa"/>
            <w:vAlign w:val="bottom"/>
          </w:tcPr>
          <w:p>
            <w:pPr>
              <w:spacing w:after="0"/>
              <w:rPr>
                <w:sz w:val="15"/>
                <w:szCs w:val="15"/>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(1,069 )</w:t>
            </w: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6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jc w:val="right"/>
              <w:ind w:right="77"/>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5"/>
                <w:szCs w:val="15"/>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(1,069 )</w:t>
            </w:r>
          </w:p>
        </w:tc>
        <w:tc>
          <w:tcPr>
            <w:tcW w:w="0" w:type="dxa"/>
            <w:vAlign w:val="bottom"/>
          </w:tcPr>
          <w:p>
            <w:pPr>
              <w:spacing w:after="0"/>
              <w:rPr>
                <w:sz w:val="1"/>
                <w:szCs w:val="1"/>
                <w:color w:val="auto"/>
              </w:rPr>
            </w:pPr>
          </w:p>
        </w:tc>
      </w:tr>
      <w:tr>
        <w:trPr>
          <w:trHeight w:val="197"/>
        </w:trPr>
        <w:tc>
          <w:tcPr>
            <w:tcW w:w="1860" w:type="dxa"/>
            <w:vAlign w:val="bottom"/>
            <w:shd w:val="clear" w:color="auto" w:fill="CFF0FC"/>
          </w:tcPr>
          <w:p>
            <w:pPr>
              <w:ind w:left="120"/>
              <w:spacing w:after="0"/>
              <w:rPr>
                <w:sz w:val="20"/>
                <w:szCs w:val="20"/>
                <w:color w:val="auto"/>
              </w:rPr>
            </w:pPr>
            <w:r>
              <w:rPr>
                <w:rFonts w:ascii="Arial" w:cs="Arial" w:eastAsia="Arial" w:hAnsi="Arial"/>
                <w:sz w:val="13"/>
                <w:szCs w:val="13"/>
                <w:color w:val="auto"/>
              </w:rPr>
              <w:t>Equity-based compensation</w:t>
            </w:r>
          </w:p>
        </w:tc>
        <w:tc>
          <w:tcPr>
            <w:tcW w:w="100" w:type="dxa"/>
            <w:vAlign w:val="bottom"/>
            <w:shd w:val="clear" w:color="auto" w:fill="CFF0FC"/>
          </w:tcPr>
          <w:p>
            <w:pPr>
              <w:spacing w:after="0"/>
              <w:rPr>
                <w:sz w:val="17"/>
                <w:szCs w:val="17"/>
                <w:color w:val="auto"/>
              </w:rPr>
            </w:pPr>
          </w:p>
        </w:tc>
        <w:tc>
          <w:tcPr>
            <w:tcW w:w="6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6,120</w:t>
            </w:r>
          </w:p>
        </w:tc>
        <w:tc>
          <w:tcPr>
            <w:tcW w:w="7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Borders>
              <w:right w:val="single" w:sz="8" w:color="CFF0FC"/>
            </w:tcBorders>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780" w:type="dxa"/>
            <w:vAlign w:val="bottom"/>
            <w:tcBorders>
              <w:right w:val="single" w:sz="8" w:color="CFF0FC"/>
            </w:tcBorders>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0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FF0FC"/>
          </w:tcPr>
          <w:p>
            <w:pPr>
              <w:spacing w:after="0"/>
              <w:rPr>
                <w:sz w:val="17"/>
                <w:szCs w:val="17"/>
                <w:color w:val="auto"/>
              </w:rPr>
            </w:pPr>
          </w:p>
        </w:tc>
        <w:tc>
          <w:tcPr>
            <w:tcW w:w="6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7"/>
                <w:szCs w:val="17"/>
                <w:color w:val="auto"/>
              </w:rPr>
            </w:pPr>
          </w:p>
        </w:tc>
        <w:tc>
          <w:tcPr>
            <w:tcW w:w="72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700" w:type="dxa"/>
            <w:vAlign w:val="bottom"/>
            <w:tcBorders>
              <w:right w:val="single" w:sz="8" w:color="CFF0FC"/>
            </w:tcBorders>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7"/>
                <w:szCs w:val="17"/>
                <w:color w:val="auto"/>
              </w:rPr>
            </w:pPr>
          </w:p>
        </w:tc>
        <w:tc>
          <w:tcPr>
            <w:tcW w:w="640" w:type="dxa"/>
            <w:vAlign w:val="bottom"/>
            <w:tcBorders>
              <w:right w:val="single" w:sz="8" w:color="CFF0FC"/>
            </w:tcBorders>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6,120</w:t>
            </w:r>
          </w:p>
        </w:tc>
        <w:tc>
          <w:tcPr>
            <w:tcW w:w="0" w:type="dxa"/>
            <w:vAlign w:val="bottom"/>
          </w:tcPr>
          <w:p>
            <w:pPr>
              <w:spacing w:after="0"/>
              <w:rPr>
                <w:sz w:val="1"/>
                <w:szCs w:val="1"/>
                <w:color w:val="auto"/>
              </w:rPr>
            </w:pPr>
          </w:p>
        </w:tc>
      </w:tr>
      <w:tr>
        <w:trPr>
          <w:trHeight w:val="181"/>
        </w:trPr>
        <w:tc>
          <w:tcPr>
            <w:tcW w:w="1860" w:type="dxa"/>
            <w:vAlign w:val="bottom"/>
          </w:tcPr>
          <w:p>
            <w:pPr>
              <w:ind w:left="120"/>
              <w:spacing w:after="0"/>
              <w:rPr>
                <w:sz w:val="20"/>
                <w:szCs w:val="20"/>
                <w:color w:val="auto"/>
              </w:rPr>
            </w:pPr>
            <w:r>
              <w:rPr>
                <w:rFonts w:ascii="Arial" w:cs="Arial" w:eastAsia="Arial" w:hAnsi="Arial"/>
                <w:sz w:val="13"/>
                <w:szCs w:val="13"/>
                <w:color w:val="auto"/>
              </w:rPr>
              <w:t>Distributions to partners</w:t>
            </w:r>
          </w:p>
        </w:tc>
        <w:tc>
          <w:tcPr>
            <w:tcW w:w="100" w:type="dxa"/>
            <w:vAlign w:val="bottom"/>
          </w:tcPr>
          <w:p>
            <w:pPr>
              <w:spacing w:after="0"/>
              <w:rPr>
                <w:sz w:val="15"/>
                <w:szCs w:val="15"/>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(2,360 )</w:t>
            </w: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6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jc w:val="right"/>
              <w:ind w:right="77"/>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5"/>
                <w:szCs w:val="15"/>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(2,360 )</w:t>
            </w:r>
          </w:p>
        </w:tc>
        <w:tc>
          <w:tcPr>
            <w:tcW w:w="0" w:type="dxa"/>
            <w:vAlign w:val="bottom"/>
          </w:tcPr>
          <w:p>
            <w:pPr>
              <w:spacing w:after="0"/>
              <w:rPr>
                <w:sz w:val="1"/>
                <w:szCs w:val="1"/>
                <w:color w:val="auto"/>
              </w:rPr>
            </w:pPr>
          </w:p>
        </w:tc>
      </w:tr>
      <w:tr>
        <w:trPr>
          <w:trHeight w:val="197"/>
        </w:trPr>
        <w:tc>
          <w:tcPr>
            <w:tcW w:w="1860" w:type="dxa"/>
            <w:vAlign w:val="bottom"/>
            <w:shd w:val="clear" w:color="auto" w:fill="CFF0FC"/>
          </w:tcPr>
          <w:p>
            <w:pPr>
              <w:ind w:left="120"/>
              <w:spacing w:after="0"/>
              <w:rPr>
                <w:sz w:val="20"/>
                <w:szCs w:val="20"/>
                <w:color w:val="auto"/>
              </w:rPr>
            </w:pPr>
            <w:r>
              <w:rPr>
                <w:rFonts w:ascii="Arial" w:cs="Arial" w:eastAsia="Arial" w:hAnsi="Arial"/>
                <w:sz w:val="13"/>
                <w:szCs w:val="13"/>
                <w:color w:val="auto"/>
              </w:rPr>
              <w:t>Other</w:t>
            </w:r>
          </w:p>
        </w:tc>
        <w:tc>
          <w:tcPr>
            <w:tcW w:w="100" w:type="dxa"/>
            <w:vAlign w:val="bottom"/>
            <w:shd w:val="clear" w:color="auto" w:fill="CFF0FC"/>
          </w:tcPr>
          <w:p>
            <w:pPr>
              <w:spacing w:after="0"/>
              <w:rPr>
                <w:sz w:val="17"/>
                <w:szCs w:val="17"/>
                <w:color w:val="auto"/>
              </w:rPr>
            </w:pPr>
          </w:p>
        </w:tc>
        <w:tc>
          <w:tcPr>
            <w:tcW w:w="6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567</w:t>
            </w:r>
          </w:p>
        </w:tc>
        <w:tc>
          <w:tcPr>
            <w:tcW w:w="7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Borders>
              <w:right w:val="single" w:sz="8" w:color="CFF0FC"/>
            </w:tcBorders>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780" w:type="dxa"/>
            <w:vAlign w:val="bottom"/>
            <w:tcBorders>
              <w:right w:val="single" w:sz="8" w:color="CFF0FC"/>
            </w:tcBorders>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0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FF0FC"/>
          </w:tcPr>
          <w:p>
            <w:pPr>
              <w:spacing w:after="0"/>
              <w:rPr>
                <w:sz w:val="17"/>
                <w:szCs w:val="17"/>
                <w:color w:val="auto"/>
              </w:rPr>
            </w:pPr>
          </w:p>
        </w:tc>
        <w:tc>
          <w:tcPr>
            <w:tcW w:w="6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7"/>
                <w:szCs w:val="17"/>
                <w:color w:val="auto"/>
              </w:rPr>
            </w:pPr>
          </w:p>
        </w:tc>
        <w:tc>
          <w:tcPr>
            <w:tcW w:w="72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700" w:type="dxa"/>
            <w:vAlign w:val="bottom"/>
            <w:tcBorders>
              <w:right w:val="single" w:sz="8" w:color="CFF0FC"/>
            </w:tcBorders>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7"/>
                <w:szCs w:val="17"/>
                <w:color w:val="auto"/>
              </w:rPr>
            </w:pPr>
          </w:p>
        </w:tc>
        <w:tc>
          <w:tcPr>
            <w:tcW w:w="640" w:type="dxa"/>
            <w:vAlign w:val="bottom"/>
            <w:tcBorders>
              <w:right w:val="single" w:sz="8" w:color="CFF0FC"/>
            </w:tcBorders>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567</w:t>
            </w:r>
          </w:p>
        </w:tc>
        <w:tc>
          <w:tcPr>
            <w:tcW w:w="0" w:type="dxa"/>
            <w:vAlign w:val="bottom"/>
          </w:tcPr>
          <w:p>
            <w:pPr>
              <w:spacing w:after="0"/>
              <w:rPr>
                <w:sz w:val="1"/>
                <w:szCs w:val="1"/>
                <w:color w:val="auto"/>
              </w:rPr>
            </w:pPr>
          </w:p>
        </w:tc>
      </w:tr>
      <w:tr>
        <w:trPr>
          <w:trHeight w:val="173"/>
        </w:trPr>
        <w:tc>
          <w:tcPr>
            <w:tcW w:w="1860" w:type="dxa"/>
            <w:vAlign w:val="bottom"/>
          </w:tcPr>
          <w:p>
            <w:pPr>
              <w:ind w:left="120"/>
              <w:spacing w:after="0"/>
              <w:rPr>
                <w:sz w:val="20"/>
                <w:szCs w:val="20"/>
                <w:color w:val="auto"/>
              </w:rPr>
            </w:pPr>
            <w:r>
              <w:rPr>
                <w:rFonts w:ascii="Arial" w:cs="Arial" w:eastAsia="Arial" w:hAnsi="Arial"/>
                <w:sz w:val="13"/>
                <w:szCs w:val="13"/>
                <w:color w:val="auto"/>
              </w:rPr>
              <w:t>Foreign currency translation</w:t>
            </w:r>
          </w:p>
        </w:tc>
        <w:tc>
          <w:tcPr>
            <w:tcW w:w="100" w:type="dxa"/>
            <w:vAlign w:val="bottom"/>
          </w:tcPr>
          <w:p>
            <w:pPr>
              <w:spacing w:after="0"/>
              <w:rPr>
                <w:sz w:val="15"/>
                <w:szCs w:val="15"/>
                <w:color w:val="auto"/>
              </w:rPr>
            </w:pPr>
          </w:p>
        </w:tc>
        <w:tc>
          <w:tcPr>
            <w:tcW w:w="680" w:type="dxa"/>
            <w:vAlign w:val="bottom"/>
            <w:vMerge w:val="restart"/>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60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vMerge w:val="restart"/>
          </w:tcPr>
          <w:p>
            <w:pPr>
              <w:jc w:val="right"/>
              <w:ind w:right="77"/>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5"/>
                <w:szCs w:val="15"/>
                <w:color w:val="auto"/>
              </w:rPr>
            </w:pPr>
          </w:p>
        </w:tc>
        <w:tc>
          <w:tcPr>
            <w:tcW w:w="680" w:type="dxa"/>
            <w:vAlign w:val="bottom"/>
            <w:vMerge w:val="restart"/>
          </w:tcPr>
          <w:p>
            <w:pPr>
              <w:jc w:val="right"/>
              <w:ind w:right="7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20" w:type="dxa"/>
            <w:vAlign w:val="bottom"/>
            <w:vMerge w:val="restart"/>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00" w:type="dxa"/>
            <w:vAlign w:val="bottom"/>
            <w:vMerge w:val="restart"/>
          </w:tcPr>
          <w:p>
            <w:pPr>
              <w:jc w:val="right"/>
              <w:ind w:right="57"/>
              <w:spacing w:after="0"/>
              <w:rPr>
                <w:sz w:val="20"/>
                <w:szCs w:val="20"/>
                <w:color w:val="auto"/>
              </w:rPr>
            </w:pPr>
            <w:r>
              <w:rPr>
                <w:rFonts w:ascii="Arial" w:cs="Arial" w:eastAsia="Arial" w:hAnsi="Arial"/>
                <w:sz w:val="13"/>
                <w:szCs w:val="13"/>
                <w:color w:val="auto"/>
              </w:rPr>
              <w:t>2,839</w:t>
            </w:r>
          </w:p>
        </w:tc>
        <w:tc>
          <w:tcPr>
            <w:tcW w:w="80" w:type="dxa"/>
            <w:vAlign w:val="bottom"/>
          </w:tcPr>
          <w:p>
            <w:pPr>
              <w:spacing w:after="0"/>
              <w:rPr>
                <w:sz w:val="15"/>
                <w:szCs w:val="15"/>
                <w:color w:val="auto"/>
              </w:rPr>
            </w:pPr>
          </w:p>
        </w:tc>
        <w:tc>
          <w:tcPr>
            <w:tcW w:w="64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2,839</w:t>
            </w:r>
          </w:p>
        </w:tc>
        <w:tc>
          <w:tcPr>
            <w:tcW w:w="0" w:type="dxa"/>
            <w:vAlign w:val="bottom"/>
          </w:tcPr>
          <w:p>
            <w:pPr>
              <w:spacing w:after="0"/>
              <w:rPr>
                <w:sz w:val="1"/>
                <w:szCs w:val="1"/>
                <w:color w:val="auto"/>
              </w:rPr>
            </w:pPr>
          </w:p>
        </w:tc>
      </w:tr>
      <w:tr>
        <w:trPr>
          <w:trHeight w:val="163"/>
        </w:trPr>
        <w:tc>
          <w:tcPr>
            <w:tcW w:w="1860" w:type="dxa"/>
            <w:vAlign w:val="bottom"/>
          </w:tcPr>
          <w:p>
            <w:pPr>
              <w:ind w:left="120"/>
              <w:spacing w:after="0"/>
              <w:rPr>
                <w:sz w:val="20"/>
                <w:szCs w:val="20"/>
                <w:color w:val="auto"/>
              </w:rPr>
            </w:pPr>
            <w:r>
              <w:rPr>
                <w:rFonts w:ascii="Arial" w:cs="Arial" w:eastAsia="Arial" w:hAnsi="Arial"/>
                <w:sz w:val="13"/>
                <w:szCs w:val="13"/>
                <w:color w:val="auto"/>
              </w:rPr>
              <w:t>gain (loss)</w:t>
            </w: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186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w w:val="95"/>
              </w:rPr>
              <w:t>Balance at September 30, 2020</w:t>
            </w: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67,471</w:t>
            </w:r>
          </w:p>
        </w:tc>
        <w:tc>
          <w:tcPr>
            <w:tcW w:w="7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Borders>
              <w:right w:val="single" w:sz="8" w:color="CFF0FC"/>
            </w:tcBorders>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780" w:type="dxa"/>
            <w:vAlign w:val="bottom"/>
            <w:tcBorders>
              <w:right w:val="single" w:sz="8" w:color="CFF0FC"/>
            </w:tcBorders>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ind w:right="457"/>
              <w:spacing w:after="0"/>
              <w:rPr>
                <w:sz w:val="20"/>
                <w:szCs w:val="20"/>
                <w:color w:val="auto"/>
              </w:rPr>
            </w:pPr>
            <w:r>
              <w:rPr>
                <w:rFonts w:ascii="Arial" w:cs="Arial" w:eastAsia="Arial" w:hAnsi="Arial"/>
                <w:sz w:val="13"/>
                <w:szCs w:val="13"/>
                <w:color w:val="auto"/>
                <w:w w:val="82"/>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FF0FC"/>
          </w:tcPr>
          <w:p>
            <w:pPr>
              <w:spacing w:after="0"/>
              <w:rPr>
                <w:sz w:val="17"/>
                <w:szCs w:val="17"/>
                <w:color w:val="auto"/>
              </w:rPr>
            </w:pPr>
          </w:p>
        </w:tc>
        <w:tc>
          <w:tcPr>
            <w:tcW w:w="580" w:type="dxa"/>
            <w:vAlign w:val="bottom"/>
            <w:shd w:val="clear" w:color="auto" w:fill="CFF0FC"/>
          </w:tcPr>
          <w:p>
            <w:pPr>
              <w:jc w:val="right"/>
              <w:ind w:right="461"/>
              <w:spacing w:after="0"/>
              <w:rPr>
                <w:sz w:val="20"/>
                <w:szCs w:val="20"/>
                <w:color w:val="auto"/>
              </w:rPr>
            </w:pPr>
            <w:r>
              <w:rPr>
                <w:rFonts w:ascii="Arial" w:cs="Arial" w:eastAsia="Arial" w:hAnsi="Arial"/>
                <w:sz w:val="10"/>
                <w:szCs w:val="10"/>
                <w:color w:val="auto"/>
                <w:w w:val="71"/>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FF0FC"/>
          </w:tcPr>
          <w:p>
            <w:pPr>
              <w:spacing w:after="0"/>
              <w:rPr>
                <w:sz w:val="17"/>
                <w:szCs w:val="17"/>
                <w:color w:val="auto"/>
              </w:rPr>
            </w:pPr>
          </w:p>
        </w:tc>
        <w:tc>
          <w:tcPr>
            <w:tcW w:w="580" w:type="dxa"/>
            <w:vAlign w:val="bottom"/>
            <w:shd w:val="clear" w:color="auto" w:fill="CFF0FC"/>
          </w:tcPr>
          <w:p>
            <w:pPr>
              <w:jc w:val="right"/>
              <w:ind w:right="437"/>
              <w:spacing w:after="0"/>
              <w:rPr>
                <w:sz w:val="20"/>
                <w:szCs w:val="20"/>
                <w:color w:val="auto"/>
              </w:rPr>
            </w:pPr>
            <w:r>
              <w:rPr>
                <w:rFonts w:ascii="Arial" w:cs="Arial" w:eastAsia="Arial" w:hAnsi="Arial"/>
                <w:sz w:val="13"/>
                <w:szCs w:val="13"/>
                <w:color w:val="auto"/>
                <w:w w:val="82"/>
              </w:rPr>
              <w:t>$</w:t>
            </w:r>
          </w:p>
        </w:tc>
        <w:tc>
          <w:tcPr>
            <w:tcW w:w="20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ind w:left="20"/>
              <w:spacing w:after="0"/>
              <w:rPr>
                <w:sz w:val="20"/>
                <w:szCs w:val="20"/>
                <w:color w:val="auto"/>
              </w:rPr>
            </w:pPr>
            <w:r>
              <w:rPr>
                <w:rFonts w:ascii="Arial" w:cs="Arial" w:eastAsia="Arial" w:hAnsi="Arial"/>
                <w:sz w:val="10"/>
                <w:szCs w:val="10"/>
                <w:color w:val="auto"/>
                <w:w w:val="71"/>
              </w:rPr>
              <w:t>$</w:t>
            </w:r>
          </w:p>
        </w:tc>
        <w:tc>
          <w:tcPr>
            <w:tcW w:w="72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ind w:left="20"/>
              <w:spacing w:after="0"/>
              <w:rPr>
                <w:sz w:val="20"/>
                <w:szCs w:val="20"/>
                <w:color w:val="auto"/>
              </w:rPr>
            </w:pPr>
            <w:r>
              <w:rPr>
                <w:rFonts w:ascii="Arial" w:cs="Arial" w:eastAsia="Arial" w:hAnsi="Arial"/>
                <w:sz w:val="13"/>
                <w:szCs w:val="13"/>
                <w:color w:val="auto"/>
                <w:w w:val="82"/>
              </w:rPr>
              <w:t>$</w:t>
            </w:r>
          </w:p>
        </w:tc>
        <w:tc>
          <w:tcPr>
            <w:tcW w:w="7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(5,472 )</w:t>
            </w: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right w:val="single" w:sz="8" w:color="CFF0FC"/>
            </w:tcBorders>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61,999</w:t>
            </w:r>
          </w:p>
        </w:tc>
        <w:tc>
          <w:tcPr>
            <w:tcW w:w="0" w:type="dxa"/>
            <w:vAlign w:val="bottom"/>
          </w:tcPr>
          <w:p>
            <w:pPr>
              <w:spacing w:after="0"/>
              <w:rPr>
                <w:sz w:val="1"/>
                <w:szCs w:val="1"/>
                <w:color w:val="auto"/>
              </w:rPr>
            </w:pPr>
          </w:p>
        </w:tc>
      </w:tr>
      <w:tr>
        <w:trPr>
          <w:trHeight w:val="20"/>
        </w:trPr>
        <w:tc>
          <w:tcPr>
            <w:tcW w:w="18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78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78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78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-1676400</wp:posOffset>
            </wp:positionV>
            <wp:extent cx="43180"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-1676400</wp:posOffset>
            </wp:positionV>
            <wp:extent cx="43180"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-1676400</wp:posOffset>
            </wp:positionV>
            <wp:extent cx="43180"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-1676400</wp:posOffset>
            </wp:positionV>
            <wp:extent cx="43180"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-1676400</wp:posOffset>
            </wp:positionV>
            <wp:extent cx="43180"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-1676400</wp:posOffset>
            </wp:positionV>
            <wp:extent cx="43180"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-1676400</wp:posOffset>
            </wp:positionV>
            <wp:extent cx="43180"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-1676400</wp:posOffset>
            </wp:positionV>
            <wp:extent cx="43180"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-1676400</wp:posOffset>
            </wp:positionV>
            <wp:extent cx="43180"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-1676400</wp:posOffset>
            </wp:positionV>
            <wp:extent cx="34290"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6597015</wp:posOffset>
            </wp:positionH>
            <wp:positionV relativeFrom="paragraph">
              <wp:posOffset>-1676400</wp:posOffset>
            </wp:positionV>
            <wp:extent cx="34290"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-24765</wp:posOffset>
            </wp:positionV>
            <wp:extent cx="431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-7620</wp:posOffset>
            </wp:positionV>
            <wp:extent cx="431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-24765</wp:posOffset>
            </wp:positionV>
            <wp:extent cx="431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-7620</wp:posOffset>
            </wp:positionV>
            <wp:extent cx="431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-24765</wp:posOffset>
            </wp:positionV>
            <wp:extent cx="431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-7620</wp:posOffset>
            </wp:positionV>
            <wp:extent cx="431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-24765</wp:posOffset>
            </wp:positionV>
            <wp:extent cx="431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-7620</wp:posOffset>
            </wp:positionV>
            <wp:extent cx="431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-24765</wp:posOffset>
            </wp:positionV>
            <wp:extent cx="431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-7620</wp:posOffset>
            </wp:positionV>
            <wp:extent cx="431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-24765</wp:posOffset>
            </wp:positionV>
            <wp:extent cx="431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-7620</wp:posOffset>
            </wp:positionV>
            <wp:extent cx="431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-24765</wp:posOffset>
            </wp:positionV>
            <wp:extent cx="431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-7620</wp:posOffset>
            </wp:positionV>
            <wp:extent cx="431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-24765</wp:posOffset>
            </wp:positionV>
            <wp:extent cx="431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-7620</wp:posOffset>
            </wp:positionV>
            <wp:extent cx="431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-24765</wp:posOffset>
            </wp:positionV>
            <wp:extent cx="431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-7620</wp:posOffset>
            </wp:positionV>
            <wp:extent cx="431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-24765</wp:posOffset>
            </wp:positionV>
            <wp:extent cx="3429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-7620</wp:posOffset>
            </wp:positionV>
            <wp:extent cx="3429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6597015</wp:posOffset>
            </wp:positionH>
            <wp:positionV relativeFrom="paragraph">
              <wp:posOffset>-24765</wp:posOffset>
            </wp:positionV>
            <wp:extent cx="3429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6597015</wp:posOffset>
            </wp:positionH>
            <wp:positionV relativeFrom="paragraph">
              <wp:posOffset>-7620</wp:posOffset>
            </wp:positionV>
            <wp:extent cx="3429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9"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675" w:right="459" w:bottom="1440" w:gutter="0" w:footer="0" w:header="0"/>
        </w:sectPr>
      </w:pPr>
    </w:p>
    <w:bookmarkStart w:id="9" w:name="page10"/>
    <w:bookmarkEnd w:id="9"/>
    <w:p>
      <w:pPr>
        <w:ind w:left="4500"/>
        <w:spacing w:after="0"/>
        <w:rPr>
          <w:sz w:val="20"/>
          <w:szCs w:val="20"/>
          <w:color w:val="auto"/>
        </w:rPr>
      </w:pPr>
      <w:r>
        <w:rPr>
          <w:rFonts w:ascii="Arial" w:cs="Arial" w:eastAsia="Arial" w:hAnsi="Arial"/>
          <w:sz w:val="18"/>
          <w:szCs w:val="18"/>
          <w:b w:val="1"/>
          <w:bCs w:val="1"/>
          <w:color w:val="auto"/>
        </w:rPr>
        <w:t>Perella Weinberg Partners</w:t>
      </w:r>
    </w:p>
    <w:p>
      <w:pPr>
        <w:spacing w:after="0" w:line="63"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Condensed Consolidated Statements of Changes in Equity</w:t>
      </w:r>
    </w:p>
    <w:p>
      <w:pPr>
        <w:spacing w:after="0" w:line="50"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(Dollars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82"/>
              </w:rPr>
              <w:t>Shares</w:t>
            </w:r>
          </w:p>
        </w:tc>
        <w:tc>
          <w:tcPr>
            <w:tcW w:w="7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3"/>
                <w:szCs w:val="13"/>
                <w:b w:val="1"/>
                <w:bCs w:val="1"/>
                <w:color w:val="auto"/>
              </w:rPr>
              <w:t>Accumulate</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177"/>
              <w:spacing w:after="0"/>
              <w:rPr>
                <w:sz w:val="20"/>
                <w:szCs w:val="20"/>
                <w:color w:val="auto"/>
              </w:rPr>
            </w:pPr>
            <w:r>
              <w:rPr>
                <w:rFonts w:ascii="Arial" w:cs="Arial" w:eastAsia="Arial" w:hAnsi="Arial"/>
                <w:sz w:val="13"/>
                <w:szCs w:val="13"/>
                <w:b w:val="1"/>
                <w:bCs w:val="1"/>
                <w:color w:val="auto"/>
              </w:rPr>
              <w:t>d</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center"/>
              <w:ind w:right="137"/>
              <w:spacing w:after="0"/>
              <w:rPr>
                <w:sz w:val="20"/>
                <w:szCs w:val="20"/>
                <w:color w:val="auto"/>
              </w:rPr>
            </w:pPr>
            <w:r>
              <w:rPr>
                <w:rFonts w:ascii="Arial" w:cs="Arial" w:eastAsia="Arial" w:hAnsi="Arial"/>
                <w:sz w:val="13"/>
                <w:szCs w:val="13"/>
                <w:b w:val="1"/>
                <w:bCs w:val="1"/>
                <w:color w:val="auto"/>
                <w:w w:val="87"/>
              </w:rPr>
              <w:t>Retained</w:t>
            </w:r>
          </w:p>
        </w:tc>
        <w:tc>
          <w:tcPr>
            <w:tcW w:w="100" w:type="dxa"/>
            <w:vAlign w:val="bottom"/>
          </w:tcPr>
          <w:p>
            <w:pPr>
              <w:spacing w:after="0"/>
              <w:rPr>
                <w:sz w:val="14"/>
                <w:szCs w:val="14"/>
                <w:color w:val="auto"/>
              </w:rPr>
            </w:pPr>
          </w:p>
        </w:tc>
        <w:tc>
          <w:tcPr>
            <w:tcW w:w="720" w:type="dxa"/>
            <w:vAlign w:val="bottom"/>
          </w:tcPr>
          <w:p>
            <w:pPr>
              <w:jc w:val="center"/>
              <w:ind w:right="177"/>
              <w:spacing w:after="0"/>
              <w:rPr>
                <w:sz w:val="20"/>
                <w:szCs w:val="20"/>
                <w:color w:val="auto"/>
              </w:rPr>
            </w:pPr>
            <w:r>
              <w:rPr>
                <w:rFonts w:ascii="Arial" w:cs="Arial" w:eastAsia="Arial" w:hAnsi="Arial"/>
                <w:sz w:val="13"/>
                <w:szCs w:val="13"/>
                <w:b w:val="1"/>
                <w:bCs w:val="1"/>
                <w:color w:val="auto"/>
                <w:w w:val="92"/>
              </w:rPr>
              <w:t>Other</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gridSpan w:val="2"/>
          </w:tcPr>
          <w:p>
            <w:pPr>
              <w:jc w:val="center"/>
              <w:ind w:right="57"/>
              <w:spacing w:after="0"/>
              <w:rPr>
                <w:sz w:val="20"/>
                <w:szCs w:val="20"/>
                <w:color w:val="auto"/>
              </w:rPr>
            </w:pPr>
            <w:r>
              <w:rPr>
                <w:rFonts w:ascii="Arial" w:cs="Arial" w:eastAsia="Arial" w:hAnsi="Arial"/>
                <w:sz w:val="13"/>
                <w:szCs w:val="13"/>
                <w:b w:val="1"/>
                <w:bCs w:val="1"/>
                <w:color w:val="auto"/>
                <w:w w:val="86"/>
              </w:rPr>
              <w:t>Earnings</w:t>
            </w:r>
          </w:p>
        </w:tc>
        <w:tc>
          <w:tcPr>
            <w:tcW w:w="820" w:type="dxa"/>
            <w:vAlign w:val="bottom"/>
            <w:gridSpan w:val="2"/>
          </w:tcPr>
          <w:p>
            <w:pPr>
              <w:ind w:left="20"/>
              <w:spacing w:after="0"/>
              <w:rPr>
                <w:sz w:val="20"/>
                <w:szCs w:val="20"/>
                <w:color w:val="auto"/>
              </w:rPr>
            </w:pPr>
            <w:r>
              <w:rPr>
                <w:rFonts w:ascii="Arial" w:cs="Arial" w:eastAsia="Arial" w:hAnsi="Arial"/>
                <w:sz w:val="13"/>
                <w:szCs w:val="13"/>
                <w:b w:val="1"/>
                <w:bCs w:val="1"/>
                <w:color w:val="auto"/>
              </w:rPr>
              <w:t>Comprehen</w:t>
            </w:r>
          </w:p>
        </w:tc>
        <w:tc>
          <w:tcPr>
            <w:tcW w:w="60" w:type="dxa"/>
            <w:vAlign w:val="bottom"/>
          </w:tcPr>
          <w:p>
            <w:pPr>
              <w:spacing w:after="0"/>
              <w:rPr>
                <w:sz w:val="14"/>
                <w:szCs w:val="14"/>
                <w:color w:val="auto"/>
              </w:rPr>
            </w:pPr>
          </w:p>
        </w:tc>
        <w:tc>
          <w:tcPr>
            <w:tcW w:w="680" w:type="dxa"/>
            <w:vAlign w:val="bottom"/>
          </w:tcPr>
          <w:p>
            <w:pPr>
              <w:jc w:val="center"/>
              <w:ind w:right="137"/>
              <w:spacing w:after="0"/>
              <w:rPr>
                <w:sz w:val="20"/>
                <w:szCs w:val="20"/>
                <w:color w:val="auto"/>
              </w:rPr>
            </w:pPr>
            <w:r>
              <w:rPr>
                <w:rFonts w:ascii="Arial" w:cs="Arial" w:eastAsia="Arial" w:hAnsi="Arial"/>
                <w:sz w:val="13"/>
                <w:szCs w:val="13"/>
                <w:b w:val="1"/>
                <w:bCs w:val="1"/>
                <w:color w:val="auto"/>
                <w:w w:val="94"/>
              </w:rPr>
              <w:t>Non-</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jc w:val="center"/>
              <w:ind w:right="77"/>
              <w:spacing w:after="0"/>
              <w:rPr>
                <w:sz w:val="20"/>
                <w:szCs w:val="20"/>
                <w:color w:val="auto"/>
              </w:rPr>
            </w:pPr>
            <w:r>
              <w:rPr>
                <w:rFonts w:ascii="Arial" w:cs="Arial" w:eastAsia="Arial" w:hAnsi="Arial"/>
                <w:sz w:val="13"/>
                <w:szCs w:val="13"/>
                <w:b w:val="1"/>
                <w:bCs w:val="1"/>
                <w:color w:val="auto"/>
                <w:w w:val="87"/>
              </w:rPr>
              <w:t>Class A</w:t>
            </w:r>
          </w:p>
        </w:tc>
        <w:tc>
          <w:tcPr>
            <w:tcW w:w="800" w:type="dxa"/>
            <w:vAlign w:val="bottom"/>
          </w:tcPr>
          <w:p>
            <w:pPr>
              <w:jc w:val="center"/>
              <w:ind w:right="97"/>
              <w:spacing w:after="0"/>
              <w:rPr>
                <w:sz w:val="20"/>
                <w:szCs w:val="20"/>
                <w:color w:val="auto"/>
              </w:rPr>
            </w:pPr>
            <w:r>
              <w:rPr>
                <w:rFonts w:ascii="Arial" w:cs="Arial" w:eastAsia="Arial" w:hAnsi="Arial"/>
                <w:sz w:val="13"/>
                <w:szCs w:val="13"/>
                <w:b w:val="1"/>
                <w:bCs w:val="1"/>
                <w:color w:val="auto"/>
                <w:w w:val="83"/>
              </w:rPr>
              <w:t>Class B</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83"/>
              </w:rPr>
              <w:t>Class A</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center"/>
              <w:ind w:left="20"/>
              <w:spacing w:after="0"/>
              <w:rPr>
                <w:sz w:val="20"/>
                <w:szCs w:val="20"/>
                <w:color w:val="auto"/>
              </w:rPr>
            </w:pPr>
            <w:r>
              <w:rPr>
                <w:rFonts w:ascii="Arial" w:cs="Arial" w:eastAsia="Arial" w:hAnsi="Arial"/>
                <w:sz w:val="13"/>
                <w:szCs w:val="13"/>
                <w:b w:val="1"/>
                <w:bCs w:val="1"/>
                <w:color w:val="auto"/>
                <w:w w:val="83"/>
              </w:rPr>
              <w:t>Class B</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3"/>
                <w:szCs w:val="13"/>
                <w:b w:val="1"/>
                <w:bCs w:val="1"/>
                <w:color w:val="auto"/>
              </w:rPr>
              <w:t>Additional</w:t>
            </w:r>
          </w:p>
        </w:tc>
        <w:tc>
          <w:tcPr>
            <w:tcW w:w="760" w:type="dxa"/>
            <w:vAlign w:val="bottom"/>
            <w:gridSpan w:val="2"/>
          </w:tcPr>
          <w:p>
            <w:pPr>
              <w:ind w:left="20"/>
              <w:spacing w:after="0"/>
              <w:rPr>
                <w:sz w:val="20"/>
                <w:szCs w:val="20"/>
                <w:color w:val="auto"/>
              </w:rPr>
            </w:pPr>
            <w:r>
              <w:rPr>
                <w:rFonts w:ascii="Arial" w:cs="Arial" w:eastAsia="Arial" w:hAnsi="Arial"/>
                <w:sz w:val="13"/>
                <w:szCs w:val="13"/>
                <w:b w:val="1"/>
                <w:bCs w:val="1"/>
                <w:color w:val="auto"/>
              </w:rPr>
              <w:t>(Accumula</w:t>
            </w:r>
          </w:p>
        </w:tc>
        <w:tc>
          <w:tcPr>
            <w:tcW w:w="100" w:type="dxa"/>
            <w:vAlign w:val="bottom"/>
          </w:tcPr>
          <w:p>
            <w:pPr>
              <w:spacing w:after="0"/>
              <w:rPr>
                <w:sz w:val="14"/>
                <w:szCs w:val="14"/>
                <w:color w:val="auto"/>
              </w:rPr>
            </w:pPr>
          </w:p>
        </w:tc>
        <w:tc>
          <w:tcPr>
            <w:tcW w:w="720" w:type="dxa"/>
            <w:vAlign w:val="bottom"/>
          </w:tcPr>
          <w:p>
            <w:pPr>
              <w:jc w:val="center"/>
              <w:ind w:right="177"/>
              <w:spacing w:after="0"/>
              <w:rPr>
                <w:sz w:val="20"/>
                <w:szCs w:val="20"/>
                <w:color w:val="auto"/>
              </w:rPr>
            </w:pPr>
            <w:r>
              <w:rPr>
                <w:rFonts w:ascii="Arial" w:cs="Arial" w:eastAsia="Arial" w:hAnsi="Arial"/>
                <w:sz w:val="13"/>
                <w:szCs w:val="13"/>
                <w:b w:val="1"/>
                <w:bCs w:val="1"/>
                <w:color w:val="auto"/>
                <w:w w:val="78"/>
              </w:rPr>
              <w:t>sive</w:t>
            </w:r>
          </w:p>
        </w:tc>
        <w:tc>
          <w:tcPr>
            <w:tcW w:w="740" w:type="dxa"/>
            <w:vAlign w:val="bottom"/>
            <w:gridSpan w:val="2"/>
          </w:tcPr>
          <w:p>
            <w:pPr>
              <w:jc w:val="center"/>
              <w:ind w:right="77"/>
              <w:spacing w:after="0"/>
              <w:rPr>
                <w:sz w:val="20"/>
                <w:szCs w:val="20"/>
                <w:color w:val="auto"/>
              </w:rPr>
            </w:pPr>
            <w:r>
              <w:rPr>
                <w:rFonts w:ascii="Arial" w:cs="Arial" w:eastAsia="Arial" w:hAnsi="Arial"/>
                <w:sz w:val="13"/>
                <w:szCs w:val="13"/>
                <w:b w:val="1"/>
                <w:bCs w:val="1"/>
                <w:color w:val="auto"/>
                <w:w w:val="91"/>
              </w:rPr>
              <w:t>Controllin</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40" w:type="dxa"/>
            <w:vAlign w:val="bottom"/>
          </w:tcPr>
          <w:p>
            <w:pPr>
              <w:spacing w:after="0"/>
              <w:rPr>
                <w:sz w:val="14"/>
                <w:szCs w:val="14"/>
                <w:color w:val="auto"/>
              </w:rPr>
            </w:pPr>
          </w:p>
        </w:tc>
        <w:tc>
          <w:tcPr>
            <w:tcW w:w="780" w:type="dxa"/>
            <w:vAlign w:val="bottom"/>
            <w:gridSpan w:val="2"/>
          </w:tcPr>
          <w:p>
            <w:pPr>
              <w:jc w:val="right"/>
              <w:ind w:right="157"/>
              <w:spacing w:after="0"/>
              <w:rPr>
                <w:sz w:val="20"/>
                <w:szCs w:val="20"/>
                <w:color w:val="auto"/>
              </w:rPr>
            </w:pPr>
            <w:r>
              <w:rPr>
                <w:rFonts w:ascii="Arial" w:cs="Arial" w:eastAsia="Arial" w:hAnsi="Arial"/>
                <w:sz w:val="13"/>
                <w:szCs w:val="13"/>
                <w:b w:val="1"/>
                <w:bCs w:val="1"/>
                <w:color w:val="auto"/>
                <w:w w:val="95"/>
              </w:rPr>
              <w:t>Partners’</w:t>
            </w:r>
          </w:p>
        </w:tc>
        <w:tc>
          <w:tcPr>
            <w:tcW w:w="800" w:type="dxa"/>
            <w:vAlign w:val="bottom"/>
          </w:tcPr>
          <w:p>
            <w:pPr>
              <w:jc w:val="center"/>
              <w:ind w:right="77"/>
              <w:spacing w:after="0"/>
              <w:rPr>
                <w:sz w:val="20"/>
                <w:szCs w:val="20"/>
                <w:color w:val="auto"/>
              </w:rPr>
            </w:pPr>
            <w:r>
              <w:rPr>
                <w:rFonts w:ascii="Arial" w:cs="Arial" w:eastAsia="Arial" w:hAnsi="Arial"/>
                <w:sz w:val="13"/>
                <w:szCs w:val="13"/>
                <w:b w:val="1"/>
                <w:bCs w:val="1"/>
                <w:color w:val="auto"/>
                <w:w w:val="88"/>
              </w:rPr>
              <w:t>Common</w:t>
            </w:r>
          </w:p>
        </w:tc>
        <w:tc>
          <w:tcPr>
            <w:tcW w:w="800" w:type="dxa"/>
            <w:vAlign w:val="bottom"/>
          </w:tcPr>
          <w:p>
            <w:pPr>
              <w:jc w:val="center"/>
              <w:ind w:right="77"/>
              <w:spacing w:after="0"/>
              <w:rPr>
                <w:sz w:val="20"/>
                <w:szCs w:val="20"/>
                <w:color w:val="auto"/>
              </w:rPr>
            </w:pPr>
            <w:r>
              <w:rPr>
                <w:rFonts w:ascii="Arial" w:cs="Arial" w:eastAsia="Arial" w:hAnsi="Arial"/>
                <w:sz w:val="13"/>
                <w:szCs w:val="13"/>
                <w:b w:val="1"/>
                <w:bCs w:val="1"/>
                <w:color w:val="auto"/>
                <w:w w:val="88"/>
              </w:rPr>
              <w:t>Common</w:t>
            </w:r>
          </w:p>
        </w:tc>
        <w:tc>
          <w:tcPr>
            <w:tcW w:w="720" w:type="dxa"/>
            <w:vAlign w:val="bottom"/>
          </w:tcPr>
          <w:p>
            <w:pPr>
              <w:jc w:val="right"/>
              <w:ind w:right="97"/>
              <w:spacing w:after="0"/>
              <w:rPr>
                <w:sz w:val="20"/>
                <w:szCs w:val="20"/>
                <w:color w:val="auto"/>
              </w:rPr>
            </w:pPr>
            <w:r>
              <w:rPr>
                <w:rFonts w:ascii="Arial" w:cs="Arial" w:eastAsia="Arial" w:hAnsi="Arial"/>
                <w:sz w:val="13"/>
                <w:szCs w:val="13"/>
                <w:b w:val="1"/>
                <w:bCs w:val="1"/>
                <w:color w:val="auto"/>
                <w:w w:val="98"/>
              </w:rPr>
              <w:t>Treasury</w:t>
            </w:r>
          </w:p>
        </w:tc>
        <w:tc>
          <w:tcPr>
            <w:tcW w:w="80" w:type="dxa"/>
            <w:vAlign w:val="bottom"/>
          </w:tcPr>
          <w:p>
            <w:pPr>
              <w:spacing w:after="0"/>
              <w:rPr>
                <w:sz w:val="14"/>
                <w:szCs w:val="14"/>
                <w:color w:val="auto"/>
              </w:rPr>
            </w:pPr>
          </w:p>
        </w:tc>
        <w:tc>
          <w:tcPr>
            <w:tcW w:w="580" w:type="dxa"/>
            <w:vAlign w:val="bottom"/>
          </w:tcPr>
          <w:p>
            <w:pPr>
              <w:jc w:val="center"/>
              <w:ind w:left="20"/>
              <w:spacing w:after="0"/>
              <w:rPr>
                <w:sz w:val="20"/>
                <w:szCs w:val="20"/>
                <w:color w:val="auto"/>
              </w:rPr>
            </w:pPr>
            <w:r>
              <w:rPr>
                <w:rFonts w:ascii="Arial" w:cs="Arial" w:eastAsia="Arial" w:hAnsi="Arial"/>
                <w:sz w:val="13"/>
                <w:szCs w:val="13"/>
                <w:b w:val="1"/>
                <w:bCs w:val="1"/>
                <w:color w:val="auto"/>
                <w:w w:val="88"/>
              </w:rPr>
              <w:t>Common</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88"/>
              </w:rPr>
              <w:t>Common</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137"/>
              <w:spacing w:after="0"/>
              <w:rPr>
                <w:sz w:val="20"/>
                <w:szCs w:val="20"/>
                <w:color w:val="auto"/>
              </w:rPr>
            </w:pPr>
            <w:r>
              <w:rPr>
                <w:rFonts w:ascii="Arial" w:cs="Arial" w:eastAsia="Arial" w:hAnsi="Arial"/>
                <w:sz w:val="13"/>
                <w:szCs w:val="13"/>
                <w:b w:val="1"/>
                <w:bCs w:val="1"/>
                <w:color w:val="auto"/>
                <w:w w:val="83"/>
              </w:rPr>
              <w:t>Treasury</w:t>
            </w:r>
          </w:p>
        </w:tc>
        <w:tc>
          <w:tcPr>
            <w:tcW w:w="100" w:type="dxa"/>
            <w:vAlign w:val="bottom"/>
          </w:tcPr>
          <w:p>
            <w:pPr>
              <w:spacing w:after="0"/>
              <w:rPr>
                <w:sz w:val="14"/>
                <w:szCs w:val="14"/>
                <w:color w:val="auto"/>
              </w:rPr>
            </w:pPr>
          </w:p>
        </w:tc>
        <w:tc>
          <w:tcPr>
            <w:tcW w:w="640" w:type="dxa"/>
            <w:vAlign w:val="bottom"/>
          </w:tcPr>
          <w:p>
            <w:pPr>
              <w:jc w:val="right"/>
              <w:ind w:right="157"/>
              <w:spacing w:after="0"/>
              <w:rPr>
                <w:sz w:val="20"/>
                <w:szCs w:val="20"/>
                <w:color w:val="auto"/>
              </w:rPr>
            </w:pPr>
            <w:r>
              <w:rPr>
                <w:rFonts w:ascii="Arial" w:cs="Arial" w:eastAsia="Arial" w:hAnsi="Arial"/>
                <w:sz w:val="13"/>
                <w:szCs w:val="13"/>
                <w:b w:val="1"/>
                <w:bCs w:val="1"/>
                <w:color w:val="auto"/>
                <w:w w:val="92"/>
              </w:rPr>
              <w:t>Paid-In</w:t>
            </w:r>
          </w:p>
        </w:tc>
        <w:tc>
          <w:tcPr>
            <w:tcW w:w="80" w:type="dxa"/>
            <w:vAlign w:val="bottom"/>
          </w:tcPr>
          <w:p>
            <w:pPr>
              <w:spacing w:after="0"/>
              <w:rPr>
                <w:sz w:val="14"/>
                <w:szCs w:val="14"/>
                <w:color w:val="auto"/>
              </w:rPr>
            </w:pPr>
          </w:p>
        </w:tc>
        <w:tc>
          <w:tcPr>
            <w:tcW w:w="680" w:type="dxa"/>
            <w:vAlign w:val="bottom"/>
          </w:tcPr>
          <w:p>
            <w:pPr>
              <w:jc w:val="center"/>
              <w:ind w:right="137"/>
              <w:spacing w:after="0"/>
              <w:rPr>
                <w:sz w:val="20"/>
                <w:szCs w:val="20"/>
                <w:color w:val="auto"/>
              </w:rPr>
            </w:pPr>
            <w:r>
              <w:rPr>
                <w:rFonts w:ascii="Arial" w:cs="Arial" w:eastAsia="Arial" w:hAnsi="Arial"/>
                <w:sz w:val="13"/>
                <w:szCs w:val="13"/>
                <w:b w:val="1"/>
                <w:bCs w:val="1"/>
                <w:color w:val="auto"/>
                <w:w w:val="81"/>
              </w:rPr>
              <w:t>ted</w:t>
            </w:r>
          </w:p>
        </w:tc>
        <w:tc>
          <w:tcPr>
            <w:tcW w:w="100" w:type="dxa"/>
            <w:vAlign w:val="bottom"/>
          </w:tcPr>
          <w:p>
            <w:pPr>
              <w:spacing w:after="0"/>
              <w:rPr>
                <w:sz w:val="14"/>
                <w:szCs w:val="14"/>
                <w:color w:val="auto"/>
              </w:rPr>
            </w:pPr>
          </w:p>
        </w:tc>
        <w:tc>
          <w:tcPr>
            <w:tcW w:w="720" w:type="dxa"/>
            <w:vAlign w:val="bottom"/>
          </w:tcPr>
          <w:p>
            <w:pPr>
              <w:jc w:val="right"/>
              <w:ind w:right="237"/>
              <w:spacing w:after="0"/>
              <w:rPr>
                <w:sz w:val="20"/>
                <w:szCs w:val="20"/>
                <w:color w:val="auto"/>
              </w:rPr>
            </w:pPr>
            <w:r>
              <w:rPr>
                <w:rFonts w:ascii="Arial" w:cs="Arial" w:eastAsia="Arial" w:hAnsi="Arial"/>
                <w:sz w:val="13"/>
                <w:szCs w:val="13"/>
                <w:b w:val="1"/>
                <w:bCs w:val="1"/>
                <w:color w:val="auto"/>
                <w:w w:val="87"/>
              </w:rPr>
              <w:t>Income</w:t>
            </w:r>
          </w:p>
        </w:tc>
        <w:tc>
          <w:tcPr>
            <w:tcW w:w="60" w:type="dxa"/>
            <w:vAlign w:val="bottom"/>
          </w:tcPr>
          <w:p>
            <w:pPr>
              <w:spacing w:after="0"/>
              <w:rPr>
                <w:sz w:val="14"/>
                <w:szCs w:val="14"/>
                <w:color w:val="auto"/>
              </w:rPr>
            </w:pPr>
          </w:p>
        </w:tc>
        <w:tc>
          <w:tcPr>
            <w:tcW w:w="680" w:type="dxa"/>
            <w:vAlign w:val="bottom"/>
          </w:tcPr>
          <w:p>
            <w:pPr>
              <w:jc w:val="center"/>
              <w:ind w:right="137"/>
              <w:spacing w:after="0"/>
              <w:rPr>
                <w:sz w:val="20"/>
                <w:szCs w:val="20"/>
                <w:color w:val="auto"/>
              </w:rPr>
            </w:pPr>
            <w:r>
              <w:rPr>
                <w:rFonts w:ascii="Arial" w:cs="Arial" w:eastAsia="Arial" w:hAnsi="Arial"/>
                <w:sz w:val="13"/>
                <w:szCs w:val="13"/>
                <w:b w:val="1"/>
                <w:bCs w:val="1"/>
                <w:color w:val="auto"/>
              </w:rPr>
              <w:t>g</w:t>
            </w:r>
          </w:p>
        </w:tc>
        <w:tc>
          <w:tcPr>
            <w:tcW w:w="100" w:type="dxa"/>
            <w:vAlign w:val="bottom"/>
          </w:tcPr>
          <w:p>
            <w:pPr>
              <w:spacing w:after="0"/>
              <w:rPr>
                <w:sz w:val="14"/>
                <w:szCs w:val="14"/>
                <w:color w:val="auto"/>
              </w:rPr>
            </w:pPr>
          </w:p>
        </w:tc>
        <w:tc>
          <w:tcPr>
            <w:tcW w:w="580" w:type="dxa"/>
            <w:vAlign w:val="bottom"/>
          </w:tcPr>
          <w:p>
            <w:pPr>
              <w:jc w:val="right"/>
              <w:ind w:right="17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4"/>
        </w:trPr>
        <w:tc>
          <w:tcPr>
            <w:tcW w:w="18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w w:val="92"/>
              </w:rPr>
              <w:t>Capital</w:t>
            </w:r>
          </w:p>
        </w:tc>
        <w:tc>
          <w:tcPr>
            <w:tcW w:w="80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84"/>
              </w:rPr>
              <w:t>Stock</w:t>
            </w:r>
          </w:p>
        </w:tc>
        <w:tc>
          <w:tcPr>
            <w:tcW w:w="80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84"/>
              </w:rPr>
              <w:t>Stock</w:t>
            </w:r>
          </w:p>
        </w:tc>
        <w:tc>
          <w:tcPr>
            <w:tcW w:w="72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Stock</w:t>
            </w:r>
          </w:p>
        </w:tc>
        <w:tc>
          <w:tcPr>
            <w:tcW w:w="80" w:type="dxa"/>
            <w:vAlign w:val="bottom"/>
          </w:tcPr>
          <w:p>
            <w:pPr>
              <w:spacing w:after="0"/>
              <w:rPr>
                <w:sz w:val="15"/>
                <w:szCs w:val="15"/>
                <w:color w:val="auto"/>
              </w:rPr>
            </w:pPr>
          </w:p>
        </w:tc>
        <w:tc>
          <w:tcPr>
            <w:tcW w:w="580" w:type="dxa"/>
            <w:vAlign w:val="bottom"/>
            <w:tcBorders>
              <w:bottom w:val="single" w:sz="8" w:color="auto"/>
            </w:tcBorders>
          </w:tcPr>
          <w:p>
            <w:pPr>
              <w:jc w:val="center"/>
              <w:ind w:left="20"/>
              <w:spacing w:after="0"/>
              <w:rPr>
                <w:sz w:val="20"/>
                <w:szCs w:val="20"/>
                <w:color w:val="auto"/>
              </w:rPr>
            </w:pPr>
            <w:r>
              <w:rPr>
                <w:rFonts w:ascii="Arial" w:cs="Arial" w:eastAsia="Arial" w:hAnsi="Arial"/>
                <w:sz w:val="13"/>
                <w:szCs w:val="13"/>
                <w:b w:val="1"/>
                <w:bCs w:val="1"/>
                <w:color w:val="auto"/>
                <w:w w:val="84"/>
              </w:rPr>
              <w:t>Stock</w:t>
            </w:r>
          </w:p>
        </w:tc>
        <w:tc>
          <w:tcPr>
            <w:tcW w:w="1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Stock</w:t>
            </w:r>
          </w:p>
        </w:tc>
        <w:tc>
          <w:tcPr>
            <w:tcW w:w="1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Stock</w:t>
            </w: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w w:val="87"/>
              </w:rPr>
              <w:t>Capital</w:t>
            </w: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137"/>
              <w:spacing w:after="0"/>
              <w:rPr>
                <w:sz w:val="20"/>
                <w:szCs w:val="20"/>
                <w:color w:val="auto"/>
              </w:rPr>
            </w:pPr>
            <w:r>
              <w:rPr>
                <w:rFonts w:ascii="Arial" w:cs="Arial" w:eastAsia="Arial" w:hAnsi="Arial"/>
                <w:sz w:val="13"/>
                <w:szCs w:val="13"/>
                <w:b w:val="1"/>
                <w:bCs w:val="1"/>
                <w:color w:val="auto"/>
                <w:w w:val="90"/>
              </w:rPr>
              <w:t>Deficit)</w:t>
            </w: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77"/>
              <w:spacing w:after="0"/>
              <w:rPr>
                <w:sz w:val="20"/>
                <w:szCs w:val="20"/>
                <w:color w:val="auto"/>
              </w:rPr>
            </w:pPr>
            <w:r>
              <w:rPr>
                <w:rFonts w:ascii="Arial" w:cs="Arial" w:eastAsia="Arial" w:hAnsi="Arial"/>
                <w:sz w:val="13"/>
                <w:szCs w:val="13"/>
                <w:b w:val="1"/>
                <w:bCs w:val="1"/>
                <w:color w:val="auto"/>
                <w:w w:val="81"/>
              </w:rPr>
              <w:t>(Loss)</w:t>
            </w:r>
          </w:p>
        </w:tc>
        <w:tc>
          <w:tcPr>
            <w:tcW w:w="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137"/>
              <w:spacing w:after="0"/>
              <w:rPr>
                <w:sz w:val="20"/>
                <w:szCs w:val="20"/>
                <w:color w:val="auto"/>
              </w:rPr>
            </w:pPr>
            <w:r>
              <w:rPr>
                <w:rFonts w:ascii="Arial" w:cs="Arial" w:eastAsia="Arial" w:hAnsi="Arial"/>
                <w:sz w:val="13"/>
                <w:szCs w:val="13"/>
                <w:b w:val="1"/>
                <w:bCs w:val="1"/>
                <w:color w:val="auto"/>
                <w:w w:val="88"/>
              </w:rPr>
              <w:t>Interests</w:t>
            </w: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89"/>
        </w:trPr>
        <w:tc>
          <w:tcPr>
            <w:tcW w:w="1840" w:type="dxa"/>
            <w:vAlign w:val="bottom"/>
            <w:shd w:val="clear" w:color="auto" w:fill="CFF0FC"/>
          </w:tcPr>
          <w:p>
            <w:pPr>
              <w:spacing w:after="0"/>
              <w:rPr>
                <w:sz w:val="20"/>
                <w:szCs w:val="20"/>
                <w:color w:val="auto"/>
              </w:rPr>
            </w:pPr>
            <w:r>
              <w:rPr>
                <w:rFonts w:ascii="Arial" w:cs="Arial" w:eastAsia="Arial" w:hAnsi="Arial"/>
                <w:sz w:val="13"/>
                <w:szCs w:val="13"/>
                <w:b w:val="1"/>
                <w:bCs w:val="1"/>
                <w:color w:val="auto"/>
                <w:w w:val="97"/>
              </w:rPr>
              <w:t>Balance at December 31, 2020</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right w:val="single" w:sz="8" w:color="CFF0FC"/>
            </w:tcBorders>
            <w:shd w:val="clear" w:color="auto" w:fill="CFF0FC"/>
          </w:tcPr>
          <w:p>
            <w:pPr>
              <w:jc w:val="right"/>
              <w:ind w:right="97"/>
              <w:spacing w:after="0"/>
              <w:rPr>
                <w:sz w:val="20"/>
                <w:szCs w:val="20"/>
                <w:color w:val="auto"/>
              </w:rPr>
            </w:pPr>
            <w:r>
              <w:rPr>
                <w:rFonts w:ascii="Arial" w:cs="Arial" w:eastAsia="Arial" w:hAnsi="Arial"/>
                <w:sz w:val="13"/>
                <w:szCs w:val="13"/>
                <w:color w:val="auto"/>
              </w:rPr>
              <w:t>76,509</w:t>
            </w:r>
          </w:p>
        </w:tc>
        <w:tc>
          <w:tcPr>
            <w:tcW w:w="800" w:type="dxa"/>
            <w:vAlign w:val="bottom"/>
            <w:tcBorders>
              <w:right w:val="single" w:sz="8" w:color="CFF0FC"/>
            </w:tcBorders>
            <w:shd w:val="clear" w:color="auto" w:fill="CFF0FC"/>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CFF0FC"/>
            </w:tcBorders>
            <w:shd w:val="clear" w:color="auto" w:fill="CFF0FC"/>
          </w:tcPr>
          <w:p>
            <w:pPr>
              <w:jc w:val="right"/>
              <w:ind w:right="97"/>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FF0FC"/>
          </w:tcPr>
          <w:p>
            <w:pPr>
              <w:jc w:val="right"/>
              <w:ind w:right="4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jc w:val="right"/>
              <w:ind w:right="18"/>
              <w:spacing w:after="0"/>
              <w:rPr>
                <w:sz w:val="20"/>
                <w:szCs w:val="20"/>
                <w:color w:val="auto"/>
              </w:rPr>
            </w:pPr>
            <w:r>
              <w:rPr>
                <w:rFonts w:ascii="Arial" w:cs="Arial" w:eastAsia="Arial" w:hAnsi="Arial"/>
                <w:sz w:val="13"/>
                <w:szCs w:val="13"/>
                <w:color w:val="auto"/>
                <w:w w:val="91"/>
              </w:rPr>
              <w:t>-</w:t>
            </w:r>
          </w:p>
        </w:tc>
        <w:tc>
          <w:tcPr>
            <w:tcW w:w="640" w:type="dxa"/>
            <w:vAlign w:val="bottom"/>
            <w:gridSpan w:val="2"/>
            <w:shd w:val="clear" w:color="auto" w:fill="CFF0FC"/>
          </w:tcPr>
          <w:p>
            <w:pPr>
              <w:jc w:val="right"/>
              <w:ind w:right="4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ind w:left="20"/>
              <w:spacing w:after="0"/>
              <w:rPr>
                <w:sz w:val="20"/>
                <w:szCs w:val="20"/>
                <w:color w:val="auto"/>
              </w:rPr>
            </w:pPr>
            <w:r>
              <w:rPr>
                <w:rFonts w:ascii="Arial" w:cs="Arial" w:eastAsia="Arial" w:hAnsi="Arial"/>
                <w:sz w:val="13"/>
                <w:szCs w:val="13"/>
                <w:color w:val="auto"/>
                <w:w w:val="82"/>
              </w:rPr>
              <w:t>$</w:t>
            </w:r>
          </w:p>
        </w:tc>
        <w:tc>
          <w:tcPr>
            <w:tcW w:w="64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ind w:left="20"/>
              <w:spacing w:after="0"/>
              <w:rPr>
                <w:sz w:val="20"/>
                <w:szCs w:val="20"/>
                <w:color w:val="auto"/>
              </w:rPr>
            </w:pPr>
            <w:r>
              <w:rPr>
                <w:rFonts w:ascii="Arial" w:cs="Arial" w:eastAsia="Arial" w:hAnsi="Arial"/>
                <w:sz w:val="10"/>
                <w:szCs w:val="10"/>
                <w:color w:val="auto"/>
                <w:w w:val="71"/>
              </w:rPr>
              <w:t>$</w:t>
            </w:r>
          </w:p>
        </w:tc>
        <w:tc>
          <w:tcPr>
            <w:tcW w:w="6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ind w:left="20"/>
              <w:spacing w:after="0"/>
              <w:rPr>
                <w:sz w:val="20"/>
                <w:szCs w:val="20"/>
                <w:color w:val="auto"/>
              </w:rPr>
            </w:pPr>
            <w:r>
              <w:rPr>
                <w:rFonts w:ascii="Arial" w:cs="Arial" w:eastAsia="Arial" w:hAnsi="Arial"/>
                <w:sz w:val="13"/>
                <w:szCs w:val="13"/>
                <w:color w:val="auto"/>
                <w:w w:val="82"/>
              </w:rPr>
              <w:t>$</w:t>
            </w:r>
          </w:p>
        </w:tc>
        <w:tc>
          <w:tcPr>
            <w:tcW w:w="720" w:type="dxa"/>
            <w:vAlign w:val="bottom"/>
            <w:tcBorders>
              <w:right w:val="single" w:sz="8" w:color="CFF0FC"/>
            </w:tcBorders>
            <w:shd w:val="clear" w:color="auto" w:fill="CFF0FC"/>
          </w:tcPr>
          <w:p>
            <w:pPr>
              <w:jc w:val="right"/>
              <w:ind w:right="17"/>
              <w:spacing w:after="0"/>
              <w:rPr>
                <w:sz w:val="20"/>
                <w:szCs w:val="20"/>
                <w:color w:val="auto"/>
              </w:rPr>
            </w:pPr>
            <w:r>
              <w:rPr>
                <w:rFonts w:ascii="Arial" w:cs="Arial" w:eastAsia="Arial" w:hAnsi="Arial"/>
                <w:sz w:val="13"/>
                <w:szCs w:val="13"/>
                <w:color w:val="auto"/>
              </w:rPr>
              <w:t>(2,326 )</w:t>
            </w: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74,183</w:t>
            </w:r>
          </w:p>
        </w:tc>
        <w:tc>
          <w:tcPr>
            <w:tcW w:w="0" w:type="dxa"/>
            <w:vAlign w:val="bottom"/>
          </w:tcPr>
          <w:p>
            <w:pPr>
              <w:spacing w:after="0"/>
              <w:rPr>
                <w:sz w:val="1"/>
                <w:szCs w:val="1"/>
                <w:color w:val="auto"/>
              </w:rPr>
            </w:pPr>
          </w:p>
        </w:tc>
      </w:tr>
      <w:tr>
        <w:trPr>
          <w:trHeight w:val="181"/>
        </w:trPr>
        <w:tc>
          <w:tcPr>
            <w:tcW w:w="1840" w:type="dxa"/>
            <w:vAlign w:val="bottom"/>
          </w:tcPr>
          <w:p>
            <w:pPr>
              <w:ind w:left="100"/>
              <w:spacing w:after="0"/>
              <w:rPr>
                <w:sz w:val="20"/>
                <w:szCs w:val="20"/>
                <w:color w:val="auto"/>
              </w:rPr>
            </w:pPr>
            <w:r>
              <w:rPr>
                <w:rFonts w:ascii="Arial" w:cs="Arial" w:eastAsia="Arial" w:hAnsi="Arial"/>
                <w:sz w:val="13"/>
                <w:szCs w:val="13"/>
                <w:color w:val="auto"/>
              </w:rPr>
              <w:t>Net income (loss)</w:t>
            </w:r>
          </w:p>
        </w:tc>
        <w:tc>
          <w:tcPr>
            <w:tcW w:w="80" w:type="dxa"/>
            <w:vAlign w:val="bottom"/>
          </w:tcPr>
          <w:p>
            <w:pPr>
              <w:spacing w:after="0"/>
              <w:rPr>
                <w:sz w:val="15"/>
                <w:szCs w:val="15"/>
                <w:color w:val="auto"/>
              </w:rPr>
            </w:pPr>
          </w:p>
        </w:tc>
        <w:tc>
          <w:tcPr>
            <w:tcW w:w="700" w:type="dxa"/>
            <w:vAlign w:val="bottom"/>
          </w:tcPr>
          <w:p>
            <w:pPr>
              <w:jc w:val="right"/>
              <w:ind w:right="97"/>
              <w:spacing w:after="0"/>
              <w:rPr>
                <w:sz w:val="20"/>
                <w:szCs w:val="20"/>
                <w:color w:val="auto"/>
              </w:rPr>
            </w:pPr>
            <w:r>
              <w:rPr>
                <w:rFonts w:ascii="Arial" w:cs="Arial" w:eastAsia="Arial" w:hAnsi="Arial"/>
                <w:sz w:val="13"/>
                <w:szCs w:val="13"/>
                <w:color w:val="auto"/>
              </w:rPr>
              <w:t>22,507</w:t>
            </w: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jc w:val="right"/>
              <w:ind w:right="18"/>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22,507</w:t>
            </w:r>
          </w:p>
        </w:tc>
        <w:tc>
          <w:tcPr>
            <w:tcW w:w="0" w:type="dxa"/>
            <w:vAlign w:val="bottom"/>
          </w:tcPr>
          <w:p>
            <w:pPr>
              <w:spacing w:after="0"/>
              <w:rPr>
                <w:sz w:val="1"/>
                <w:szCs w:val="1"/>
                <w:color w:val="auto"/>
              </w:rPr>
            </w:pPr>
          </w:p>
        </w:tc>
      </w:tr>
      <w:tr>
        <w:trPr>
          <w:trHeight w:val="197"/>
        </w:trPr>
        <w:tc>
          <w:tcPr>
            <w:tcW w:w="1840" w:type="dxa"/>
            <w:vAlign w:val="bottom"/>
            <w:shd w:val="clear" w:color="auto" w:fill="CFF0FC"/>
          </w:tcPr>
          <w:p>
            <w:pPr>
              <w:ind w:left="100"/>
              <w:spacing w:after="0"/>
              <w:rPr>
                <w:sz w:val="20"/>
                <w:szCs w:val="20"/>
                <w:color w:val="auto"/>
              </w:rPr>
            </w:pPr>
            <w:r>
              <w:rPr>
                <w:rFonts w:ascii="Arial" w:cs="Arial" w:eastAsia="Arial" w:hAnsi="Arial"/>
                <w:sz w:val="13"/>
                <w:szCs w:val="13"/>
                <w:color w:val="auto"/>
              </w:rPr>
              <w:t>Equity-based compensation</w:t>
            </w:r>
          </w:p>
        </w:tc>
        <w:tc>
          <w:tcPr>
            <w:tcW w:w="80" w:type="dxa"/>
            <w:vAlign w:val="bottom"/>
            <w:shd w:val="clear" w:color="auto" w:fill="CFF0FC"/>
          </w:tcPr>
          <w:p>
            <w:pPr>
              <w:spacing w:after="0"/>
              <w:rPr>
                <w:sz w:val="17"/>
                <w:szCs w:val="17"/>
                <w:color w:val="auto"/>
              </w:rPr>
            </w:pPr>
          </w:p>
        </w:tc>
        <w:tc>
          <w:tcPr>
            <w:tcW w:w="700" w:type="dxa"/>
            <w:vAlign w:val="bottom"/>
            <w:tcBorders>
              <w:right w:val="single" w:sz="8" w:color="CFF0FC"/>
            </w:tcBorders>
            <w:shd w:val="clear" w:color="auto" w:fill="CFF0FC"/>
          </w:tcPr>
          <w:p>
            <w:pPr>
              <w:jc w:val="right"/>
              <w:ind w:right="97"/>
              <w:spacing w:after="0"/>
              <w:rPr>
                <w:sz w:val="20"/>
                <w:szCs w:val="20"/>
                <w:color w:val="auto"/>
              </w:rPr>
            </w:pPr>
            <w:r>
              <w:rPr>
                <w:rFonts w:ascii="Arial" w:cs="Arial" w:eastAsia="Arial" w:hAnsi="Arial"/>
                <w:sz w:val="13"/>
                <w:szCs w:val="13"/>
                <w:color w:val="auto"/>
              </w:rPr>
              <w:t>6,157</w:t>
            </w:r>
          </w:p>
        </w:tc>
        <w:tc>
          <w:tcPr>
            <w:tcW w:w="800" w:type="dxa"/>
            <w:vAlign w:val="bottom"/>
            <w:tcBorders>
              <w:right w:val="single" w:sz="8" w:color="CFF0FC"/>
            </w:tcBorders>
            <w:shd w:val="clear" w:color="auto" w:fill="CFF0FC"/>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CFF0FC"/>
            </w:tcBorders>
            <w:shd w:val="clear" w:color="auto" w:fill="CFF0FC"/>
          </w:tcPr>
          <w:p>
            <w:pPr>
              <w:jc w:val="right"/>
              <w:ind w:right="97"/>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40" w:type="dxa"/>
            <w:vAlign w:val="bottom"/>
            <w:shd w:val="clear" w:color="auto" w:fill="CFF0FC"/>
          </w:tcPr>
          <w:p>
            <w:pPr>
              <w:jc w:val="right"/>
              <w:ind w:right="18"/>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CFF0FC"/>
            </w:tcBorders>
            <w:shd w:val="clear" w:color="auto" w:fill="CFF0FC"/>
          </w:tcPr>
          <w:p>
            <w:pPr>
              <w:spacing w:after="0"/>
              <w:rPr>
                <w:sz w:val="17"/>
                <w:szCs w:val="17"/>
                <w:color w:val="auto"/>
              </w:rPr>
            </w:pPr>
          </w:p>
        </w:tc>
        <w:tc>
          <w:tcPr>
            <w:tcW w:w="6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64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7"/>
                <w:szCs w:val="17"/>
                <w:color w:val="auto"/>
              </w:rPr>
            </w:pPr>
          </w:p>
        </w:tc>
        <w:tc>
          <w:tcPr>
            <w:tcW w:w="6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72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7"/>
                <w:szCs w:val="17"/>
                <w:color w:val="auto"/>
              </w:rPr>
            </w:pPr>
          </w:p>
        </w:tc>
        <w:tc>
          <w:tcPr>
            <w:tcW w:w="6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6,157</w:t>
            </w:r>
          </w:p>
        </w:tc>
        <w:tc>
          <w:tcPr>
            <w:tcW w:w="0" w:type="dxa"/>
            <w:vAlign w:val="bottom"/>
          </w:tcPr>
          <w:p>
            <w:pPr>
              <w:spacing w:after="0"/>
              <w:rPr>
                <w:sz w:val="1"/>
                <w:szCs w:val="1"/>
                <w:color w:val="auto"/>
              </w:rPr>
            </w:pPr>
          </w:p>
        </w:tc>
      </w:tr>
      <w:tr>
        <w:trPr>
          <w:trHeight w:val="181"/>
        </w:trPr>
        <w:tc>
          <w:tcPr>
            <w:tcW w:w="1840" w:type="dxa"/>
            <w:vAlign w:val="bottom"/>
          </w:tcPr>
          <w:p>
            <w:pPr>
              <w:ind w:left="100"/>
              <w:spacing w:after="0"/>
              <w:rPr>
                <w:sz w:val="20"/>
                <w:szCs w:val="20"/>
                <w:color w:val="auto"/>
              </w:rPr>
            </w:pPr>
            <w:r>
              <w:rPr>
                <w:rFonts w:ascii="Arial" w:cs="Arial" w:eastAsia="Arial" w:hAnsi="Arial"/>
                <w:sz w:val="13"/>
                <w:szCs w:val="13"/>
                <w:color w:val="auto"/>
              </w:rPr>
              <w:t>Distributions to partners</w:t>
            </w:r>
          </w:p>
        </w:tc>
        <w:tc>
          <w:tcPr>
            <w:tcW w:w="80" w:type="dxa"/>
            <w:vAlign w:val="bottom"/>
          </w:tcPr>
          <w:p>
            <w:pPr>
              <w:spacing w:after="0"/>
              <w:rPr>
                <w:sz w:val="15"/>
                <w:szCs w:val="15"/>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(9,816 )</w:t>
            </w: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jc w:val="right"/>
              <w:ind w:right="18"/>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(9,816 )</w:t>
            </w:r>
          </w:p>
        </w:tc>
        <w:tc>
          <w:tcPr>
            <w:tcW w:w="0" w:type="dxa"/>
            <w:vAlign w:val="bottom"/>
          </w:tcPr>
          <w:p>
            <w:pPr>
              <w:spacing w:after="0"/>
              <w:rPr>
                <w:sz w:val="1"/>
                <w:szCs w:val="1"/>
                <w:color w:val="auto"/>
              </w:rPr>
            </w:pPr>
          </w:p>
        </w:tc>
      </w:tr>
      <w:tr>
        <w:trPr>
          <w:trHeight w:val="197"/>
        </w:trPr>
        <w:tc>
          <w:tcPr>
            <w:tcW w:w="1840" w:type="dxa"/>
            <w:vAlign w:val="bottom"/>
            <w:shd w:val="clear" w:color="auto" w:fill="CFF0FC"/>
          </w:tcPr>
          <w:p>
            <w:pPr>
              <w:ind w:left="100"/>
              <w:spacing w:after="0"/>
              <w:rPr>
                <w:sz w:val="20"/>
                <w:szCs w:val="20"/>
                <w:color w:val="auto"/>
              </w:rPr>
            </w:pPr>
            <w:r>
              <w:rPr>
                <w:rFonts w:ascii="Arial" w:cs="Arial" w:eastAsia="Arial" w:hAnsi="Arial"/>
                <w:sz w:val="13"/>
                <w:szCs w:val="13"/>
                <w:color w:val="auto"/>
              </w:rPr>
              <w:t>Other</w:t>
            </w:r>
          </w:p>
        </w:tc>
        <w:tc>
          <w:tcPr>
            <w:tcW w:w="80" w:type="dxa"/>
            <w:vAlign w:val="bottom"/>
            <w:shd w:val="clear" w:color="auto" w:fill="CFF0FC"/>
          </w:tcPr>
          <w:p>
            <w:pPr>
              <w:spacing w:after="0"/>
              <w:rPr>
                <w:sz w:val="17"/>
                <w:szCs w:val="17"/>
                <w:color w:val="auto"/>
              </w:rPr>
            </w:pPr>
          </w:p>
        </w:tc>
        <w:tc>
          <w:tcPr>
            <w:tcW w:w="700" w:type="dxa"/>
            <w:vAlign w:val="bottom"/>
            <w:tcBorders>
              <w:right w:val="single" w:sz="8" w:color="CFF0FC"/>
            </w:tcBorders>
            <w:shd w:val="clear" w:color="auto" w:fill="CFF0FC"/>
          </w:tcPr>
          <w:p>
            <w:pPr>
              <w:jc w:val="right"/>
              <w:ind w:right="97"/>
              <w:spacing w:after="0"/>
              <w:rPr>
                <w:sz w:val="20"/>
                <w:szCs w:val="20"/>
                <w:color w:val="auto"/>
              </w:rPr>
            </w:pPr>
            <w:r>
              <w:rPr>
                <w:rFonts w:ascii="Arial" w:cs="Arial" w:eastAsia="Arial" w:hAnsi="Arial"/>
                <w:sz w:val="13"/>
                <w:szCs w:val="13"/>
                <w:color w:val="auto"/>
              </w:rPr>
              <w:t>384</w:t>
            </w:r>
          </w:p>
        </w:tc>
        <w:tc>
          <w:tcPr>
            <w:tcW w:w="800" w:type="dxa"/>
            <w:vAlign w:val="bottom"/>
            <w:tcBorders>
              <w:right w:val="single" w:sz="8" w:color="CFF0FC"/>
            </w:tcBorders>
            <w:shd w:val="clear" w:color="auto" w:fill="CFF0FC"/>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CFF0FC"/>
            </w:tcBorders>
            <w:shd w:val="clear" w:color="auto" w:fill="CFF0FC"/>
          </w:tcPr>
          <w:p>
            <w:pPr>
              <w:jc w:val="right"/>
              <w:ind w:right="97"/>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40" w:type="dxa"/>
            <w:vAlign w:val="bottom"/>
            <w:shd w:val="clear" w:color="auto" w:fill="CFF0FC"/>
          </w:tcPr>
          <w:p>
            <w:pPr>
              <w:jc w:val="right"/>
              <w:ind w:right="18"/>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CFF0FC"/>
            </w:tcBorders>
            <w:shd w:val="clear" w:color="auto" w:fill="CFF0FC"/>
          </w:tcPr>
          <w:p>
            <w:pPr>
              <w:spacing w:after="0"/>
              <w:rPr>
                <w:sz w:val="17"/>
                <w:szCs w:val="17"/>
                <w:color w:val="auto"/>
              </w:rPr>
            </w:pPr>
          </w:p>
        </w:tc>
        <w:tc>
          <w:tcPr>
            <w:tcW w:w="6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64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7"/>
                <w:szCs w:val="17"/>
                <w:color w:val="auto"/>
              </w:rPr>
            </w:pPr>
          </w:p>
        </w:tc>
        <w:tc>
          <w:tcPr>
            <w:tcW w:w="6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72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7"/>
                <w:szCs w:val="17"/>
                <w:color w:val="auto"/>
              </w:rPr>
            </w:pPr>
          </w:p>
        </w:tc>
        <w:tc>
          <w:tcPr>
            <w:tcW w:w="6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384</w:t>
            </w:r>
          </w:p>
        </w:tc>
        <w:tc>
          <w:tcPr>
            <w:tcW w:w="0" w:type="dxa"/>
            <w:vAlign w:val="bottom"/>
          </w:tcPr>
          <w:p>
            <w:pPr>
              <w:spacing w:after="0"/>
              <w:rPr>
                <w:sz w:val="1"/>
                <w:szCs w:val="1"/>
                <w:color w:val="auto"/>
              </w:rPr>
            </w:pPr>
          </w:p>
        </w:tc>
      </w:tr>
      <w:tr>
        <w:trPr>
          <w:trHeight w:val="173"/>
        </w:trPr>
        <w:tc>
          <w:tcPr>
            <w:tcW w:w="1840" w:type="dxa"/>
            <w:vAlign w:val="bottom"/>
          </w:tcPr>
          <w:p>
            <w:pPr>
              <w:ind w:left="100"/>
              <w:spacing w:after="0"/>
              <w:rPr>
                <w:sz w:val="20"/>
                <w:szCs w:val="20"/>
                <w:color w:val="auto"/>
              </w:rPr>
            </w:pPr>
            <w:r>
              <w:rPr>
                <w:rFonts w:ascii="Arial" w:cs="Arial" w:eastAsia="Arial" w:hAnsi="Arial"/>
                <w:sz w:val="13"/>
                <w:szCs w:val="13"/>
                <w:color w:val="auto"/>
              </w:rPr>
              <w:t>Foreign currency translation</w:t>
            </w:r>
          </w:p>
        </w:tc>
        <w:tc>
          <w:tcPr>
            <w:tcW w:w="80" w:type="dxa"/>
            <w:vAlign w:val="bottom"/>
          </w:tcPr>
          <w:p>
            <w:pPr>
              <w:spacing w:after="0"/>
              <w:rPr>
                <w:sz w:val="15"/>
                <w:szCs w:val="15"/>
                <w:color w:val="auto"/>
              </w:rPr>
            </w:pPr>
          </w:p>
        </w:tc>
        <w:tc>
          <w:tcPr>
            <w:tcW w:w="700" w:type="dxa"/>
            <w:vAlign w:val="bottom"/>
            <w:vMerge w:val="restart"/>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ind w:right="97"/>
              <w:spacing w:after="0"/>
              <w:rPr>
                <w:sz w:val="20"/>
                <w:szCs w:val="20"/>
                <w:color w:val="auto"/>
              </w:rPr>
            </w:pPr>
            <w:r>
              <w:rPr>
                <w:rFonts w:ascii="Arial" w:cs="Arial" w:eastAsia="Arial" w:hAnsi="Arial"/>
                <w:sz w:val="13"/>
                <w:szCs w:val="13"/>
                <w:color w:val="auto"/>
              </w:rPr>
              <w:t>-</w:t>
            </w:r>
          </w:p>
        </w:tc>
        <w:tc>
          <w:tcPr>
            <w:tcW w:w="72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vMerge w:val="restart"/>
          </w:tcPr>
          <w:p>
            <w:pPr>
              <w:jc w:val="right"/>
              <w:ind w:right="18"/>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680" w:type="dxa"/>
            <w:vAlign w:val="bottom"/>
            <w:vMerge w:val="restart"/>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40" w:type="dxa"/>
            <w:vAlign w:val="bottom"/>
            <w:vMerge w:val="restart"/>
          </w:tcPr>
          <w:p>
            <w:pPr>
              <w:jc w:val="right"/>
              <w:ind w:right="7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80" w:type="dxa"/>
            <w:vAlign w:val="bottom"/>
            <w:vMerge w:val="restart"/>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20" w:type="dxa"/>
            <w:vAlign w:val="bottom"/>
            <w:vMerge w:val="restart"/>
          </w:tcPr>
          <w:p>
            <w:pPr>
              <w:jc w:val="right"/>
              <w:ind w:right="77"/>
              <w:spacing w:after="0"/>
              <w:rPr>
                <w:sz w:val="20"/>
                <w:szCs w:val="20"/>
                <w:color w:val="auto"/>
              </w:rPr>
            </w:pPr>
            <w:r>
              <w:rPr>
                <w:rFonts w:ascii="Arial" w:cs="Arial" w:eastAsia="Arial" w:hAnsi="Arial"/>
                <w:sz w:val="13"/>
                <w:szCs w:val="13"/>
                <w:color w:val="auto"/>
              </w:rPr>
              <w:t>228</w:t>
            </w:r>
          </w:p>
        </w:tc>
        <w:tc>
          <w:tcPr>
            <w:tcW w:w="60" w:type="dxa"/>
            <w:vAlign w:val="bottom"/>
          </w:tcPr>
          <w:p>
            <w:pPr>
              <w:spacing w:after="0"/>
              <w:rPr>
                <w:sz w:val="15"/>
                <w:szCs w:val="15"/>
                <w:color w:val="auto"/>
              </w:rPr>
            </w:pPr>
          </w:p>
        </w:tc>
        <w:tc>
          <w:tcPr>
            <w:tcW w:w="680" w:type="dxa"/>
            <w:vAlign w:val="bottom"/>
            <w:vMerge w:val="restart"/>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80" w:type="dxa"/>
            <w:vAlign w:val="bottom"/>
            <w:vMerge w:val="restart"/>
          </w:tcPr>
          <w:p>
            <w:pPr>
              <w:jc w:val="right"/>
              <w:ind w:right="17"/>
              <w:spacing w:after="0"/>
              <w:rPr>
                <w:sz w:val="20"/>
                <w:szCs w:val="20"/>
                <w:color w:val="auto"/>
              </w:rPr>
            </w:pPr>
            <w:r>
              <w:rPr>
                <w:rFonts w:ascii="Arial" w:cs="Arial" w:eastAsia="Arial" w:hAnsi="Arial"/>
                <w:sz w:val="13"/>
                <w:szCs w:val="13"/>
                <w:color w:val="auto"/>
              </w:rPr>
              <w:t>228</w:t>
            </w:r>
          </w:p>
        </w:tc>
        <w:tc>
          <w:tcPr>
            <w:tcW w:w="0" w:type="dxa"/>
            <w:vAlign w:val="bottom"/>
          </w:tcPr>
          <w:p>
            <w:pPr>
              <w:spacing w:after="0"/>
              <w:rPr>
                <w:sz w:val="1"/>
                <w:szCs w:val="1"/>
                <w:color w:val="auto"/>
              </w:rPr>
            </w:pPr>
          </w:p>
        </w:tc>
      </w:tr>
      <w:tr>
        <w:trPr>
          <w:trHeight w:val="163"/>
        </w:trPr>
        <w:tc>
          <w:tcPr>
            <w:tcW w:w="1840" w:type="dxa"/>
            <w:vAlign w:val="bottom"/>
          </w:tcPr>
          <w:p>
            <w:pPr>
              <w:ind w:left="100"/>
              <w:spacing w:after="0"/>
              <w:rPr>
                <w:sz w:val="20"/>
                <w:szCs w:val="20"/>
                <w:color w:val="auto"/>
              </w:rPr>
            </w:pPr>
            <w:r>
              <w:rPr>
                <w:rFonts w:ascii="Arial" w:cs="Arial" w:eastAsia="Arial" w:hAnsi="Arial"/>
                <w:sz w:val="13"/>
                <w:szCs w:val="13"/>
                <w:color w:val="auto"/>
              </w:rPr>
              <w:t>gain (loss)</w:t>
            </w: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84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Balance at March 31, 2021</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right w:val="single" w:sz="8" w:color="CFF0FC"/>
            </w:tcBorders>
            <w:shd w:val="clear" w:color="auto" w:fill="CFF0FC"/>
          </w:tcPr>
          <w:p>
            <w:pPr>
              <w:jc w:val="right"/>
              <w:ind w:right="97"/>
              <w:spacing w:after="0"/>
              <w:rPr>
                <w:sz w:val="20"/>
                <w:szCs w:val="20"/>
                <w:color w:val="auto"/>
              </w:rPr>
            </w:pPr>
            <w:r>
              <w:rPr>
                <w:rFonts w:ascii="Arial" w:cs="Arial" w:eastAsia="Arial" w:hAnsi="Arial"/>
                <w:sz w:val="13"/>
                <w:szCs w:val="13"/>
                <w:color w:val="auto"/>
              </w:rPr>
              <w:t>95,741</w:t>
            </w:r>
          </w:p>
        </w:tc>
        <w:tc>
          <w:tcPr>
            <w:tcW w:w="800" w:type="dxa"/>
            <w:vAlign w:val="bottom"/>
            <w:tcBorders>
              <w:right w:val="single" w:sz="8" w:color="CFF0FC"/>
            </w:tcBorders>
            <w:shd w:val="clear" w:color="auto" w:fill="CFF0FC"/>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CFF0FC"/>
            </w:tcBorders>
            <w:shd w:val="clear" w:color="auto" w:fill="CFF0FC"/>
          </w:tcPr>
          <w:p>
            <w:pPr>
              <w:jc w:val="right"/>
              <w:ind w:right="97"/>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FF0FC"/>
          </w:tcPr>
          <w:p>
            <w:pPr>
              <w:jc w:val="right"/>
              <w:ind w:right="4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jc w:val="right"/>
              <w:ind w:right="18"/>
              <w:spacing w:after="0"/>
              <w:rPr>
                <w:sz w:val="20"/>
                <w:szCs w:val="20"/>
                <w:color w:val="auto"/>
              </w:rPr>
            </w:pPr>
            <w:r>
              <w:rPr>
                <w:rFonts w:ascii="Arial" w:cs="Arial" w:eastAsia="Arial" w:hAnsi="Arial"/>
                <w:sz w:val="13"/>
                <w:szCs w:val="13"/>
                <w:color w:val="auto"/>
                <w:w w:val="91"/>
              </w:rPr>
              <w:t>-</w:t>
            </w:r>
          </w:p>
        </w:tc>
        <w:tc>
          <w:tcPr>
            <w:tcW w:w="640" w:type="dxa"/>
            <w:vAlign w:val="bottom"/>
            <w:gridSpan w:val="2"/>
            <w:shd w:val="clear" w:color="auto" w:fill="CFF0FC"/>
          </w:tcPr>
          <w:p>
            <w:pPr>
              <w:jc w:val="right"/>
              <w:ind w:right="4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ind w:left="20"/>
              <w:spacing w:after="0"/>
              <w:rPr>
                <w:sz w:val="20"/>
                <w:szCs w:val="20"/>
                <w:color w:val="auto"/>
              </w:rPr>
            </w:pPr>
            <w:r>
              <w:rPr>
                <w:rFonts w:ascii="Arial" w:cs="Arial" w:eastAsia="Arial" w:hAnsi="Arial"/>
                <w:sz w:val="13"/>
                <w:szCs w:val="13"/>
                <w:color w:val="auto"/>
                <w:w w:val="82"/>
              </w:rPr>
              <w:t>$</w:t>
            </w:r>
          </w:p>
        </w:tc>
        <w:tc>
          <w:tcPr>
            <w:tcW w:w="64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ind w:left="20"/>
              <w:spacing w:after="0"/>
              <w:rPr>
                <w:sz w:val="20"/>
                <w:szCs w:val="20"/>
                <w:color w:val="auto"/>
              </w:rPr>
            </w:pPr>
            <w:r>
              <w:rPr>
                <w:rFonts w:ascii="Arial" w:cs="Arial" w:eastAsia="Arial" w:hAnsi="Arial"/>
                <w:sz w:val="10"/>
                <w:szCs w:val="10"/>
                <w:color w:val="auto"/>
                <w:w w:val="71"/>
              </w:rPr>
              <w:t>$</w:t>
            </w:r>
          </w:p>
        </w:tc>
        <w:tc>
          <w:tcPr>
            <w:tcW w:w="6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ind w:left="20"/>
              <w:spacing w:after="0"/>
              <w:rPr>
                <w:sz w:val="20"/>
                <w:szCs w:val="20"/>
                <w:color w:val="auto"/>
              </w:rPr>
            </w:pPr>
            <w:r>
              <w:rPr>
                <w:rFonts w:ascii="Arial" w:cs="Arial" w:eastAsia="Arial" w:hAnsi="Arial"/>
                <w:sz w:val="13"/>
                <w:szCs w:val="13"/>
                <w:color w:val="auto"/>
                <w:w w:val="82"/>
              </w:rPr>
              <w:t>$</w:t>
            </w:r>
          </w:p>
        </w:tc>
        <w:tc>
          <w:tcPr>
            <w:tcW w:w="720" w:type="dxa"/>
            <w:vAlign w:val="bottom"/>
            <w:tcBorders>
              <w:right w:val="single" w:sz="8" w:color="CFF0FC"/>
            </w:tcBorders>
            <w:shd w:val="clear" w:color="auto" w:fill="CFF0FC"/>
          </w:tcPr>
          <w:p>
            <w:pPr>
              <w:jc w:val="right"/>
              <w:ind w:right="17"/>
              <w:spacing w:after="0"/>
              <w:rPr>
                <w:sz w:val="20"/>
                <w:szCs w:val="20"/>
                <w:color w:val="auto"/>
              </w:rPr>
            </w:pPr>
            <w:r>
              <w:rPr>
                <w:rFonts w:ascii="Arial" w:cs="Arial" w:eastAsia="Arial" w:hAnsi="Arial"/>
                <w:sz w:val="13"/>
                <w:szCs w:val="13"/>
                <w:color w:val="auto"/>
              </w:rPr>
              <w:t>(2,098 )</w:t>
            </w: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93,643</w:t>
            </w:r>
          </w:p>
        </w:tc>
        <w:tc>
          <w:tcPr>
            <w:tcW w:w="0" w:type="dxa"/>
            <w:vAlign w:val="bottom"/>
          </w:tcPr>
          <w:p>
            <w:pPr>
              <w:spacing w:after="0"/>
              <w:rPr>
                <w:sz w:val="1"/>
                <w:szCs w:val="1"/>
                <w:color w:val="auto"/>
              </w:rPr>
            </w:pPr>
          </w:p>
        </w:tc>
      </w:tr>
      <w:tr>
        <w:trPr>
          <w:trHeight w:val="173"/>
        </w:trPr>
        <w:tc>
          <w:tcPr>
            <w:tcW w:w="1840" w:type="dxa"/>
            <w:vAlign w:val="bottom"/>
          </w:tcPr>
          <w:p>
            <w:pPr>
              <w:ind w:left="100"/>
              <w:spacing w:after="0"/>
              <w:rPr>
                <w:sz w:val="20"/>
                <w:szCs w:val="20"/>
                <w:color w:val="auto"/>
              </w:rPr>
            </w:pPr>
            <w:r>
              <w:rPr>
                <w:rFonts w:ascii="Arial" w:cs="Arial" w:eastAsia="Arial" w:hAnsi="Arial"/>
                <w:sz w:val="13"/>
                <w:szCs w:val="13"/>
                <w:color w:val="auto"/>
              </w:rPr>
              <w:t>Net income (loss) prior to</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840" w:type="dxa"/>
            <w:vAlign w:val="bottom"/>
          </w:tcPr>
          <w:p>
            <w:pPr>
              <w:ind w:left="100"/>
              <w:spacing w:after="0"/>
              <w:rPr>
                <w:sz w:val="20"/>
                <w:szCs w:val="20"/>
                <w:color w:val="auto"/>
              </w:rPr>
            </w:pPr>
            <w:r>
              <w:rPr>
                <w:rFonts w:ascii="Arial" w:cs="Arial" w:eastAsia="Arial" w:hAnsi="Arial"/>
                <w:sz w:val="13"/>
                <w:szCs w:val="13"/>
                <w:color w:val="auto"/>
              </w:rPr>
              <w:t>Business Combination</w:t>
            </w:r>
          </w:p>
        </w:tc>
        <w:tc>
          <w:tcPr>
            <w:tcW w:w="80" w:type="dxa"/>
            <w:vAlign w:val="bottom"/>
          </w:tcPr>
          <w:p>
            <w:pPr>
              <w:spacing w:after="0"/>
              <w:rPr>
                <w:sz w:val="14"/>
                <w:szCs w:val="14"/>
                <w:color w:val="auto"/>
              </w:rPr>
            </w:pPr>
          </w:p>
        </w:tc>
        <w:tc>
          <w:tcPr>
            <w:tcW w:w="700" w:type="dxa"/>
            <w:vAlign w:val="bottom"/>
          </w:tcPr>
          <w:p>
            <w:pPr>
              <w:jc w:val="right"/>
              <w:ind w:right="97"/>
              <w:spacing w:after="0"/>
              <w:rPr>
                <w:sz w:val="20"/>
                <w:szCs w:val="20"/>
                <w:color w:val="auto"/>
              </w:rPr>
            </w:pPr>
            <w:r>
              <w:rPr>
                <w:rFonts w:ascii="Arial" w:cs="Arial" w:eastAsia="Arial" w:hAnsi="Arial"/>
                <w:sz w:val="13"/>
                <w:szCs w:val="13"/>
                <w:color w:val="auto"/>
              </w:rPr>
              <w:t>37,350</w:t>
            </w: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jc w:val="right"/>
              <w:ind w:right="18"/>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37,350</w:t>
            </w:r>
          </w:p>
        </w:tc>
        <w:tc>
          <w:tcPr>
            <w:tcW w:w="0" w:type="dxa"/>
            <w:vAlign w:val="bottom"/>
          </w:tcPr>
          <w:p>
            <w:pPr>
              <w:spacing w:after="0"/>
              <w:rPr>
                <w:sz w:val="1"/>
                <w:szCs w:val="1"/>
                <w:color w:val="auto"/>
              </w:rPr>
            </w:pPr>
          </w:p>
        </w:tc>
      </w:tr>
      <w:tr>
        <w:trPr>
          <w:trHeight w:val="181"/>
        </w:trPr>
        <w:tc>
          <w:tcPr>
            <w:tcW w:w="1840" w:type="dxa"/>
            <w:vAlign w:val="bottom"/>
            <w:shd w:val="clear" w:color="auto" w:fill="CFF0FC"/>
          </w:tcPr>
          <w:p>
            <w:pPr>
              <w:ind w:left="100"/>
              <w:spacing w:after="0"/>
              <w:rPr>
                <w:sz w:val="20"/>
                <w:szCs w:val="20"/>
                <w:color w:val="auto"/>
              </w:rPr>
            </w:pPr>
            <w:r>
              <w:rPr>
                <w:rFonts w:ascii="Arial" w:cs="Arial" w:eastAsia="Arial" w:hAnsi="Arial"/>
                <w:sz w:val="13"/>
                <w:szCs w:val="13"/>
                <w:color w:val="auto"/>
              </w:rPr>
              <w:t>Equity-based compensation</w:t>
            </w:r>
          </w:p>
        </w:tc>
        <w:tc>
          <w:tcPr>
            <w:tcW w:w="80" w:type="dxa"/>
            <w:vAlign w:val="bottom"/>
            <w:shd w:val="clear" w:color="auto" w:fill="CFF0FC"/>
          </w:tcPr>
          <w:p>
            <w:pPr>
              <w:spacing w:after="0"/>
              <w:rPr>
                <w:sz w:val="15"/>
                <w:szCs w:val="15"/>
                <w:color w:val="auto"/>
              </w:rPr>
            </w:pPr>
          </w:p>
        </w:tc>
        <w:tc>
          <w:tcPr>
            <w:tcW w:w="700" w:type="dxa"/>
            <w:vAlign w:val="bottom"/>
            <w:tcBorders>
              <w:right w:val="single" w:sz="8" w:color="CFF0FC"/>
            </w:tcBorders>
            <w:shd w:val="clear" w:color="auto" w:fill="CFF0FC"/>
          </w:tcPr>
          <w:p>
            <w:pPr>
              <w:spacing w:after="0"/>
              <w:rPr>
                <w:sz w:val="15"/>
                <w:szCs w:val="15"/>
                <w:color w:val="auto"/>
              </w:rPr>
            </w:pPr>
          </w:p>
        </w:tc>
        <w:tc>
          <w:tcPr>
            <w:tcW w:w="800" w:type="dxa"/>
            <w:vAlign w:val="bottom"/>
            <w:tcBorders>
              <w:right w:val="single" w:sz="8" w:color="CFF0FC"/>
            </w:tcBorders>
            <w:shd w:val="clear" w:color="auto" w:fill="CFF0FC"/>
          </w:tcPr>
          <w:p>
            <w:pPr>
              <w:spacing w:after="0"/>
              <w:rPr>
                <w:sz w:val="15"/>
                <w:szCs w:val="15"/>
                <w:color w:val="auto"/>
              </w:rPr>
            </w:pPr>
          </w:p>
        </w:tc>
        <w:tc>
          <w:tcPr>
            <w:tcW w:w="800" w:type="dxa"/>
            <w:vAlign w:val="bottom"/>
            <w:tcBorders>
              <w:right w:val="single" w:sz="8" w:color="CFF0FC"/>
            </w:tcBorders>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tcBorders>
              <w:right w:val="single" w:sz="8" w:color="CFF0FC"/>
            </w:tcBorders>
            <w:shd w:val="clear" w:color="auto" w:fill="CFF0FC"/>
          </w:tcPr>
          <w:p>
            <w:pPr>
              <w:spacing w:after="0"/>
              <w:rPr>
                <w:sz w:val="15"/>
                <w:szCs w:val="15"/>
                <w:color w:val="auto"/>
              </w:rPr>
            </w:pPr>
          </w:p>
        </w:tc>
        <w:tc>
          <w:tcPr>
            <w:tcW w:w="68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tcBorders>
              <w:right w:val="single" w:sz="8" w:color="CFF0FC"/>
            </w:tcBorders>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68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840" w:type="dxa"/>
            <w:vAlign w:val="bottom"/>
            <w:shd w:val="clear" w:color="auto" w:fill="CFF0FC"/>
          </w:tcPr>
          <w:p>
            <w:pPr>
              <w:ind w:left="100"/>
              <w:spacing w:after="0"/>
              <w:rPr>
                <w:sz w:val="20"/>
                <w:szCs w:val="20"/>
                <w:color w:val="auto"/>
              </w:rPr>
            </w:pPr>
            <w:r>
              <w:rPr>
                <w:rFonts w:ascii="Arial" w:cs="Arial" w:eastAsia="Arial" w:hAnsi="Arial"/>
                <w:sz w:val="13"/>
                <w:szCs w:val="13"/>
                <w:color w:val="auto"/>
                <w:w w:val="99"/>
              </w:rPr>
              <w:t>prior to Business Combination</w:t>
            </w:r>
          </w:p>
        </w:tc>
        <w:tc>
          <w:tcPr>
            <w:tcW w:w="80" w:type="dxa"/>
            <w:vAlign w:val="bottom"/>
            <w:shd w:val="clear" w:color="auto" w:fill="CFF0FC"/>
          </w:tcPr>
          <w:p>
            <w:pPr>
              <w:spacing w:after="0"/>
              <w:rPr>
                <w:sz w:val="15"/>
                <w:szCs w:val="15"/>
                <w:color w:val="auto"/>
              </w:rPr>
            </w:pPr>
          </w:p>
        </w:tc>
        <w:tc>
          <w:tcPr>
            <w:tcW w:w="700" w:type="dxa"/>
            <w:vAlign w:val="bottom"/>
            <w:tcBorders>
              <w:right w:val="single" w:sz="8" w:color="CFF0FC"/>
            </w:tcBorders>
            <w:shd w:val="clear" w:color="auto" w:fill="CFF0FC"/>
          </w:tcPr>
          <w:p>
            <w:pPr>
              <w:jc w:val="right"/>
              <w:ind w:right="97"/>
              <w:spacing w:after="0"/>
              <w:rPr>
                <w:sz w:val="20"/>
                <w:szCs w:val="20"/>
                <w:color w:val="auto"/>
              </w:rPr>
            </w:pPr>
            <w:r>
              <w:rPr>
                <w:rFonts w:ascii="Arial" w:cs="Arial" w:eastAsia="Arial" w:hAnsi="Arial"/>
                <w:sz w:val="13"/>
                <w:szCs w:val="13"/>
                <w:color w:val="auto"/>
              </w:rPr>
              <w:t>5,604</w:t>
            </w:r>
          </w:p>
        </w:tc>
        <w:tc>
          <w:tcPr>
            <w:tcW w:w="800" w:type="dxa"/>
            <w:vAlign w:val="bottom"/>
            <w:tcBorders>
              <w:right w:val="single" w:sz="8" w:color="CFF0FC"/>
            </w:tcBorders>
            <w:shd w:val="clear" w:color="auto" w:fill="CFF0FC"/>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CFF0FC"/>
            </w:tcBorders>
            <w:shd w:val="clear" w:color="auto" w:fill="CFF0FC"/>
          </w:tcPr>
          <w:p>
            <w:pPr>
              <w:jc w:val="right"/>
              <w:ind w:right="97"/>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40" w:type="dxa"/>
            <w:vAlign w:val="bottom"/>
            <w:shd w:val="clear" w:color="auto" w:fill="CFF0FC"/>
          </w:tcPr>
          <w:p>
            <w:pPr>
              <w:jc w:val="right"/>
              <w:ind w:right="18"/>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CFF0FC"/>
            </w:tcBorders>
            <w:shd w:val="clear" w:color="auto" w:fill="CFF0FC"/>
          </w:tcPr>
          <w:p>
            <w:pPr>
              <w:spacing w:after="0"/>
              <w:rPr>
                <w:sz w:val="15"/>
                <w:szCs w:val="15"/>
                <w:color w:val="auto"/>
              </w:rPr>
            </w:pPr>
          </w:p>
        </w:tc>
        <w:tc>
          <w:tcPr>
            <w:tcW w:w="6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64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6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72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5"/>
                <w:szCs w:val="15"/>
                <w:color w:val="auto"/>
              </w:rPr>
            </w:pPr>
          </w:p>
        </w:tc>
        <w:tc>
          <w:tcPr>
            <w:tcW w:w="6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5,604</w:t>
            </w:r>
          </w:p>
        </w:tc>
        <w:tc>
          <w:tcPr>
            <w:tcW w:w="0" w:type="dxa"/>
            <w:vAlign w:val="bottom"/>
          </w:tcPr>
          <w:p>
            <w:pPr>
              <w:spacing w:after="0"/>
              <w:rPr>
                <w:sz w:val="1"/>
                <w:szCs w:val="1"/>
                <w:color w:val="auto"/>
              </w:rPr>
            </w:pPr>
          </w:p>
        </w:tc>
      </w:tr>
      <w:tr>
        <w:trPr>
          <w:trHeight w:val="173"/>
        </w:trPr>
        <w:tc>
          <w:tcPr>
            <w:tcW w:w="1840" w:type="dxa"/>
            <w:vAlign w:val="bottom"/>
          </w:tcPr>
          <w:p>
            <w:pPr>
              <w:ind w:left="100"/>
              <w:spacing w:after="0"/>
              <w:rPr>
                <w:sz w:val="20"/>
                <w:szCs w:val="20"/>
                <w:color w:val="auto"/>
              </w:rPr>
            </w:pPr>
            <w:r>
              <w:rPr>
                <w:rFonts w:ascii="Arial" w:cs="Arial" w:eastAsia="Arial" w:hAnsi="Arial"/>
                <w:sz w:val="13"/>
                <w:szCs w:val="13"/>
                <w:color w:val="auto"/>
              </w:rPr>
              <w:t>Foreign currency translation</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840" w:type="dxa"/>
            <w:vAlign w:val="bottom"/>
          </w:tcPr>
          <w:p>
            <w:pPr>
              <w:ind w:left="100"/>
              <w:spacing w:after="0"/>
              <w:rPr>
                <w:sz w:val="20"/>
                <w:szCs w:val="20"/>
                <w:color w:val="auto"/>
              </w:rPr>
            </w:pPr>
            <w:r>
              <w:rPr>
                <w:rFonts w:ascii="Arial" w:cs="Arial" w:eastAsia="Arial" w:hAnsi="Arial"/>
                <w:sz w:val="13"/>
                <w:szCs w:val="13"/>
                <w:color w:val="auto"/>
              </w:rPr>
              <w:t>gain (loss) prior to Business</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840" w:type="dxa"/>
            <w:vAlign w:val="bottom"/>
          </w:tcPr>
          <w:p>
            <w:pPr>
              <w:ind w:left="100"/>
              <w:spacing w:after="0"/>
              <w:rPr>
                <w:sz w:val="20"/>
                <w:szCs w:val="20"/>
                <w:color w:val="auto"/>
              </w:rPr>
            </w:pPr>
            <w:r>
              <w:rPr>
                <w:rFonts w:ascii="Arial" w:cs="Arial" w:eastAsia="Arial" w:hAnsi="Arial"/>
                <w:sz w:val="13"/>
                <w:szCs w:val="13"/>
                <w:color w:val="auto"/>
              </w:rPr>
              <w:t>Combination</w:t>
            </w:r>
          </w:p>
        </w:tc>
        <w:tc>
          <w:tcPr>
            <w:tcW w:w="80" w:type="dxa"/>
            <w:vAlign w:val="bottom"/>
          </w:tcPr>
          <w:p>
            <w:pPr>
              <w:spacing w:after="0"/>
              <w:rPr>
                <w:sz w:val="14"/>
                <w:szCs w:val="14"/>
                <w:color w:val="auto"/>
              </w:rPr>
            </w:pPr>
          </w:p>
        </w:tc>
        <w:tc>
          <w:tcPr>
            <w:tcW w:w="70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jc w:val="right"/>
              <w:ind w:right="18"/>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298</w:t>
            </w:r>
          </w:p>
        </w:tc>
        <w:tc>
          <w:tcPr>
            <w:tcW w:w="60" w:type="dxa"/>
            <w:vAlign w:val="bottom"/>
          </w:tcPr>
          <w:p>
            <w:pPr>
              <w:spacing w:after="0"/>
              <w:rPr>
                <w:sz w:val="14"/>
                <w:szCs w:val="14"/>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298</w:t>
            </w:r>
          </w:p>
        </w:tc>
        <w:tc>
          <w:tcPr>
            <w:tcW w:w="0" w:type="dxa"/>
            <w:vAlign w:val="bottom"/>
          </w:tcPr>
          <w:p>
            <w:pPr>
              <w:spacing w:after="0"/>
              <w:rPr>
                <w:sz w:val="1"/>
                <w:szCs w:val="1"/>
                <w:color w:val="auto"/>
              </w:rPr>
            </w:pPr>
          </w:p>
        </w:tc>
      </w:tr>
      <w:tr>
        <w:trPr>
          <w:trHeight w:val="197"/>
        </w:trPr>
        <w:tc>
          <w:tcPr>
            <w:tcW w:w="1840" w:type="dxa"/>
            <w:vAlign w:val="bottom"/>
            <w:shd w:val="clear" w:color="auto" w:fill="CFF0FC"/>
          </w:tcPr>
          <w:p>
            <w:pPr>
              <w:ind w:left="100"/>
              <w:spacing w:after="0"/>
              <w:rPr>
                <w:sz w:val="20"/>
                <w:szCs w:val="20"/>
                <w:color w:val="auto"/>
              </w:rPr>
            </w:pPr>
            <w:r>
              <w:rPr>
                <w:rFonts w:ascii="Arial" w:cs="Arial" w:eastAsia="Arial" w:hAnsi="Arial"/>
                <w:sz w:val="13"/>
                <w:szCs w:val="13"/>
                <w:color w:val="auto"/>
              </w:rPr>
              <w:t>Distributions to partners</w:t>
            </w:r>
          </w:p>
        </w:tc>
        <w:tc>
          <w:tcPr>
            <w:tcW w:w="80" w:type="dxa"/>
            <w:vAlign w:val="bottom"/>
            <w:shd w:val="clear" w:color="auto" w:fill="CFF0FC"/>
          </w:tcPr>
          <w:p>
            <w:pPr>
              <w:spacing w:after="0"/>
              <w:rPr>
                <w:sz w:val="17"/>
                <w:szCs w:val="17"/>
                <w:color w:val="auto"/>
              </w:rPr>
            </w:pPr>
          </w:p>
        </w:tc>
        <w:tc>
          <w:tcPr>
            <w:tcW w:w="700" w:type="dxa"/>
            <w:vAlign w:val="bottom"/>
            <w:tcBorders>
              <w:right w:val="single" w:sz="8" w:color="CFF0FC"/>
            </w:tcBorders>
            <w:shd w:val="clear" w:color="auto" w:fill="CFF0FC"/>
          </w:tcPr>
          <w:p>
            <w:pPr>
              <w:jc w:val="right"/>
              <w:ind w:right="37"/>
              <w:spacing w:after="0"/>
              <w:rPr>
                <w:sz w:val="20"/>
                <w:szCs w:val="20"/>
                <w:color w:val="auto"/>
              </w:rPr>
            </w:pPr>
            <w:r>
              <w:rPr>
                <w:rFonts w:ascii="Arial" w:cs="Arial" w:eastAsia="Arial" w:hAnsi="Arial"/>
                <w:sz w:val="13"/>
                <w:szCs w:val="13"/>
                <w:color w:val="auto"/>
              </w:rPr>
              <w:t>(37,573 )</w:t>
            </w:r>
          </w:p>
        </w:tc>
        <w:tc>
          <w:tcPr>
            <w:tcW w:w="800" w:type="dxa"/>
            <w:vAlign w:val="bottom"/>
            <w:tcBorders>
              <w:right w:val="single" w:sz="8" w:color="CFF0FC"/>
            </w:tcBorders>
            <w:shd w:val="clear" w:color="auto" w:fill="CFF0FC"/>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CFF0FC"/>
            </w:tcBorders>
            <w:shd w:val="clear" w:color="auto" w:fill="CFF0FC"/>
          </w:tcPr>
          <w:p>
            <w:pPr>
              <w:jc w:val="right"/>
              <w:ind w:right="97"/>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40" w:type="dxa"/>
            <w:vAlign w:val="bottom"/>
            <w:shd w:val="clear" w:color="auto" w:fill="CFF0FC"/>
          </w:tcPr>
          <w:p>
            <w:pPr>
              <w:jc w:val="right"/>
              <w:ind w:right="18"/>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CFF0FC"/>
            </w:tcBorders>
            <w:shd w:val="clear" w:color="auto" w:fill="CFF0FC"/>
          </w:tcPr>
          <w:p>
            <w:pPr>
              <w:spacing w:after="0"/>
              <w:rPr>
                <w:sz w:val="17"/>
                <w:szCs w:val="17"/>
                <w:color w:val="auto"/>
              </w:rPr>
            </w:pPr>
          </w:p>
        </w:tc>
        <w:tc>
          <w:tcPr>
            <w:tcW w:w="6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64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7"/>
                <w:szCs w:val="17"/>
                <w:color w:val="auto"/>
              </w:rPr>
            </w:pPr>
          </w:p>
        </w:tc>
        <w:tc>
          <w:tcPr>
            <w:tcW w:w="6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72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7"/>
                <w:szCs w:val="17"/>
                <w:color w:val="auto"/>
              </w:rPr>
            </w:pPr>
          </w:p>
        </w:tc>
        <w:tc>
          <w:tcPr>
            <w:tcW w:w="6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(37,573 )</w:t>
            </w:r>
          </w:p>
        </w:tc>
        <w:tc>
          <w:tcPr>
            <w:tcW w:w="0" w:type="dxa"/>
            <w:vAlign w:val="bottom"/>
          </w:tcPr>
          <w:p>
            <w:pPr>
              <w:spacing w:after="0"/>
              <w:rPr>
                <w:sz w:val="1"/>
                <w:szCs w:val="1"/>
                <w:color w:val="auto"/>
              </w:rPr>
            </w:pPr>
          </w:p>
        </w:tc>
      </w:tr>
      <w:tr>
        <w:trPr>
          <w:trHeight w:val="181"/>
        </w:trPr>
        <w:tc>
          <w:tcPr>
            <w:tcW w:w="1840" w:type="dxa"/>
            <w:vAlign w:val="bottom"/>
          </w:tcPr>
          <w:p>
            <w:pPr>
              <w:ind w:left="100"/>
              <w:spacing w:after="0"/>
              <w:rPr>
                <w:sz w:val="20"/>
                <w:szCs w:val="20"/>
                <w:color w:val="auto"/>
              </w:rPr>
            </w:pPr>
            <w:r>
              <w:rPr>
                <w:rFonts w:ascii="Arial" w:cs="Arial" w:eastAsia="Arial" w:hAnsi="Arial"/>
                <w:sz w:val="13"/>
                <w:szCs w:val="13"/>
                <w:color w:val="auto"/>
              </w:rPr>
              <w:t>Other</w:t>
            </w:r>
          </w:p>
        </w:tc>
        <w:tc>
          <w:tcPr>
            <w:tcW w:w="80" w:type="dxa"/>
            <w:vAlign w:val="bottom"/>
          </w:tcPr>
          <w:p>
            <w:pPr>
              <w:spacing w:after="0"/>
              <w:rPr>
                <w:sz w:val="15"/>
                <w:szCs w:val="15"/>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(10 )</w:t>
            </w: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jc w:val="right"/>
              <w:ind w:right="18"/>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(10 )</w:t>
            </w:r>
          </w:p>
        </w:tc>
        <w:tc>
          <w:tcPr>
            <w:tcW w:w="0" w:type="dxa"/>
            <w:vAlign w:val="bottom"/>
          </w:tcPr>
          <w:p>
            <w:pPr>
              <w:spacing w:after="0"/>
              <w:rPr>
                <w:sz w:val="1"/>
                <w:szCs w:val="1"/>
                <w:color w:val="auto"/>
              </w:rPr>
            </w:pPr>
          </w:p>
        </w:tc>
      </w:tr>
      <w:tr>
        <w:trPr>
          <w:trHeight w:val="197"/>
        </w:trPr>
        <w:tc>
          <w:tcPr>
            <w:tcW w:w="1840" w:type="dxa"/>
            <w:vAlign w:val="bottom"/>
            <w:shd w:val="clear" w:color="auto" w:fill="CFF0FC"/>
          </w:tcPr>
          <w:p>
            <w:pPr>
              <w:ind w:left="100"/>
              <w:spacing w:after="0"/>
              <w:rPr>
                <w:sz w:val="20"/>
                <w:szCs w:val="20"/>
                <w:color w:val="auto"/>
              </w:rPr>
            </w:pPr>
            <w:r>
              <w:rPr>
                <w:rFonts w:ascii="Arial" w:cs="Arial" w:eastAsia="Arial" w:hAnsi="Arial"/>
                <w:sz w:val="13"/>
                <w:szCs w:val="13"/>
                <w:color w:val="auto"/>
                <w:w w:val="95"/>
              </w:rPr>
              <w:t>Effect of Business Combination</w:t>
            </w:r>
          </w:p>
        </w:tc>
        <w:tc>
          <w:tcPr>
            <w:tcW w:w="80" w:type="dxa"/>
            <w:vAlign w:val="bottom"/>
            <w:shd w:val="clear" w:color="auto" w:fill="CFF0FC"/>
          </w:tcPr>
          <w:p>
            <w:pPr>
              <w:spacing w:after="0"/>
              <w:rPr>
                <w:sz w:val="17"/>
                <w:szCs w:val="17"/>
                <w:color w:val="auto"/>
              </w:rPr>
            </w:pPr>
          </w:p>
        </w:tc>
        <w:tc>
          <w:tcPr>
            <w:tcW w:w="700" w:type="dxa"/>
            <w:vAlign w:val="bottom"/>
            <w:tcBorders>
              <w:right w:val="single" w:sz="8" w:color="CFF0FC"/>
            </w:tcBorders>
            <w:shd w:val="clear" w:color="auto" w:fill="CFF0FC"/>
          </w:tcPr>
          <w:p>
            <w:pPr>
              <w:jc w:val="right"/>
              <w:ind w:right="37"/>
              <w:spacing w:after="0"/>
              <w:rPr>
                <w:sz w:val="20"/>
                <w:szCs w:val="20"/>
                <w:color w:val="auto"/>
              </w:rPr>
            </w:pPr>
            <w:r>
              <w:rPr>
                <w:rFonts w:ascii="Arial" w:cs="Arial" w:eastAsia="Arial" w:hAnsi="Arial"/>
                <w:sz w:val="13"/>
                <w:szCs w:val="13"/>
                <w:color w:val="auto"/>
                <w:w w:val="97"/>
              </w:rPr>
              <w:t>(101,112 )</w:t>
            </w:r>
          </w:p>
        </w:tc>
        <w:tc>
          <w:tcPr>
            <w:tcW w:w="800" w:type="dxa"/>
            <w:vAlign w:val="bottom"/>
            <w:tcBorders>
              <w:right w:val="single" w:sz="8" w:color="CFF0FC"/>
            </w:tcBorders>
            <w:shd w:val="clear" w:color="auto" w:fill="CFF0FC"/>
          </w:tcPr>
          <w:p>
            <w:pPr>
              <w:jc w:val="right"/>
              <w:ind w:right="97"/>
              <w:spacing w:after="0"/>
              <w:rPr>
                <w:sz w:val="20"/>
                <w:szCs w:val="20"/>
                <w:color w:val="auto"/>
              </w:rPr>
            </w:pPr>
            <w:r>
              <w:rPr>
                <w:rFonts w:ascii="Arial" w:cs="Arial" w:eastAsia="Arial" w:hAnsi="Arial"/>
                <w:sz w:val="13"/>
                <w:szCs w:val="13"/>
                <w:color w:val="auto"/>
                <w:w w:val="95"/>
              </w:rPr>
              <w:t>42,956,667</w:t>
            </w:r>
          </w:p>
        </w:tc>
        <w:tc>
          <w:tcPr>
            <w:tcW w:w="800" w:type="dxa"/>
            <w:vAlign w:val="bottom"/>
            <w:tcBorders>
              <w:right w:val="single" w:sz="8" w:color="CFF0FC"/>
            </w:tcBorders>
            <w:shd w:val="clear" w:color="auto" w:fill="CFF0FC"/>
          </w:tcPr>
          <w:p>
            <w:pPr>
              <w:jc w:val="right"/>
              <w:ind w:right="97"/>
              <w:spacing w:after="0"/>
              <w:rPr>
                <w:sz w:val="20"/>
                <w:szCs w:val="20"/>
                <w:color w:val="auto"/>
              </w:rPr>
            </w:pPr>
            <w:r>
              <w:rPr>
                <w:rFonts w:ascii="Arial" w:cs="Arial" w:eastAsia="Arial" w:hAnsi="Arial"/>
                <w:sz w:val="13"/>
                <w:szCs w:val="13"/>
                <w:color w:val="auto"/>
                <w:w w:val="95"/>
              </w:rPr>
              <w:t>50,154,199</w:t>
            </w:r>
          </w:p>
        </w:tc>
        <w:tc>
          <w:tcPr>
            <w:tcW w:w="72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40" w:type="dxa"/>
            <w:vAlign w:val="bottom"/>
            <w:shd w:val="clear" w:color="auto" w:fill="CFF0FC"/>
          </w:tcPr>
          <w:p>
            <w:pPr>
              <w:jc w:val="right"/>
              <w:ind w:right="18"/>
              <w:spacing w:after="0"/>
              <w:rPr>
                <w:sz w:val="20"/>
                <w:szCs w:val="20"/>
                <w:color w:val="auto"/>
              </w:rPr>
            </w:pPr>
            <w:r>
              <w:rPr>
                <w:rFonts w:ascii="Arial" w:cs="Arial" w:eastAsia="Arial" w:hAnsi="Arial"/>
                <w:sz w:val="10"/>
                <w:szCs w:val="10"/>
                <w:color w:val="auto"/>
                <w:w w:val="71"/>
              </w:rPr>
              <w:t>4</w:t>
            </w:r>
          </w:p>
        </w:tc>
        <w:tc>
          <w:tcPr>
            <w:tcW w:w="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w w:val="82"/>
              </w:rPr>
              <w:t>5</w:t>
            </w:r>
          </w:p>
        </w:tc>
        <w:tc>
          <w:tcPr>
            <w:tcW w:w="140" w:type="dxa"/>
            <w:vAlign w:val="bottom"/>
            <w:tcBorders>
              <w:right w:val="single" w:sz="8" w:color="CFF0FC"/>
            </w:tcBorders>
            <w:shd w:val="clear" w:color="auto" w:fill="CFF0FC"/>
          </w:tcPr>
          <w:p>
            <w:pPr>
              <w:spacing w:after="0"/>
              <w:rPr>
                <w:sz w:val="17"/>
                <w:szCs w:val="17"/>
                <w:color w:val="auto"/>
              </w:rPr>
            </w:pPr>
          </w:p>
        </w:tc>
        <w:tc>
          <w:tcPr>
            <w:tcW w:w="6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64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133,832</w:t>
            </w:r>
          </w:p>
        </w:tc>
        <w:tc>
          <w:tcPr>
            <w:tcW w:w="80" w:type="dxa"/>
            <w:vAlign w:val="bottom"/>
            <w:shd w:val="clear" w:color="auto" w:fill="CFF0FC"/>
          </w:tcPr>
          <w:p>
            <w:pPr>
              <w:spacing w:after="0"/>
              <w:rPr>
                <w:sz w:val="17"/>
                <w:szCs w:val="17"/>
                <w:color w:val="auto"/>
              </w:rPr>
            </w:pPr>
          </w:p>
        </w:tc>
        <w:tc>
          <w:tcPr>
            <w:tcW w:w="6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72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974</w:t>
            </w:r>
          </w:p>
        </w:tc>
        <w:tc>
          <w:tcPr>
            <w:tcW w:w="60" w:type="dxa"/>
            <w:vAlign w:val="bottom"/>
            <w:shd w:val="clear" w:color="auto" w:fill="CFF0FC"/>
          </w:tcPr>
          <w:p>
            <w:pPr>
              <w:spacing w:after="0"/>
              <w:rPr>
                <w:sz w:val="17"/>
                <w:szCs w:val="17"/>
                <w:color w:val="auto"/>
              </w:rPr>
            </w:pPr>
          </w:p>
        </w:tc>
        <w:tc>
          <w:tcPr>
            <w:tcW w:w="6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154,619</w:t>
            </w: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188,322</w:t>
            </w:r>
          </w:p>
        </w:tc>
        <w:tc>
          <w:tcPr>
            <w:tcW w:w="0" w:type="dxa"/>
            <w:vAlign w:val="bottom"/>
          </w:tcPr>
          <w:p>
            <w:pPr>
              <w:spacing w:after="0"/>
              <w:rPr>
                <w:sz w:val="1"/>
                <w:szCs w:val="1"/>
                <w:color w:val="auto"/>
              </w:rPr>
            </w:pPr>
          </w:p>
        </w:tc>
      </w:tr>
      <w:tr>
        <w:trPr>
          <w:trHeight w:val="173"/>
        </w:trPr>
        <w:tc>
          <w:tcPr>
            <w:tcW w:w="1840" w:type="dxa"/>
            <w:vAlign w:val="bottom"/>
          </w:tcPr>
          <w:p>
            <w:pPr>
              <w:ind w:left="100"/>
              <w:spacing w:after="0"/>
              <w:rPr>
                <w:sz w:val="20"/>
                <w:szCs w:val="20"/>
                <w:color w:val="auto"/>
              </w:rPr>
            </w:pPr>
            <w:r>
              <w:rPr>
                <w:rFonts w:ascii="Arial" w:cs="Arial" w:eastAsia="Arial" w:hAnsi="Arial"/>
                <w:sz w:val="13"/>
                <w:szCs w:val="13"/>
                <w:color w:val="auto"/>
                <w:w w:val="91"/>
              </w:rPr>
              <w:t>Net income (loss) after Business</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840" w:type="dxa"/>
            <w:vAlign w:val="bottom"/>
          </w:tcPr>
          <w:p>
            <w:pPr>
              <w:ind w:left="100"/>
              <w:spacing w:after="0"/>
              <w:rPr>
                <w:sz w:val="20"/>
                <w:szCs w:val="20"/>
                <w:color w:val="auto"/>
              </w:rPr>
            </w:pPr>
            <w:r>
              <w:rPr>
                <w:rFonts w:ascii="Arial" w:cs="Arial" w:eastAsia="Arial" w:hAnsi="Arial"/>
                <w:sz w:val="13"/>
                <w:szCs w:val="13"/>
                <w:color w:val="auto"/>
              </w:rPr>
              <w:t>Combination</w:t>
            </w:r>
          </w:p>
        </w:tc>
        <w:tc>
          <w:tcPr>
            <w:tcW w:w="80" w:type="dxa"/>
            <w:vAlign w:val="bottom"/>
          </w:tcPr>
          <w:p>
            <w:pPr>
              <w:spacing w:after="0"/>
              <w:rPr>
                <w:sz w:val="14"/>
                <w:szCs w:val="14"/>
                <w:color w:val="auto"/>
              </w:rPr>
            </w:pPr>
          </w:p>
        </w:tc>
        <w:tc>
          <w:tcPr>
            <w:tcW w:w="70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jc w:val="right"/>
              <w:ind w:right="18"/>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(12,499 )</w:t>
            </w:r>
          </w:p>
        </w:tc>
        <w:tc>
          <w:tcPr>
            <w:tcW w:w="100" w:type="dxa"/>
            <w:vAlign w:val="bottom"/>
          </w:tcPr>
          <w:p>
            <w:pPr>
              <w:spacing w:after="0"/>
              <w:rPr>
                <w:sz w:val="14"/>
                <w:szCs w:val="14"/>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(15,851 )</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(28,350 )</w:t>
            </w:r>
          </w:p>
        </w:tc>
        <w:tc>
          <w:tcPr>
            <w:tcW w:w="0" w:type="dxa"/>
            <w:vAlign w:val="bottom"/>
          </w:tcPr>
          <w:p>
            <w:pPr>
              <w:spacing w:after="0"/>
              <w:rPr>
                <w:sz w:val="1"/>
                <w:szCs w:val="1"/>
                <w:color w:val="auto"/>
              </w:rPr>
            </w:pPr>
          </w:p>
        </w:tc>
      </w:tr>
      <w:tr>
        <w:trPr>
          <w:trHeight w:val="181"/>
        </w:trPr>
        <w:tc>
          <w:tcPr>
            <w:tcW w:w="1840" w:type="dxa"/>
            <w:vAlign w:val="bottom"/>
            <w:shd w:val="clear" w:color="auto" w:fill="CFF0FC"/>
          </w:tcPr>
          <w:p>
            <w:pPr>
              <w:ind w:left="100"/>
              <w:spacing w:after="0"/>
              <w:rPr>
                <w:sz w:val="20"/>
                <w:szCs w:val="20"/>
                <w:color w:val="auto"/>
              </w:rPr>
            </w:pPr>
            <w:r>
              <w:rPr>
                <w:rFonts w:ascii="Arial" w:cs="Arial" w:eastAsia="Arial" w:hAnsi="Arial"/>
                <w:sz w:val="13"/>
                <w:szCs w:val="13"/>
                <w:color w:val="auto"/>
              </w:rPr>
              <w:t>Equity-based compensation</w:t>
            </w:r>
          </w:p>
        </w:tc>
        <w:tc>
          <w:tcPr>
            <w:tcW w:w="80" w:type="dxa"/>
            <w:vAlign w:val="bottom"/>
            <w:shd w:val="clear" w:color="auto" w:fill="CFF0FC"/>
          </w:tcPr>
          <w:p>
            <w:pPr>
              <w:spacing w:after="0"/>
              <w:rPr>
                <w:sz w:val="15"/>
                <w:szCs w:val="15"/>
                <w:color w:val="auto"/>
              </w:rPr>
            </w:pPr>
          </w:p>
        </w:tc>
        <w:tc>
          <w:tcPr>
            <w:tcW w:w="700" w:type="dxa"/>
            <w:vAlign w:val="bottom"/>
            <w:tcBorders>
              <w:right w:val="single" w:sz="8" w:color="CFF0FC"/>
            </w:tcBorders>
            <w:shd w:val="clear" w:color="auto" w:fill="CFF0FC"/>
          </w:tcPr>
          <w:p>
            <w:pPr>
              <w:spacing w:after="0"/>
              <w:rPr>
                <w:sz w:val="15"/>
                <w:szCs w:val="15"/>
                <w:color w:val="auto"/>
              </w:rPr>
            </w:pPr>
          </w:p>
        </w:tc>
        <w:tc>
          <w:tcPr>
            <w:tcW w:w="800" w:type="dxa"/>
            <w:vAlign w:val="bottom"/>
            <w:tcBorders>
              <w:right w:val="single" w:sz="8" w:color="CFF0FC"/>
            </w:tcBorders>
            <w:shd w:val="clear" w:color="auto" w:fill="CFF0FC"/>
          </w:tcPr>
          <w:p>
            <w:pPr>
              <w:spacing w:after="0"/>
              <w:rPr>
                <w:sz w:val="15"/>
                <w:szCs w:val="15"/>
                <w:color w:val="auto"/>
              </w:rPr>
            </w:pPr>
          </w:p>
        </w:tc>
        <w:tc>
          <w:tcPr>
            <w:tcW w:w="800" w:type="dxa"/>
            <w:vAlign w:val="bottom"/>
            <w:tcBorders>
              <w:right w:val="single" w:sz="8" w:color="CFF0FC"/>
            </w:tcBorders>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tcBorders>
              <w:right w:val="single" w:sz="8" w:color="CFF0FC"/>
            </w:tcBorders>
            <w:shd w:val="clear" w:color="auto" w:fill="CFF0FC"/>
          </w:tcPr>
          <w:p>
            <w:pPr>
              <w:spacing w:after="0"/>
              <w:rPr>
                <w:sz w:val="15"/>
                <w:szCs w:val="15"/>
                <w:color w:val="auto"/>
              </w:rPr>
            </w:pPr>
          </w:p>
        </w:tc>
        <w:tc>
          <w:tcPr>
            <w:tcW w:w="68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tcBorders>
              <w:right w:val="single" w:sz="8" w:color="CFF0FC"/>
            </w:tcBorders>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68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840" w:type="dxa"/>
            <w:vAlign w:val="bottom"/>
            <w:shd w:val="clear" w:color="auto" w:fill="CFF0FC"/>
          </w:tcPr>
          <w:p>
            <w:pPr>
              <w:ind w:left="100"/>
              <w:spacing w:after="0"/>
              <w:rPr>
                <w:sz w:val="20"/>
                <w:szCs w:val="20"/>
                <w:color w:val="auto"/>
              </w:rPr>
            </w:pPr>
            <w:r>
              <w:rPr>
                <w:rFonts w:ascii="Arial" w:cs="Arial" w:eastAsia="Arial" w:hAnsi="Arial"/>
                <w:sz w:val="13"/>
                <w:szCs w:val="13"/>
                <w:color w:val="auto"/>
              </w:rPr>
              <w:t>after Business Combination</w:t>
            </w:r>
          </w:p>
        </w:tc>
        <w:tc>
          <w:tcPr>
            <w:tcW w:w="80" w:type="dxa"/>
            <w:vAlign w:val="bottom"/>
            <w:shd w:val="clear" w:color="auto" w:fill="CFF0FC"/>
          </w:tcPr>
          <w:p>
            <w:pPr>
              <w:spacing w:after="0"/>
              <w:rPr>
                <w:sz w:val="15"/>
                <w:szCs w:val="15"/>
                <w:color w:val="auto"/>
              </w:rPr>
            </w:pPr>
          </w:p>
        </w:tc>
        <w:tc>
          <w:tcPr>
            <w:tcW w:w="700" w:type="dxa"/>
            <w:vAlign w:val="bottom"/>
            <w:tcBorders>
              <w:right w:val="single" w:sz="8" w:color="CFF0FC"/>
            </w:tcBorders>
            <w:shd w:val="clear" w:color="auto" w:fill="CFF0FC"/>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CFF0FC"/>
            </w:tcBorders>
            <w:shd w:val="clear" w:color="auto" w:fill="CFF0FC"/>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CFF0FC"/>
            </w:tcBorders>
            <w:shd w:val="clear" w:color="auto" w:fill="CFF0FC"/>
          </w:tcPr>
          <w:p>
            <w:pPr>
              <w:jc w:val="right"/>
              <w:ind w:right="97"/>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40" w:type="dxa"/>
            <w:vAlign w:val="bottom"/>
            <w:shd w:val="clear" w:color="auto" w:fill="CFF0FC"/>
          </w:tcPr>
          <w:p>
            <w:pPr>
              <w:jc w:val="right"/>
              <w:ind w:right="18"/>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CFF0FC"/>
            </w:tcBorders>
            <w:shd w:val="clear" w:color="auto" w:fill="CFF0FC"/>
          </w:tcPr>
          <w:p>
            <w:pPr>
              <w:spacing w:after="0"/>
              <w:rPr>
                <w:sz w:val="15"/>
                <w:szCs w:val="15"/>
                <w:color w:val="auto"/>
              </w:rPr>
            </w:pPr>
          </w:p>
        </w:tc>
        <w:tc>
          <w:tcPr>
            <w:tcW w:w="6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64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1,461</w:t>
            </w:r>
          </w:p>
        </w:tc>
        <w:tc>
          <w:tcPr>
            <w:tcW w:w="80" w:type="dxa"/>
            <w:vAlign w:val="bottom"/>
            <w:shd w:val="clear" w:color="auto" w:fill="CFF0FC"/>
          </w:tcPr>
          <w:p>
            <w:pPr>
              <w:spacing w:after="0"/>
              <w:rPr>
                <w:sz w:val="15"/>
                <w:szCs w:val="15"/>
                <w:color w:val="auto"/>
              </w:rPr>
            </w:pPr>
          </w:p>
        </w:tc>
        <w:tc>
          <w:tcPr>
            <w:tcW w:w="6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72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5"/>
                <w:szCs w:val="15"/>
                <w:color w:val="auto"/>
              </w:rPr>
            </w:pPr>
          </w:p>
        </w:tc>
        <w:tc>
          <w:tcPr>
            <w:tcW w:w="6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1,461</w:t>
            </w:r>
          </w:p>
        </w:tc>
        <w:tc>
          <w:tcPr>
            <w:tcW w:w="0" w:type="dxa"/>
            <w:vAlign w:val="bottom"/>
          </w:tcPr>
          <w:p>
            <w:pPr>
              <w:spacing w:after="0"/>
              <w:rPr>
                <w:sz w:val="1"/>
                <w:szCs w:val="1"/>
                <w:color w:val="auto"/>
              </w:rPr>
            </w:pPr>
          </w:p>
        </w:tc>
      </w:tr>
      <w:tr>
        <w:trPr>
          <w:trHeight w:val="173"/>
        </w:trPr>
        <w:tc>
          <w:tcPr>
            <w:tcW w:w="1840" w:type="dxa"/>
            <w:vAlign w:val="bottom"/>
          </w:tcPr>
          <w:p>
            <w:pPr>
              <w:ind w:left="100"/>
              <w:spacing w:after="0"/>
              <w:rPr>
                <w:sz w:val="20"/>
                <w:szCs w:val="20"/>
                <w:color w:val="auto"/>
              </w:rPr>
            </w:pPr>
            <w:r>
              <w:rPr>
                <w:rFonts w:ascii="Arial" w:cs="Arial" w:eastAsia="Arial" w:hAnsi="Arial"/>
                <w:sz w:val="13"/>
                <w:szCs w:val="13"/>
                <w:color w:val="auto"/>
              </w:rPr>
              <w:t>Foreign currency translation</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840" w:type="dxa"/>
            <w:vAlign w:val="bottom"/>
          </w:tcPr>
          <w:p>
            <w:pPr>
              <w:ind w:left="100"/>
              <w:spacing w:after="0"/>
              <w:rPr>
                <w:sz w:val="20"/>
                <w:szCs w:val="20"/>
                <w:color w:val="auto"/>
              </w:rPr>
            </w:pPr>
            <w:r>
              <w:rPr>
                <w:rFonts w:ascii="Arial" w:cs="Arial" w:eastAsia="Arial" w:hAnsi="Arial"/>
                <w:sz w:val="13"/>
                <w:szCs w:val="13"/>
                <w:color w:val="auto"/>
              </w:rPr>
              <w:t>gain (loss) after Business</w:t>
            </w:r>
          </w:p>
        </w:tc>
        <w:tc>
          <w:tcPr>
            <w:tcW w:w="80" w:type="dxa"/>
            <w:vAlign w:val="bottom"/>
          </w:tcPr>
          <w:p>
            <w:pPr>
              <w:spacing w:after="0"/>
              <w:rPr>
                <w:sz w:val="14"/>
                <w:szCs w:val="14"/>
                <w:color w:val="auto"/>
              </w:rPr>
            </w:pPr>
          </w:p>
        </w:tc>
        <w:tc>
          <w:tcPr>
            <w:tcW w:w="700" w:type="dxa"/>
            <w:vAlign w:val="bottom"/>
            <w:vMerge w:val="restart"/>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ind w:right="97"/>
              <w:spacing w:after="0"/>
              <w:rPr>
                <w:sz w:val="20"/>
                <w:szCs w:val="20"/>
                <w:color w:val="auto"/>
              </w:rPr>
            </w:pPr>
            <w:r>
              <w:rPr>
                <w:rFonts w:ascii="Arial" w:cs="Arial" w:eastAsia="Arial" w:hAnsi="Arial"/>
                <w:sz w:val="13"/>
                <w:szCs w:val="13"/>
                <w:color w:val="auto"/>
              </w:rPr>
              <w:t>-</w:t>
            </w:r>
          </w:p>
        </w:tc>
        <w:tc>
          <w:tcPr>
            <w:tcW w:w="72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vMerge w:val="restart"/>
          </w:tcPr>
          <w:p>
            <w:pPr>
              <w:jc w:val="right"/>
              <w:ind w:right="18"/>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80" w:type="dxa"/>
            <w:vAlign w:val="bottom"/>
            <w:vMerge w:val="restart"/>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vMerge w:val="restart"/>
          </w:tcPr>
          <w:p>
            <w:pPr>
              <w:jc w:val="right"/>
              <w:ind w:right="7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80" w:type="dxa"/>
            <w:vAlign w:val="bottom"/>
            <w:vMerge w:val="restart"/>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20" w:type="dxa"/>
            <w:vAlign w:val="bottom"/>
            <w:vMerge w:val="restart"/>
          </w:tcPr>
          <w:p>
            <w:pPr>
              <w:jc w:val="right"/>
              <w:ind w:right="77"/>
              <w:spacing w:after="0"/>
              <w:rPr>
                <w:sz w:val="20"/>
                <w:szCs w:val="20"/>
                <w:color w:val="auto"/>
              </w:rPr>
            </w:pPr>
            <w:r>
              <w:rPr>
                <w:rFonts w:ascii="Arial" w:cs="Arial" w:eastAsia="Arial" w:hAnsi="Arial"/>
                <w:sz w:val="13"/>
                <w:szCs w:val="13"/>
                <w:color w:val="auto"/>
              </w:rPr>
              <w:t>8</w:t>
            </w:r>
          </w:p>
        </w:tc>
        <w:tc>
          <w:tcPr>
            <w:tcW w:w="60" w:type="dxa"/>
            <w:vAlign w:val="bottom"/>
          </w:tcPr>
          <w:p>
            <w:pPr>
              <w:spacing w:after="0"/>
              <w:rPr>
                <w:sz w:val="14"/>
                <w:szCs w:val="14"/>
                <w:color w:val="auto"/>
              </w:rPr>
            </w:pPr>
          </w:p>
        </w:tc>
        <w:tc>
          <w:tcPr>
            <w:tcW w:w="680" w:type="dxa"/>
            <w:vAlign w:val="bottom"/>
            <w:vMerge w:val="restart"/>
          </w:tcPr>
          <w:p>
            <w:pPr>
              <w:jc w:val="right"/>
              <w:ind w:right="77"/>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4"/>
                <w:szCs w:val="14"/>
                <w:color w:val="auto"/>
              </w:rPr>
            </w:pPr>
          </w:p>
        </w:tc>
        <w:tc>
          <w:tcPr>
            <w:tcW w:w="580" w:type="dxa"/>
            <w:vAlign w:val="bottom"/>
            <w:vMerge w:val="restart"/>
          </w:tcPr>
          <w:p>
            <w:pPr>
              <w:jc w:val="right"/>
              <w:ind w:right="17"/>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63"/>
        </w:trPr>
        <w:tc>
          <w:tcPr>
            <w:tcW w:w="1840" w:type="dxa"/>
            <w:vAlign w:val="bottom"/>
          </w:tcPr>
          <w:p>
            <w:pPr>
              <w:ind w:left="100"/>
              <w:spacing w:after="0"/>
              <w:rPr>
                <w:sz w:val="20"/>
                <w:szCs w:val="20"/>
                <w:color w:val="auto"/>
              </w:rPr>
            </w:pPr>
            <w:r>
              <w:rPr>
                <w:rFonts w:ascii="Arial" w:cs="Arial" w:eastAsia="Arial" w:hAnsi="Arial"/>
                <w:sz w:val="13"/>
                <w:szCs w:val="13"/>
                <w:color w:val="auto"/>
              </w:rPr>
              <w:t>Combination</w:t>
            </w: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84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Balance at June 30, 2021</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right w:val="single" w:sz="8" w:color="CFF0FC"/>
            </w:tcBorders>
            <w:shd w:val="clear" w:color="auto" w:fill="CFF0FC"/>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CFF0FC"/>
            </w:tcBorders>
            <w:shd w:val="clear" w:color="auto" w:fill="CFF0FC"/>
          </w:tcPr>
          <w:p>
            <w:pPr>
              <w:jc w:val="right"/>
              <w:ind w:right="97"/>
              <w:spacing w:after="0"/>
              <w:rPr>
                <w:sz w:val="20"/>
                <w:szCs w:val="20"/>
                <w:color w:val="auto"/>
              </w:rPr>
            </w:pPr>
            <w:r>
              <w:rPr>
                <w:rFonts w:ascii="Arial" w:cs="Arial" w:eastAsia="Arial" w:hAnsi="Arial"/>
                <w:sz w:val="13"/>
                <w:szCs w:val="13"/>
                <w:color w:val="auto"/>
                <w:w w:val="95"/>
              </w:rPr>
              <w:t>42,956,667</w:t>
            </w:r>
          </w:p>
        </w:tc>
        <w:tc>
          <w:tcPr>
            <w:tcW w:w="800" w:type="dxa"/>
            <w:vAlign w:val="bottom"/>
            <w:tcBorders>
              <w:right w:val="single" w:sz="8" w:color="CFF0FC"/>
            </w:tcBorders>
            <w:shd w:val="clear" w:color="auto" w:fill="CFF0FC"/>
          </w:tcPr>
          <w:p>
            <w:pPr>
              <w:jc w:val="right"/>
              <w:ind w:right="97"/>
              <w:spacing w:after="0"/>
              <w:rPr>
                <w:sz w:val="20"/>
                <w:szCs w:val="20"/>
                <w:color w:val="auto"/>
              </w:rPr>
            </w:pPr>
            <w:r>
              <w:rPr>
                <w:rFonts w:ascii="Arial" w:cs="Arial" w:eastAsia="Arial" w:hAnsi="Arial"/>
                <w:sz w:val="13"/>
                <w:szCs w:val="13"/>
                <w:color w:val="auto"/>
                <w:w w:val="95"/>
              </w:rPr>
              <w:t>50,154,199</w:t>
            </w:r>
          </w:p>
        </w:tc>
        <w:tc>
          <w:tcPr>
            <w:tcW w:w="72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FF0FC"/>
          </w:tcPr>
          <w:p>
            <w:pPr>
              <w:jc w:val="right"/>
              <w:ind w:right="4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jc w:val="right"/>
              <w:ind w:right="18"/>
              <w:spacing w:after="0"/>
              <w:rPr>
                <w:sz w:val="20"/>
                <w:szCs w:val="20"/>
                <w:color w:val="auto"/>
              </w:rPr>
            </w:pPr>
            <w:r>
              <w:rPr>
                <w:rFonts w:ascii="Arial" w:cs="Arial" w:eastAsia="Arial" w:hAnsi="Arial"/>
                <w:sz w:val="10"/>
                <w:szCs w:val="10"/>
                <w:color w:val="auto"/>
                <w:w w:val="71"/>
              </w:rPr>
              <w:t>4</w:t>
            </w:r>
          </w:p>
        </w:tc>
        <w:tc>
          <w:tcPr>
            <w:tcW w:w="640" w:type="dxa"/>
            <w:vAlign w:val="bottom"/>
            <w:gridSpan w:val="2"/>
            <w:shd w:val="clear" w:color="auto" w:fill="CFF0FC"/>
          </w:tcPr>
          <w:p>
            <w:pPr>
              <w:jc w:val="right"/>
              <w:ind w:right="4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w w:val="82"/>
              </w:rPr>
              <w:t>5</w:t>
            </w:r>
          </w:p>
        </w:tc>
        <w:tc>
          <w:tcPr>
            <w:tcW w:w="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ind w:left="20"/>
              <w:spacing w:after="0"/>
              <w:rPr>
                <w:sz w:val="20"/>
                <w:szCs w:val="20"/>
                <w:color w:val="auto"/>
              </w:rPr>
            </w:pPr>
            <w:r>
              <w:rPr>
                <w:rFonts w:ascii="Arial" w:cs="Arial" w:eastAsia="Arial" w:hAnsi="Arial"/>
                <w:sz w:val="13"/>
                <w:szCs w:val="13"/>
                <w:color w:val="auto"/>
                <w:w w:val="82"/>
              </w:rPr>
              <w:t>$</w:t>
            </w:r>
          </w:p>
        </w:tc>
        <w:tc>
          <w:tcPr>
            <w:tcW w:w="64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135,293</w:t>
            </w:r>
          </w:p>
        </w:tc>
        <w:tc>
          <w:tcPr>
            <w:tcW w:w="80" w:type="dxa"/>
            <w:vAlign w:val="bottom"/>
            <w:shd w:val="clear" w:color="auto" w:fill="CFF0FC"/>
          </w:tcPr>
          <w:p>
            <w:pPr>
              <w:ind w:left="20"/>
              <w:spacing w:after="0"/>
              <w:rPr>
                <w:sz w:val="20"/>
                <w:szCs w:val="20"/>
                <w:color w:val="auto"/>
              </w:rPr>
            </w:pPr>
            <w:r>
              <w:rPr>
                <w:rFonts w:ascii="Arial" w:cs="Arial" w:eastAsia="Arial" w:hAnsi="Arial"/>
                <w:sz w:val="10"/>
                <w:szCs w:val="10"/>
                <w:color w:val="auto"/>
                <w:w w:val="71"/>
              </w:rPr>
              <w:t>$</w:t>
            </w:r>
          </w:p>
        </w:tc>
        <w:tc>
          <w:tcPr>
            <w:tcW w:w="6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(12,499 )</w:t>
            </w:r>
          </w:p>
        </w:tc>
        <w:tc>
          <w:tcPr>
            <w:tcW w:w="100" w:type="dxa"/>
            <w:vAlign w:val="bottom"/>
            <w:shd w:val="clear" w:color="auto" w:fill="CFF0FC"/>
          </w:tcPr>
          <w:p>
            <w:pPr>
              <w:ind w:left="20"/>
              <w:spacing w:after="0"/>
              <w:rPr>
                <w:sz w:val="20"/>
                <w:szCs w:val="20"/>
                <w:color w:val="auto"/>
              </w:rPr>
            </w:pPr>
            <w:r>
              <w:rPr>
                <w:rFonts w:ascii="Arial" w:cs="Arial" w:eastAsia="Arial" w:hAnsi="Arial"/>
                <w:sz w:val="13"/>
                <w:szCs w:val="13"/>
                <w:color w:val="auto"/>
                <w:w w:val="82"/>
              </w:rPr>
              <w:t>$</w:t>
            </w:r>
          </w:p>
        </w:tc>
        <w:tc>
          <w:tcPr>
            <w:tcW w:w="720" w:type="dxa"/>
            <w:vAlign w:val="bottom"/>
            <w:tcBorders>
              <w:right w:val="single" w:sz="8" w:color="CFF0FC"/>
            </w:tcBorders>
            <w:shd w:val="clear" w:color="auto" w:fill="CFF0FC"/>
          </w:tcPr>
          <w:p>
            <w:pPr>
              <w:jc w:val="right"/>
              <w:ind w:right="17"/>
              <w:spacing w:after="0"/>
              <w:rPr>
                <w:sz w:val="20"/>
                <w:szCs w:val="20"/>
                <w:color w:val="auto"/>
              </w:rPr>
            </w:pPr>
            <w:r>
              <w:rPr>
                <w:rFonts w:ascii="Arial" w:cs="Arial" w:eastAsia="Arial" w:hAnsi="Arial"/>
                <w:sz w:val="13"/>
                <w:szCs w:val="13"/>
                <w:color w:val="auto"/>
              </w:rPr>
              <w:t>(818 )</w:t>
            </w: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138,778</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260,763</w:t>
            </w:r>
          </w:p>
        </w:tc>
        <w:tc>
          <w:tcPr>
            <w:tcW w:w="0" w:type="dxa"/>
            <w:vAlign w:val="bottom"/>
          </w:tcPr>
          <w:p>
            <w:pPr>
              <w:spacing w:after="0"/>
              <w:rPr>
                <w:sz w:val="1"/>
                <w:szCs w:val="1"/>
                <w:color w:val="auto"/>
              </w:rPr>
            </w:pPr>
          </w:p>
        </w:tc>
      </w:tr>
      <w:tr>
        <w:trPr>
          <w:trHeight w:val="181"/>
        </w:trPr>
        <w:tc>
          <w:tcPr>
            <w:tcW w:w="1840" w:type="dxa"/>
            <w:vAlign w:val="bottom"/>
          </w:tcPr>
          <w:p>
            <w:pPr>
              <w:ind w:left="100"/>
              <w:spacing w:after="0"/>
              <w:rPr>
                <w:sz w:val="20"/>
                <w:szCs w:val="20"/>
                <w:color w:val="auto"/>
              </w:rPr>
            </w:pPr>
            <w:r>
              <w:rPr>
                <w:rFonts w:ascii="Arial" w:cs="Arial" w:eastAsia="Arial" w:hAnsi="Arial"/>
                <w:sz w:val="13"/>
                <w:szCs w:val="13"/>
                <w:color w:val="auto"/>
              </w:rPr>
              <w:t>Net income (loss)</w:t>
            </w:r>
          </w:p>
        </w:tc>
        <w:tc>
          <w:tcPr>
            <w:tcW w:w="80" w:type="dxa"/>
            <w:vAlign w:val="bottom"/>
          </w:tcPr>
          <w:p>
            <w:pPr>
              <w:spacing w:after="0"/>
              <w:rPr>
                <w:sz w:val="15"/>
                <w:szCs w:val="15"/>
                <w:color w:val="auto"/>
              </w:rPr>
            </w:pPr>
          </w:p>
        </w:tc>
        <w:tc>
          <w:tcPr>
            <w:tcW w:w="70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jc w:val="right"/>
              <w:ind w:right="18"/>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3,476</w:t>
            </w:r>
          </w:p>
        </w:tc>
        <w:tc>
          <w:tcPr>
            <w:tcW w:w="100" w:type="dxa"/>
            <w:vAlign w:val="bottom"/>
          </w:tcPr>
          <w:p>
            <w:pPr>
              <w:spacing w:after="0"/>
              <w:rPr>
                <w:sz w:val="15"/>
                <w:szCs w:val="15"/>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(12,938 )</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(9,462 )</w:t>
            </w:r>
          </w:p>
        </w:tc>
        <w:tc>
          <w:tcPr>
            <w:tcW w:w="0" w:type="dxa"/>
            <w:vAlign w:val="bottom"/>
          </w:tcPr>
          <w:p>
            <w:pPr>
              <w:spacing w:after="0"/>
              <w:rPr>
                <w:sz w:val="1"/>
                <w:szCs w:val="1"/>
                <w:color w:val="auto"/>
              </w:rPr>
            </w:pPr>
          </w:p>
        </w:tc>
      </w:tr>
      <w:tr>
        <w:trPr>
          <w:trHeight w:val="197"/>
        </w:trPr>
        <w:tc>
          <w:tcPr>
            <w:tcW w:w="1840" w:type="dxa"/>
            <w:vAlign w:val="bottom"/>
            <w:shd w:val="clear" w:color="auto" w:fill="CFF0FC"/>
          </w:tcPr>
          <w:p>
            <w:pPr>
              <w:ind w:left="100"/>
              <w:spacing w:after="0"/>
              <w:rPr>
                <w:sz w:val="20"/>
                <w:szCs w:val="20"/>
                <w:color w:val="auto"/>
              </w:rPr>
            </w:pPr>
            <w:r>
              <w:rPr>
                <w:rFonts w:ascii="Arial" w:cs="Arial" w:eastAsia="Arial" w:hAnsi="Arial"/>
                <w:sz w:val="13"/>
                <w:szCs w:val="13"/>
                <w:color w:val="auto"/>
              </w:rPr>
              <w:t>Equity-based awards</w:t>
            </w:r>
          </w:p>
        </w:tc>
        <w:tc>
          <w:tcPr>
            <w:tcW w:w="80" w:type="dxa"/>
            <w:vAlign w:val="bottom"/>
            <w:shd w:val="clear" w:color="auto" w:fill="CFF0FC"/>
          </w:tcPr>
          <w:p>
            <w:pPr>
              <w:spacing w:after="0"/>
              <w:rPr>
                <w:sz w:val="17"/>
                <w:szCs w:val="17"/>
                <w:color w:val="auto"/>
              </w:rPr>
            </w:pPr>
          </w:p>
        </w:tc>
        <w:tc>
          <w:tcPr>
            <w:tcW w:w="700" w:type="dxa"/>
            <w:vAlign w:val="bottom"/>
            <w:tcBorders>
              <w:right w:val="single" w:sz="8" w:color="CFF0FC"/>
            </w:tcBorders>
            <w:shd w:val="clear" w:color="auto" w:fill="CFF0FC"/>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CFF0FC"/>
            </w:tcBorders>
            <w:shd w:val="clear" w:color="auto" w:fill="CFF0FC"/>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CFF0FC"/>
            </w:tcBorders>
            <w:shd w:val="clear" w:color="auto" w:fill="CFF0FC"/>
          </w:tcPr>
          <w:p>
            <w:pPr>
              <w:jc w:val="right"/>
              <w:ind w:right="97"/>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40" w:type="dxa"/>
            <w:vAlign w:val="bottom"/>
            <w:shd w:val="clear" w:color="auto" w:fill="CFF0FC"/>
          </w:tcPr>
          <w:p>
            <w:pPr>
              <w:jc w:val="right"/>
              <w:ind w:right="18"/>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CFF0FC"/>
            </w:tcBorders>
            <w:shd w:val="clear" w:color="auto" w:fill="CFF0FC"/>
          </w:tcPr>
          <w:p>
            <w:pPr>
              <w:spacing w:after="0"/>
              <w:rPr>
                <w:sz w:val="17"/>
                <w:szCs w:val="17"/>
                <w:color w:val="auto"/>
              </w:rPr>
            </w:pPr>
          </w:p>
        </w:tc>
        <w:tc>
          <w:tcPr>
            <w:tcW w:w="6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64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21,094</w:t>
            </w:r>
          </w:p>
        </w:tc>
        <w:tc>
          <w:tcPr>
            <w:tcW w:w="80" w:type="dxa"/>
            <w:vAlign w:val="bottom"/>
            <w:shd w:val="clear" w:color="auto" w:fill="CFF0FC"/>
          </w:tcPr>
          <w:p>
            <w:pPr>
              <w:spacing w:after="0"/>
              <w:rPr>
                <w:sz w:val="17"/>
                <w:szCs w:val="17"/>
                <w:color w:val="auto"/>
              </w:rPr>
            </w:pPr>
          </w:p>
        </w:tc>
        <w:tc>
          <w:tcPr>
            <w:tcW w:w="6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72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7"/>
                <w:szCs w:val="17"/>
                <w:color w:val="auto"/>
              </w:rPr>
            </w:pPr>
          </w:p>
        </w:tc>
        <w:tc>
          <w:tcPr>
            <w:tcW w:w="6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17,133</w:t>
            </w: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38,227</w:t>
            </w:r>
          </w:p>
        </w:tc>
        <w:tc>
          <w:tcPr>
            <w:tcW w:w="0" w:type="dxa"/>
            <w:vAlign w:val="bottom"/>
          </w:tcPr>
          <w:p>
            <w:pPr>
              <w:spacing w:after="0"/>
              <w:rPr>
                <w:sz w:val="1"/>
                <w:szCs w:val="1"/>
                <w:color w:val="auto"/>
              </w:rPr>
            </w:pPr>
          </w:p>
        </w:tc>
      </w:tr>
      <w:tr>
        <w:trPr>
          <w:trHeight w:val="173"/>
        </w:trPr>
        <w:tc>
          <w:tcPr>
            <w:tcW w:w="1840" w:type="dxa"/>
            <w:vAlign w:val="bottom"/>
          </w:tcPr>
          <w:p>
            <w:pPr>
              <w:ind w:left="100"/>
              <w:spacing w:after="0"/>
              <w:rPr>
                <w:sz w:val="20"/>
                <w:szCs w:val="20"/>
                <w:color w:val="auto"/>
              </w:rPr>
            </w:pPr>
            <w:r>
              <w:rPr>
                <w:rFonts w:ascii="Arial" w:cs="Arial" w:eastAsia="Arial" w:hAnsi="Arial"/>
                <w:sz w:val="13"/>
                <w:szCs w:val="13"/>
                <w:color w:val="auto"/>
              </w:rPr>
              <w:t>Foreign currency translation</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840" w:type="dxa"/>
            <w:vAlign w:val="bottom"/>
          </w:tcPr>
          <w:p>
            <w:pPr>
              <w:ind w:left="100"/>
              <w:spacing w:after="0"/>
              <w:rPr>
                <w:sz w:val="20"/>
                <w:szCs w:val="20"/>
                <w:color w:val="auto"/>
              </w:rPr>
            </w:pPr>
            <w:r>
              <w:rPr>
                <w:rFonts w:ascii="Arial" w:cs="Arial" w:eastAsia="Arial" w:hAnsi="Arial"/>
                <w:sz w:val="13"/>
                <w:szCs w:val="13"/>
                <w:color w:val="auto"/>
              </w:rPr>
              <w:t>gain (loss)</w:t>
            </w:r>
          </w:p>
        </w:tc>
        <w:tc>
          <w:tcPr>
            <w:tcW w:w="80" w:type="dxa"/>
            <w:vAlign w:val="bottom"/>
          </w:tcPr>
          <w:p>
            <w:pPr>
              <w:spacing w:after="0"/>
              <w:rPr>
                <w:sz w:val="14"/>
                <w:szCs w:val="14"/>
                <w:color w:val="auto"/>
              </w:rPr>
            </w:pPr>
          </w:p>
        </w:tc>
        <w:tc>
          <w:tcPr>
            <w:tcW w:w="70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jc w:val="right"/>
              <w:ind w:right="18"/>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(956 )</w:t>
            </w:r>
          </w:p>
        </w:tc>
        <w:tc>
          <w:tcPr>
            <w:tcW w:w="60" w:type="dxa"/>
            <w:vAlign w:val="bottom"/>
          </w:tcPr>
          <w:p>
            <w:pPr>
              <w:spacing w:after="0"/>
              <w:rPr>
                <w:sz w:val="14"/>
                <w:szCs w:val="14"/>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(1,130 )</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(2,086 )</w:t>
            </w:r>
          </w:p>
        </w:tc>
        <w:tc>
          <w:tcPr>
            <w:tcW w:w="0" w:type="dxa"/>
            <w:vAlign w:val="bottom"/>
          </w:tcPr>
          <w:p>
            <w:pPr>
              <w:spacing w:after="0"/>
              <w:rPr>
                <w:sz w:val="1"/>
                <w:szCs w:val="1"/>
                <w:color w:val="auto"/>
              </w:rPr>
            </w:pPr>
          </w:p>
        </w:tc>
      </w:tr>
      <w:tr>
        <w:trPr>
          <w:trHeight w:val="197"/>
        </w:trPr>
        <w:tc>
          <w:tcPr>
            <w:tcW w:w="1840" w:type="dxa"/>
            <w:vAlign w:val="bottom"/>
            <w:shd w:val="clear" w:color="auto" w:fill="CFF0FC"/>
          </w:tcPr>
          <w:p>
            <w:pPr>
              <w:ind w:left="100"/>
              <w:spacing w:after="0"/>
              <w:rPr>
                <w:sz w:val="20"/>
                <w:szCs w:val="20"/>
                <w:color w:val="auto"/>
              </w:rPr>
            </w:pPr>
            <w:r>
              <w:rPr>
                <w:rFonts w:ascii="Arial" w:cs="Arial" w:eastAsia="Arial" w:hAnsi="Arial"/>
                <w:sz w:val="13"/>
                <w:szCs w:val="13"/>
                <w:color w:val="auto"/>
              </w:rPr>
              <w:t>Distributions to partners</w:t>
            </w:r>
          </w:p>
        </w:tc>
        <w:tc>
          <w:tcPr>
            <w:tcW w:w="80" w:type="dxa"/>
            <w:vAlign w:val="bottom"/>
            <w:shd w:val="clear" w:color="auto" w:fill="CFF0FC"/>
          </w:tcPr>
          <w:p>
            <w:pPr>
              <w:spacing w:after="0"/>
              <w:rPr>
                <w:sz w:val="17"/>
                <w:szCs w:val="17"/>
                <w:color w:val="auto"/>
              </w:rPr>
            </w:pPr>
          </w:p>
        </w:tc>
        <w:tc>
          <w:tcPr>
            <w:tcW w:w="700" w:type="dxa"/>
            <w:vAlign w:val="bottom"/>
            <w:tcBorders>
              <w:right w:val="single" w:sz="8" w:color="CFF0FC"/>
            </w:tcBorders>
            <w:shd w:val="clear" w:color="auto" w:fill="CFF0FC"/>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CFF0FC"/>
            </w:tcBorders>
            <w:shd w:val="clear" w:color="auto" w:fill="CFF0FC"/>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CFF0FC"/>
            </w:tcBorders>
            <w:shd w:val="clear" w:color="auto" w:fill="CFF0FC"/>
          </w:tcPr>
          <w:p>
            <w:pPr>
              <w:jc w:val="right"/>
              <w:ind w:right="97"/>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40" w:type="dxa"/>
            <w:vAlign w:val="bottom"/>
            <w:shd w:val="clear" w:color="auto" w:fill="CFF0FC"/>
          </w:tcPr>
          <w:p>
            <w:pPr>
              <w:jc w:val="right"/>
              <w:ind w:right="18"/>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CFF0FC"/>
            </w:tcBorders>
            <w:shd w:val="clear" w:color="auto" w:fill="CFF0FC"/>
          </w:tcPr>
          <w:p>
            <w:pPr>
              <w:spacing w:after="0"/>
              <w:rPr>
                <w:sz w:val="17"/>
                <w:szCs w:val="17"/>
                <w:color w:val="auto"/>
              </w:rPr>
            </w:pPr>
          </w:p>
        </w:tc>
        <w:tc>
          <w:tcPr>
            <w:tcW w:w="6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64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7"/>
                <w:szCs w:val="17"/>
                <w:color w:val="auto"/>
              </w:rPr>
            </w:pPr>
          </w:p>
        </w:tc>
        <w:tc>
          <w:tcPr>
            <w:tcW w:w="6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72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7"/>
                <w:szCs w:val="17"/>
                <w:color w:val="auto"/>
              </w:rPr>
            </w:pPr>
          </w:p>
        </w:tc>
        <w:tc>
          <w:tcPr>
            <w:tcW w:w="680" w:type="dxa"/>
            <w:vAlign w:val="bottom"/>
            <w:tcBorders>
              <w:right w:val="single" w:sz="8" w:color="CFF0FC"/>
            </w:tcBorders>
            <w:shd w:val="clear" w:color="auto" w:fill="CFF0FC"/>
          </w:tcPr>
          <w:p>
            <w:pPr>
              <w:jc w:val="right"/>
              <w:ind w:right="17"/>
              <w:spacing w:after="0"/>
              <w:rPr>
                <w:sz w:val="20"/>
                <w:szCs w:val="20"/>
                <w:color w:val="auto"/>
              </w:rPr>
            </w:pPr>
            <w:r>
              <w:rPr>
                <w:rFonts w:ascii="Arial" w:cs="Arial" w:eastAsia="Arial" w:hAnsi="Arial"/>
                <w:sz w:val="13"/>
                <w:szCs w:val="13"/>
                <w:color w:val="auto"/>
              </w:rPr>
              <w:t>(7,007 )</w:t>
            </w: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(7,007 )</w:t>
            </w:r>
          </w:p>
        </w:tc>
        <w:tc>
          <w:tcPr>
            <w:tcW w:w="0" w:type="dxa"/>
            <w:vAlign w:val="bottom"/>
          </w:tcPr>
          <w:p>
            <w:pPr>
              <w:spacing w:after="0"/>
              <w:rPr>
                <w:sz w:val="1"/>
                <w:szCs w:val="1"/>
                <w:color w:val="auto"/>
              </w:rPr>
            </w:pPr>
          </w:p>
        </w:tc>
      </w:tr>
      <w:tr>
        <w:trPr>
          <w:trHeight w:val="173"/>
        </w:trPr>
        <w:tc>
          <w:tcPr>
            <w:tcW w:w="1840" w:type="dxa"/>
            <w:vAlign w:val="bottom"/>
          </w:tcPr>
          <w:p>
            <w:pPr>
              <w:ind w:left="100"/>
              <w:spacing w:after="0"/>
              <w:rPr>
                <w:sz w:val="20"/>
                <w:szCs w:val="20"/>
                <w:color w:val="auto"/>
              </w:rPr>
            </w:pPr>
            <w:r>
              <w:rPr>
                <w:rFonts w:ascii="Arial" w:cs="Arial" w:eastAsia="Arial" w:hAnsi="Arial"/>
                <w:sz w:val="13"/>
                <w:szCs w:val="13"/>
                <w:color w:val="auto"/>
                <w:w w:val="96"/>
              </w:rPr>
              <w:t>Liability awards reclassification</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840" w:type="dxa"/>
            <w:vAlign w:val="bottom"/>
          </w:tcPr>
          <w:p>
            <w:pPr>
              <w:ind w:left="100"/>
              <w:spacing w:after="0"/>
              <w:rPr>
                <w:sz w:val="20"/>
                <w:szCs w:val="20"/>
                <w:color w:val="auto"/>
              </w:rPr>
            </w:pPr>
            <w:r>
              <w:rPr>
                <w:rFonts w:ascii="Arial" w:cs="Arial" w:eastAsia="Arial" w:hAnsi="Arial"/>
                <w:sz w:val="13"/>
                <w:szCs w:val="13"/>
                <w:color w:val="auto"/>
              </w:rPr>
              <w:t>to equity</w:t>
            </w:r>
          </w:p>
        </w:tc>
        <w:tc>
          <w:tcPr>
            <w:tcW w:w="80" w:type="dxa"/>
            <w:vAlign w:val="bottom"/>
          </w:tcPr>
          <w:p>
            <w:pPr>
              <w:spacing w:after="0"/>
              <w:rPr>
                <w:sz w:val="14"/>
                <w:szCs w:val="14"/>
                <w:color w:val="auto"/>
              </w:rPr>
            </w:pPr>
          </w:p>
        </w:tc>
        <w:tc>
          <w:tcPr>
            <w:tcW w:w="70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jc w:val="right"/>
              <w:ind w:right="18"/>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tcPr>
          <w:p>
            <w:pPr>
              <w:jc w:val="right"/>
              <w:ind w:right="77"/>
              <w:spacing w:after="0"/>
              <w:rPr>
                <w:sz w:val="20"/>
                <w:szCs w:val="20"/>
                <w:color w:val="auto"/>
              </w:rPr>
            </w:pPr>
            <w:r>
              <w:rPr>
                <w:rFonts w:ascii="Arial" w:cs="Arial" w:eastAsia="Arial" w:hAnsi="Arial"/>
                <w:sz w:val="13"/>
                <w:szCs w:val="13"/>
                <w:color w:val="auto"/>
              </w:rPr>
              <w:t>3,912</w:t>
            </w:r>
          </w:p>
        </w:tc>
        <w:tc>
          <w:tcPr>
            <w:tcW w:w="80" w:type="dxa"/>
            <w:vAlign w:val="bottom"/>
          </w:tcPr>
          <w:p>
            <w:pPr>
              <w:spacing w:after="0"/>
              <w:rPr>
                <w:sz w:val="14"/>
                <w:szCs w:val="14"/>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3,912</w:t>
            </w:r>
          </w:p>
        </w:tc>
        <w:tc>
          <w:tcPr>
            <w:tcW w:w="0" w:type="dxa"/>
            <w:vAlign w:val="bottom"/>
          </w:tcPr>
          <w:p>
            <w:pPr>
              <w:spacing w:after="0"/>
              <w:rPr>
                <w:sz w:val="1"/>
                <w:szCs w:val="1"/>
                <w:color w:val="auto"/>
              </w:rPr>
            </w:pPr>
          </w:p>
        </w:tc>
      </w:tr>
      <w:tr>
        <w:trPr>
          <w:trHeight w:val="181"/>
        </w:trPr>
        <w:tc>
          <w:tcPr>
            <w:tcW w:w="1840" w:type="dxa"/>
            <w:vAlign w:val="bottom"/>
            <w:shd w:val="clear" w:color="auto" w:fill="CFF0FC"/>
          </w:tcPr>
          <w:p>
            <w:pPr>
              <w:ind w:left="100"/>
              <w:spacing w:after="0"/>
              <w:rPr>
                <w:sz w:val="20"/>
                <w:szCs w:val="20"/>
                <w:color w:val="auto"/>
              </w:rPr>
            </w:pPr>
            <w:r>
              <w:rPr>
                <w:rFonts w:ascii="Arial" w:cs="Arial" w:eastAsia="Arial" w:hAnsi="Arial"/>
                <w:sz w:val="13"/>
                <w:szCs w:val="13"/>
                <w:color w:val="auto"/>
              </w:rPr>
              <w:t>Issuance of Class A common</w:t>
            </w:r>
          </w:p>
        </w:tc>
        <w:tc>
          <w:tcPr>
            <w:tcW w:w="80" w:type="dxa"/>
            <w:vAlign w:val="bottom"/>
            <w:shd w:val="clear" w:color="auto" w:fill="CFF0FC"/>
          </w:tcPr>
          <w:p>
            <w:pPr>
              <w:spacing w:after="0"/>
              <w:rPr>
                <w:sz w:val="15"/>
                <w:szCs w:val="15"/>
                <w:color w:val="auto"/>
              </w:rPr>
            </w:pPr>
          </w:p>
        </w:tc>
        <w:tc>
          <w:tcPr>
            <w:tcW w:w="700" w:type="dxa"/>
            <w:vAlign w:val="bottom"/>
            <w:tcBorders>
              <w:right w:val="single" w:sz="8" w:color="CFF0FC"/>
            </w:tcBorders>
            <w:shd w:val="clear" w:color="auto" w:fill="CFF0FC"/>
          </w:tcPr>
          <w:p>
            <w:pPr>
              <w:spacing w:after="0"/>
              <w:rPr>
                <w:sz w:val="15"/>
                <w:szCs w:val="15"/>
                <w:color w:val="auto"/>
              </w:rPr>
            </w:pPr>
          </w:p>
        </w:tc>
        <w:tc>
          <w:tcPr>
            <w:tcW w:w="800" w:type="dxa"/>
            <w:vAlign w:val="bottom"/>
            <w:tcBorders>
              <w:right w:val="single" w:sz="8" w:color="CFF0FC"/>
            </w:tcBorders>
            <w:shd w:val="clear" w:color="auto" w:fill="CFF0FC"/>
          </w:tcPr>
          <w:p>
            <w:pPr>
              <w:spacing w:after="0"/>
              <w:rPr>
                <w:sz w:val="15"/>
                <w:szCs w:val="15"/>
                <w:color w:val="auto"/>
              </w:rPr>
            </w:pPr>
          </w:p>
        </w:tc>
        <w:tc>
          <w:tcPr>
            <w:tcW w:w="800" w:type="dxa"/>
            <w:vAlign w:val="bottom"/>
            <w:tcBorders>
              <w:right w:val="single" w:sz="8" w:color="CFF0FC"/>
            </w:tcBorders>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tcBorders>
              <w:right w:val="single" w:sz="8" w:color="CFF0FC"/>
            </w:tcBorders>
            <w:shd w:val="clear" w:color="auto" w:fill="CFF0FC"/>
          </w:tcPr>
          <w:p>
            <w:pPr>
              <w:spacing w:after="0"/>
              <w:rPr>
                <w:sz w:val="15"/>
                <w:szCs w:val="15"/>
                <w:color w:val="auto"/>
              </w:rPr>
            </w:pPr>
          </w:p>
        </w:tc>
        <w:tc>
          <w:tcPr>
            <w:tcW w:w="68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tcBorders>
              <w:right w:val="single" w:sz="8" w:color="CFF0FC"/>
            </w:tcBorders>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68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840" w:type="dxa"/>
            <w:vAlign w:val="bottom"/>
            <w:shd w:val="clear" w:color="auto" w:fill="CFF0FC"/>
          </w:tcPr>
          <w:p>
            <w:pPr>
              <w:ind w:left="100"/>
              <w:spacing w:after="0"/>
              <w:rPr>
                <w:sz w:val="20"/>
                <w:szCs w:val="20"/>
                <w:color w:val="auto"/>
              </w:rPr>
            </w:pPr>
            <w:r>
              <w:rPr>
                <w:rFonts w:ascii="Arial" w:cs="Arial" w:eastAsia="Arial" w:hAnsi="Arial"/>
                <w:sz w:val="13"/>
                <w:szCs w:val="13"/>
                <w:color w:val="auto"/>
              </w:rPr>
              <w:t>stock for vested RSUs</w:t>
            </w:r>
          </w:p>
        </w:tc>
        <w:tc>
          <w:tcPr>
            <w:tcW w:w="80" w:type="dxa"/>
            <w:vAlign w:val="bottom"/>
            <w:shd w:val="clear" w:color="auto" w:fill="CFF0FC"/>
          </w:tcPr>
          <w:p>
            <w:pPr>
              <w:spacing w:after="0"/>
              <w:rPr>
                <w:sz w:val="15"/>
                <w:szCs w:val="15"/>
                <w:color w:val="auto"/>
              </w:rPr>
            </w:pPr>
          </w:p>
        </w:tc>
        <w:tc>
          <w:tcPr>
            <w:tcW w:w="700" w:type="dxa"/>
            <w:vAlign w:val="bottom"/>
            <w:tcBorders>
              <w:right w:val="single" w:sz="8" w:color="CFF0FC"/>
            </w:tcBorders>
            <w:shd w:val="clear" w:color="auto" w:fill="CFF0FC"/>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CFF0FC"/>
            </w:tcBorders>
            <w:shd w:val="clear" w:color="auto" w:fill="CFF0FC"/>
          </w:tcPr>
          <w:p>
            <w:pPr>
              <w:jc w:val="right"/>
              <w:ind w:right="97"/>
              <w:spacing w:after="0"/>
              <w:rPr>
                <w:sz w:val="20"/>
                <w:szCs w:val="20"/>
                <w:color w:val="auto"/>
              </w:rPr>
            </w:pPr>
            <w:r>
              <w:rPr>
                <w:rFonts w:ascii="Arial" w:cs="Arial" w:eastAsia="Arial" w:hAnsi="Arial"/>
                <w:sz w:val="13"/>
                <w:szCs w:val="13"/>
                <w:color w:val="auto"/>
              </w:rPr>
              <w:t>535,831</w:t>
            </w:r>
          </w:p>
        </w:tc>
        <w:tc>
          <w:tcPr>
            <w:tcW w:w="800" w:type="dxa"/>
            <w:vAlign w:val="bottom"/>
            <w:tcBorders>
              <w:right w:val="single" w:sz="8" w:color="CFF0FC"/>
            </w:tcBorders>
            <w:shd w:val="clear" w:color="auto" w:fill="CFF0FC"/>
          </w:tcPr>
          <w:p>
            <w:pPr>
              <w:jc w:val="right"/>
              <w:ind w:right="97"/>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40" w:type="dxa"/>
            <w:vAlign w:val="bottom"/>
            <w:shd w:val="clear" w:color="auto" w:fill="CFF0FC"/>
          </w:tcPr>
          <w:p>
            <w:pPr>
              <w:jc w:val="right"/>
              <w:ind w:right="18"/>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CFF0FC"/>
            </w:tcBorders>
            <w:shd w:val="clear" w:color="auto" w:fill="CFF0FC"/>
          </w:tcPr>
          <w:p>
            <w:pPr>
              <w:spacing w:after="0"/>
              <w:rPr>
                <w:sz w:val="15"/>
                <w:szCs w:val="15"/>
                <w:color w:val="auto"/>
              </w:rPr>
            </w:pPr>
          </w:p>
        </w:tc>
        <w:tc>
          <w:tcPr>
            <w:tcW w:w="6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64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6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72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5"/>
                <w:szCs w:val="15"/>
                <w:color w:val="auto"/>
              </w:rPr>
            </w:pPr>
          </w:p>
        </w:tc>
        <w:tc>
          <w:tcPr>
            <w:tcW w:w="6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1840" w:type="dxa"/>
            <w:vAlign w:val="bottom"/>
          </w:tcPr>
          <w:p>
            <w:pPr>
              <w:ind w:left="100"/>
              <w:spacing w:after="0"/>
              <w:rPr>
                <w:sz w:val="20"/>
                <w:szCs w:val="20"/>
                <w:color w:val="auto"/>
              </w:rPr>
            </w:pPr>
            <w:r>
              <w:rPr>
                <w:rFonts w:ascii="Arial" w:cs="Arial" w:eastAsia="Arial" w:hAnsi="Arial"/>
                <w:sz w:val="13"/>
                <w:szCs w:val="13"/>
                <w:color w:val="auto"/>
              </w:rPr>
              <w:t>Withholding payments on</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840" w:type="dxa"/>
            <w:vAlign w:val="bottom"/>
          </w:tcPr>
          <w:p>
            <w:pPr>
              <w:ind w:left="100"/>
              <w:spacing w:after="0"/>
              <w:rPr>
                <w:sz w:val="20"/>
                <w:szCs w:val="20"/>
                <w:color w:val="auto"/>
              </w:rPr>
            </w:pPr>
            <w:r>
              <w:rPr>
                <w:rFonts w:ascii="Arial" w:cs="Arial" w:eastAsia="Arial" w:hAnsi="Arial"/>
                <w:sz w:val="13"/>
                <w:szCs w:val="13"/>
                <w:color w:val="auto"/>
              </w:rPr>
              <w:t>vested RSUs</w:t>
            </w:r>
          </w:p>
        </w:tc>
        <w:tc>
          <w:tcPr>
            <w:tcW w:w="80" w:type="dxa"/>
            <w:vAlign w:val="bottom"/>
          </w:tcPr>
          <w:p>
            <w:pPr>
              <w:spacing w:after="0"/>
              <w:rPr>
                <w:sz w:val="14"/>
                <w:szCs w:val="14"/>
                <w:color w:val="auto"/>
              </w:rPr>
            </w:pPr>
          </w:p>
        </w:tc>
        <w:tc>
          <w:tcPr>
            <w:tcW w:w="70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jc w:val="right"/>
              <w:ind w:right="18"/>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(7,983 )</w:t>
            </w:r>
          </w:p>
        </w:tc>
        <w:tc>
          <w:tcPr>
            <w:tcW w:w="80" w:type="dxa"/>
            <w:vAlign w:val="bottom"/>
          </w:tcPr>
          <w:p>
            <w:pPr>
              <w:spacing w:after="0"/>
              <w:rPr>
                <w:sz w:val="14"/>
                <w:szCs w:val="14"/>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(7,983 )</w:t>
            </w:r>
          </w:p>
        </w:tc>
        <w:tc>
          <w:tcPr>
            <w:tcW w:w="0" w:type="dxa"/>
            <w:vAlign w:val="bottom"/>
          </w:tcPr>
          <w:p>
            <w:pPr>
              <w:spacing w:after="0"/>
              <w:rPr>
                <w:sz w:val="1"/>
                <w:szCs w:val="1"/>
                <w:color w:val="auto"/>
              </w:rPr>
            </w:pPr>
          </w:p>
        </w:tc>
      </w:tr>
      <w:tr>
        <w:trPr>
          <w:trHeight w:val="181"/>
        </w:trPr>
        <w:tc>
          <w:tcPr>
            <w:tcW w:w="1840" w:type="dxa"/>
            <w:vAlign w:val="bottom"/>
            <w:shd w:val="clear" w:color="auto" w:fill="CFF0FC"/>
          </w:tcPr>
          <w:p>
            <w:pPr>
              <w:ind w:left="100"/>
              <w:spacing w:after="0"/>
              <w:rPr>
                <w:sz w:val="20"/>
                <w:szCs w:val="20"/>
                <w:color w:val="auto"/>
              </w:rPr>
            </w:pPr>
            <w:r>
              <w:rPr>
                <w:rFonts w:ascii="Arial" w:cs="Arial" w:eastAsia="Arial" w:hAnsi="Arial"/>
                <w:sz w:val="13"/>
                <w:szCs w:val="13"/>
                <w:color w:val="auto"/>
                <w:w w:val="99"/>
              </w:rPr>
              <w:t>Dividends declared ($0.07 per</w:t>
            </w:r>
          </w:p>
        </w:tc>
        <w:tc>
          <w:tcPr>
            <w:tcW w:w="80" w:type="dxa"/>
            <w:vAlign w:val="bottom"/>
            <w:shd w:val="clear" w:color="auto" w:fill="CFF0FC"/>
          </w:tcPr>
          <w:p>
            <w:pPr>
              <w:spacing w:after="0"/>
              <w:rPr>
                <w:sz w:val="15"/>
                <w:szCs w:val="15"/>
                <w:color w:val="auto"/>
              </w:rPr>
            </w:pPr>
          </w:p>
        </w:tc>
        <w:tc>
          <w:tcPr>
            <w:tcW w:w="700" w:type="dxa"/>
            <w:vAlign w:val="bottom"/>
            <w:tcBorders>
              <w:right w:val="single" w:sz="8" w:color="CFF0FC"/>
            </w:tcBorders>
            <w:shd w:val="clear" w:color="auto" w:fill="CFF0FC"/>
          </w:tcPr>
          <w:p>
            <w:pPr>
              <w:spacing w:after="0"/>
              <w:rPr>
                <w:sz w:val="15"/>
                <w:szCs w:val="15"/>
                <w:color w:val="auto"/>
              </w:rPr>
            </w:pPr>
          </w:p>
        </w:tc>
        <w:tc>
          <w:tcPr>
            <w:tcW w:w="800" w:type="dxa"/>
            <w:vAlign w:val="bottom"/>
            <w:tcBorders>
              <w:right w:val="single" w:sz="8" w:color="CFF0FC"/>
            </w:tcBorders>
            <w:shd w:val="clear" w:color="auto" w:fill="CFF0FC"/>
          </w:tcPr>
          <w:p>
            <w:pPr>
              <w:spacing w:after="0"/>
              <w:rPr>
                <w:sz w:val="15"/>
                <w:szCs w:val="15"/>
                <w:color w:val="auto"/>
              </w:rPr>
            </w:pPr>
          </w:p>
        </w:tc>
        <w:tc>
          <w:tcPr>
            <w:tcW w:w="800" w:type="dxa"/>
            <w:vAlign w:val="bottom"/>
            <w:tcBorders>
              <w:right w:val="single" w:sz="8" w:color="CFF0FC"/>
            </w:tcBorders>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tcBorders>
              <w:right w:val="single" w:sz="8" w:color="CFF0FC"/>
            </w:tcBorders>
            <w:shd w:val="clear" w:color="auto" w:fill="CFF0FC"/>
          </w:tcPr>
          <w:p>
            <w:pPr>
              <w:spacing w:after="0"/>
              <w:rPr>
                <w:sz w:val="15"/>
                <w:szCs w:val="15"/>
                <w:color w:val="auto"/>
              </w:rPr>
            </w:pPr>
          </w:p>
        </w:tc>
        <w:tc>
          <w:tcPr>
            <w:tcW w:w="68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tcBorders>
              <w:right w:val="single" w:sz="8" w:color="CFF0FC"/>
            </w:tcBorders>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68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840" w:type="dxa"/>
            <w:vAlign w:val="bottom"/>
            <w:shd w:val="clear" w:color="auto" w:fill="CFF0FC"/>
          </w:tcPr>
          <w:p>
            <w:pPr>
              <w:ind w:left="100"/>
              <w:spacing w:after="0"/>
              <w:rPr>
                <w:sz w:val="20"/>
                <w:szCs w:val="20"/>
                <w:color w:val="auto"/>
              </w:rPr>
            </w:pPr>
            <w:r>
              <w:rPr>
                <w:rFonts w:ascii="Arial" w:cs="Arial" w:eastAsia="Arial" w:hAnsi="Arial"/>
                <w:sz w:val="13"/>
                <w:szCs w:val="13"/>
                <w:color w:val="auto"/>
                <w:w w:val="91"/>
              </w:rPr>
              <w:t>share of Class A common stock)</w:t>
            </w:r>
          </w:p>
        </w:tc>
        <w:tc>
          <w:tcPr>
            <w:tcW w:w="80" w:type="dxa"/>
            <w:vAlign w:val="bottom"/>
            <w:shd w:val="clear" w:color="auto" w:fill="CFF0FC"/>
          </w:tcPr>
          <w:p>
            <w:pPr>
              <w:spacing w:after="0"/>
              <w:rPr>
                <w:sz w:val="15"/>
                <w:szCs w:val="15"/>
                <w:color w:val="auto"/>
              </w:rPr>
            </w:pPr>
          </w:p>
        </w:tc>
        <w:tc>
          <w:tcPr>
            <w:tcW w:w="700" w:type="dxa"/>
            <w:vAlign w:val="bottom"/>
            <w:tcBorders>
              <w:right w:val="single" w:sz="8" w:color="CFF0FC"/>
            </w:tcBorders>
            <w:shd w:val="clear" w:color="auto" w:fill="CFF0FC"/>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CFF0FC"/>
            </w:tcBorders>
            <w:shd w:val="clear" w:color="auto" w:fill="CFF0FC"/>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CFF0FC"/>
            </w:tcBorders>
            <w:shd w:val="clear" w:color="auto" w:fill="CFF0FC"/>
          </w:tcPr>
          <w:p>
            <w:pPr>
              <w:jc w:val="right"/>
              <w:ind w:right="97"/>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40" w:type="dxa"/>
            <w:vAlign w:val="bottom"/>
            <w:shd w:val="clear" w:color="auto" w:fill="CFF0FC"/>
          </w:tcPr>
          <w:p>
            <w:pPr>
              <w:jc w:val="right"/>
              <w:ind w:right="18"/>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CFF0FC"/>
            </w:tcBorders>
            <w:shd w:val="clear" w:color="auto" w:fill="CFF0FC"/>
          </w:tcPr>
          <w:p>
            <w:pPr>
              <w:spacing w:after="0"/>
              <w:rPr>
                <w:sz w:val="15"/>
                <w:szCs w:val="15"/>
                <w:color w:val="auto"/>
              </w:rPr>
            </w:pPr>
          </w:p>
        </w:tc>
        <w:tc>
          <w:tcPr>
            <w:tcW w:w="6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64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113</w:t>
            </w:r>
          </w:p>
        </w:tc>
        <w:tc>
          <w:tcPr>
            <w:tcW w:w="80" w:type="dxa"/>
            <w:vAlign w:val="bottom"/>
            <w:shd w:val="clear" w:color="auto" w:fill="CFF0FC"/>
          </w:tcPr>
          <w:p>
            <w:pPr>
              <w:spacing w:after="0"/>
              <w:rPr>
                <w:sz w:val="15"/>
                <w:szCs w:val="15"/>
                <w:color w:val="auto"/>
              </w:rPr>
            </w:pPr>
          </w:p>
        </w:tc>
        <w:tc>
          <w:tcPr>
            <w:tcW w:w="6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(4,313 )</w:t>
            </w:r>
          </w:p>
        </w:tc>
        <w:tc>
          <w:tcPr>
            <w:tcW w:w="100" w:type="dxa"/>
            <w:vAlign w:val="bottom"/>
            <w:shd w:val="clear" w:color="auto" w:fill="CFF0FC"/>
          </w:tcPr>
          <w:p>
            <w:pPr>
              <w:spacing w:after="0"/>
              <w:rPr>
                <w:sz w:val="15"/>
                <w:szCs w:val="15"/>
                <w:color w:val="auto"/>
              </w:rPr>
            </w:pPr>
          </w:p>
        </w:tc>
        <w:tc>
          <w:tcPr>
            <w:tcW w:w="72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5"/>
                <w:szCs w:val="15"/>
                <w:color w:val="auto"/>
              </w:rPr>
            </w:pPr>
          </w:p>
        </w:tc>
        <w:tc>
          <w:tcPr>
            <w:tcW w:w="6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(4,200 )</w:t>
            </w:r>
          </w:p>
        </w:tc>
        <w:tc>
          <w:tcPr>
            <w:tcW w:w="0" w:type="dxa"/>
            <w:vAlign w:val="bottom"/>
          </w:tcPr>
          <w:p>
            <w:pPr>
              <w:spacing w:after="0"/>
              <w:rPr>
                <w:sz w:val="1"/>
                <w:szCs w:val="1"/>
                <w:color w:val="auto"/>
              </w:rPr>
            </w:pPr>
          </w:p>
        </w:tc>
      </w:tr>
      <w:tr>
        <w:trPr>
          <w:trHeight w:val="181"/>
        </w:trPr>
        <w:tc>
          <w:tcPr>
            <w:tcW w:w="1840" w:type="dxa"/>
            <w:vAlign w:val="bottom"/>
          </w:tcPr>
          <w:p>
            <w:pPr>
              <w:ind w:left="100"/>
              <w:spacing w:after="0"/>
              <w:rPr>
                <w:sz w:val="20"/>
                <w:szCs w:val="20"/>
                <w:color w:val="auto"/>
              </w:rPr>
            </w:pPr>
            <w:r>
              <w:rPr>
                <w:rFonts w:ascii="Arial" w:cs="Arial" w:eastAsia="Arial" w:hAnsi="Arial"/>
                <w:sz w:val="13"/>
                <w:szCs w:val="13"/>
                <w:color w:val="auto"/>
              </w:rPr>
              <w:t>Other</w:t>
            </w:r>
          </w:p>
        </w:tc>
        <w:tc>
          <w:tcPr>
            <w:tcW w:w="80" w:type="dxa"/>
            <w:vAlign w:val="bottom"/>
          </w:tcPr>
          <w:p>
            <w:pPr>
              <w:spacing w:after="0"/>
              <w:rPr>
                <w:sz w:val="15"/>
                <w:szCs w:val="15"/>
                <w:color w:val="auto"/>
              </w:rPr>
            </w:pPr>
          </w:p>
        </w:tc>
        <w:tc>
          <w:tcPr>
            <w:tcW w:w="70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jc w:val="right"/>
              <w:ind w:right="18"/>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40" w:type="dxa"/>
            <w:vAlign w:val="bottom"/>
          </w:tcPr>
          <w:p>
            <w:pPr>
              <w:jc w:val="right"/>
              <w:ind w:right="77"/>
              <w:spacing w:after="0"/>
              <w:rPr>
                <w:sz w:val="20"/>
                <w:szCs w:val="20"/>
                <w:color w:val="auto"/>
              </w:rPr>
            </w:pPr>
            <w:r>
              <w:rPr>
                <w:rFonts w:ascii="Arial" w:cs="Arial" w:eastAsia="Arial" w:hAnsi="Arial"/>
                <w:sz w:val="13"/>
                <w:szCs w:val="13"/>
                <w:color w:val="auto"/>
              </w:rPr>
              <w:t>879</w:t>
            </w:r>
          </w:p>
        </w:tc>
        <w:tc>
          <w:tcPr>
            <w:tcW w:w="80" w:type="dxa"/>
            <w:vAlign w:val="bottom"/>
          </w:tcPr>
          <w:p>
            <w:pPr>
              <w:spacing w:after="0"/>
              <w:rPr>
                <w:sz w:val="15"/>
                <w:szCs w:val="15"/>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940</w:t>
            </w:r>
          </w:p>
        </w:tc>
        <w:tc>
          <w:tcPr>
            <w:tcW w:w="100" w:type="dxa"/>
            <w:vAlign w:val="bottom"/>
          </w:tcPr>
          <w:p>
            <w:pPr>
              <w:spacing w:after="0"/>
              <w:rPr>
                <w:sz w:val="15"/>
                <w:szCs w:val="15"/>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1,819</w:t>
            </w:r>
          </w:p>
        </w:tc>
        <w:tc>
          <w:tcPr>
            <w:tcW w:w="0" w:type="dxa"/>
            <w:vAlign w:val="bottom"/>
          </w:tcPr>
          <w:p>
            <w:pPr>
              <w:spacing w:after="0"/>
              <w:rPr>
                <w:sz w:val="1"/>
                <w:szCs w:val="1"/>
                <w:color w:val="auto"/>
              </w:rPr>
            </w:pPr>
          </w:p>
        </w:tc>
      </w:tr>
      <w:tr>
        <w:trPr>
          <w:trHeight w:val="197"/>
        </w:trPr>
        <w:tc>
          <w:tcPr>
            <w:tcW w:w="1840" w:type="dxa"/>
            <w:vAlign w:val="bottom"/>
            <w:shd w:val="clear" w:color="auto" w:fill="CFF0FC"/>
          </w:tcPr>
          <w:p>
            <w:pPr>
              <w:ind w:left="100"/>
              <w:spacing w:after="0"/>
              <w:rPr>
                <w:sz w:val="20"/>
                <w:szCs w:val="20"/>
                <w:color w:val="auto"/>
              </w:rPr>
            </w:pPr>
            <w:r>
              <w:rPr>
                <w:rFonts w:ascii="Arial" w:cs="Arial" w:eastAsia="Arial" w:hAnsi="Arial"/>
                <w:sz w:val="13"/>
                <w:szCs w:val="13"/>
                <w:color w:val="auto"/>
              </w:rPr>
              <w:t>Treasury stock purchase</w:t>
            </w:r>
          </w:p>
        </w:tc>
        <w:tc>
          <w:tcPr>
            <w:tcW w:w="80" w:type="dxa"/>
            <w:vAlign w:val="bottom"/>
            <w:shd w:val="clear" w:color="auto" w:fill="CFF0FC"/>
          </w:tcPr>
          <w:p>
            <w:pPr>
              <w:spacing w:after="0"/>
              <w:rPr>
                <w:sz w:val="17"/>
                <w:szCs w:val="17"/>
                <w:color w:val="auto"/>
              </w:rPr>
            </w:pPr>
          </w:p>
        </w:tc>
        <w:tc>
          <w:tcPr>
            <w:tcW w:w="700" w:type="dxa"/>
            <w:vAlign w:val="bottom"/>
            <w:tcBorders>
              <w:right w:val="single" w:sz="8" w:color="CFF0FC"/>
            </w:tcBorders>
            <w:shd w:val="clear" w:color="auto" w:fill="CFF0FC"/>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CFF0FC"/>
            </w:tcBorders>
            <w:shd w:val="clear" w:color="auto" w:fill="CFF0FC"/>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CFF0FC"/>
            </w:tcBorders>
            <w:shd w:val="clear" w:color="auto" w:fill="CFF0FC"/>
          </w:tcPr>
          <w:p>
            <w:pPr>
              <w:jc w:val="right"/>
              <w:ind w:right="97"/>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6"/>
              </w:rPr>
              <w:t>(1,000,000 )</w:t>
            </w:r>
          </w:p>
        </w:tc>
        <w:tc>
          <w:tcPr>
            <w:tcW w:w="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40" w:type="dxa"/>
            <w:vAlign w:val="bottom"/>
            <w:shd w:val="clear" w:color="auto" w:fill="CFF0FC"/>
          </w:tcPr>
          <w:p>
            <w:pPr>
              <w:jc w:val="right"/>
              <w:ind w:right="18"/>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CFF0FC"/>
            </w:tcBorders>
            <w:shd w:val="clear" w:color="auto" w:fill="CFF0FC"/>
          </w:tcPr>
          <w:p>
            <w:pPr>
              <w:spacing w:after="0"/>
              <w:rPr>
                <w:sz w:val="17"/>
                <w:szCs w:val="17"/>
                <w:color w:val="auto"/>
              </w:rPr>
            </w:pPr>
          </w:p>
        </w:tc>
        <w:tc>
          <w:tcPr>
            <w:tcW w:w="6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(12,000 )</w:t>
            </w:r>
          </w:p>
        </w:tc>
        <w:tc>
          <w:tcPr>
            <w:tcW w:w="100" w:type="dxa"/>
            <w:vAlign w:val="bottom"/>
            <w:shd w:val="clear" w:color="auto" w:fill="CFF0FC"/>
          </w:tcPr>
          <w:p>
            <w:pPr>
              <w:spacing w:after="0"/>
              <w:rPr>
                <w:sz w:val="17"/>
                <w:szCs w:val="17"/>
                <w:color w:val="auto"/>
              </w:rPr>
            </w:pPr>
          </w:p>
        </w:tc>
        <w:tc>
          <w:tcPr>
            <w:tcW w:w="64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7"/>
                <w:szCs w:val="17"/>
                <w:color w:val="auto"/>
              </w:rPr>
            </w:pPr>
          </w:p>
        </w:tc>
        <w:tc>
          <w:tcPr>
            <w:tcW w:w="6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72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7"/>
                <w:szCs w:val="17"/>
                <w:color w:val="auto"/>
              </w:rPr>
            </w:pPr>
          </w:p>
        </w:tc>
        <w:tc>
          <w:tcPr>
            <w:tcW w:w="6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(12,000 )</w:t>
            </w:r>
          </w:p>
        </w:tc>
        <w:tc>
          <w:tcPr>
            <w:tcW w:w="0" w:type="dxa"/>
            <w:vAlign w:val="bottom"/>
          </w:tcPr>
          <w:p>
            <w:pPr>
              <w:spacing w:after="0"/>
              <w:rPr>
                <w:sz w:val="1"/>
                <w:szCs w:val="1"/>
                <w:color w:val="auto"/>
              </w:rPr>
            </w:pPr>
          </w:p>
        </w:tc>
      </w:tr>
      <w:tr>
        <w:trPr>
          <w:trHeight w:val="183"/>
        </w:trPr>
        <w:tc>
          <w:tcPr>
            <w:tcW w:w="1840" w:type="dxa"/>
            <w:vAlign w:val="bottom"/>
            <w:tcBorders>
              <w:bottom w:val="single" w:sz="8" w:color="CFF0FC"/>
            </w:tcBorders>
          </w:tcPr>
          <w:p>
            <w:pPr>
              <w:ind w:left="100"/>
              <w:spacing w:after="0"/>
              <w:rPr>
                <w:sz w:val="20"/>
                <w:szCs w:val="20"/>
                <w:color w:val="auto"/>
              </w:rPr>
            </w:pPr>
            <w:r>
              <w:rPr>
                <w:rFonts w:ascii="Arial" w:cs="Arial" w:eastAsia="Arial" w:hAnsi="Arial"/>
                <w:sz w:val="13"/>
                <w:szCs w:val="13"/>
                <w:color w:val="auto"/>
                <w:w w:val="98"/>
              </w:rPr>
              <w:t>Change in ownership interests</w:t>
            </w: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FF0FC"/>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color w:val="auto"/>
                <w:w w:val="91"/>
              </w:rPr>
              <w:t>-</w:t>
            </w:r>
          </w:p>
        </w:tc>
        <w:tc>
          <w:tcPr>
            <w:tcW w:w="80" w:type="dxa"/>
            <w:vAlign w:val="bottom"/>
            <w:tcBorders>
              <w:bottom w:val="single" w:sz="8" w:color="CFF0FC"/>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FF0FC"/>
            </w:tcBorders>
          </w:tcPr>
          <w:p>
            <w:pPr>
              <w:spacing w:after="0"/>
              <w:rPr>
                <w:sz w:val="15"/>
                <w:szCs w:val="15"/>
                <w:color w:val="auto"/>
              </w:rPr>
            </w:pPr>
          </w:p>
        </w:tc>
        <w:tc>
          <w:tcPr>
            <w:tcW w:w="6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1,000</w:t>
            </w: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9"/>
        </w:trPr>
        <w:tc>
          <w:tcPr>
            <w:tcW w:w="1840" w:type="dxa"/>
            <w:vAlign w:val="bottom"/>
            <w:shd w:val="clear" w:color="auto" w:fill="CFF0FC"/>
          </w:tcPr>
          <w:p>
            <w:pPr>
              <w:spacing w:after="0"/>
              <w:rPr>
                <w:sz w:val="20"/>
                <w:szCs w:val="20"/>
                <w:color w:val="auto"/>
              </w:rPr>
            </w:pPr>
            <w:r>
              <w:rPr>
                <w:rFonts w:ascii="Arial" w:cs="Arial" w:eastAsia="Arial" w:hAnsi="Arial"/>
                <w:sz w:val="13"/>
                <w:szCs w:val="13"/>
                <w:b w:val="1"/>
                <w:bCs w:val="1"/>
                <w:color w:val="auto"/>
                <w:w w:val="95"/>
              </w:rPr>
              <w:t>Balance at September 30, 2021</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right w:val="single" w:sz="8" w:color="CFF0FC"/>
            </w:tcBorders>
            <w:shd w:val="clear" w:color="auto" w:fill="CFF0FC"/>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CFF0FC"/>
            </w:tcBorders>
            <w:shd w:val="clear" w:color="auto" w:fill="CFF0FC"/>
          </w:tcPr>
          <w:p>
            <w:pPr>
              <w:jc w:val="right"/>
              <w:ind w:right="97"/>
              <w:spacing w:after="0"/>
              <w:rPr>
                <w:sz w:val="20"/>
                <w:szCs w:val="20"/>
                <w:color w:val="auto"/>
              </w:rPr>
            </w:pPr>
            <w:r>
              <w:rPr>
                <w:rFonts w:ascii="Arial" w:cs="Arial" w:eastAsia="Arial" w:hAnsi="Arial"/>
                <w:sz w:val="13"/>
                <w:szCs w:val="13"/>
                <w:color w:val="auto"/>
                <w:w w:val="95"/>
              </w:rPr>
              <w:t>43,492,498</w:t>
            </w:r>
          </w:p>
        </w:tc>
        <w:tc>
          <w:tcPr>
            <w:tcW w:w="800" w:type="dxa"/>
            <w:vAlign w:val="bottom"/>
            <w:tcBorders>
              <w:right w:val="single" w:sz="8" w:color="CFF0FC"/>
            </w:tcBorders>
            <w:shd w:val="clear" w:color="auto" w:fill="CFF0FC"/>
          </w:tcPr>
          <w:p>
            <w:pPr>
              <w:jc w:val="right"/>
              <w:ind w:right="97"/>
              <w:spacing w:after="0"/>
              <w:rPr>
                <w:sz w:val="20"/>
                <w:szCs w:val="20"/>
                <w:color w:val="auto"/>
              </w:rPr>
            </w:pPr>
            <w:r>
              <w:rPr>
                <w:rFonts w:ascii="Arial" w:cs="Arial" w:eastAsia="Arial" w:hAnsi="Arial"/>
                <w:sz w:val="13"/>
                <w:szCs w:val="13"/>
                <w:color w:val="auto"/>
                <w:w w:val="95"/>
              </w:rPr>
              <w:t>50,154,199</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6"/>
              </w:rPr>
              <w:t>(1,000,000 )</w:t>
            </w: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460"/>
              <w:spacing w:after="0"/>
              <w:rPr>
                <w:sz w:val="20"/>
                <w:szCs w:val="20"/>
                <w:color w:val="auto"/>
              </w:rPr>
            </w:pPr>
            <w:r>
              <w:rPr>
                <w:rFonts w:ascii="Arial" w:cs="Arial" w:eastAsia="Arial" w:hAnsi="Arial"/>
                <w:sz w:val="10"/>
                <w:szCs w:val="10"/>
                <w:color w:val="auto"/>
                <w:w w:val="71"/>
              </w:rPr>
              <w:t>$</w:t>
            </w:r>
          </w:p>
        </w:tc>
        <w:tc>
          <w:tcPr>
            <w:tcW w:w="140" w:type="dxa"/>
            <w:vAlign w:val="bottom"/>
            <w:shd w:val="clear" w:color="auto" w:fill="CFF0FC"/>
          </w:tcPr>
          <w:p>
            <w:pPr>
              <w:jc w:val="right"/>
              <w:ind w:right="18"/>
              <w:spacing w:after="0"/>
              <w:rPr>
                <w:sz w:val="20"/>
                <w:szCs w:val="20"/>
                <w:color w:val="auto"/>
              </w:rPr>
            </w:pPr>
            <w:r>
              <w:rPr>
                <w:rFonts w:ascii="Arial" w:cs="Arial" w:eastAsia="Arial" w:hAnsi="Arial"/>
                <w:sz w:val="10"/>
                <w:szCs w:val="10"/>
                <w:color w:val="auto"/>
                <w:w w:val="71"/>
              </w:rPr>
              <w:t>4</w:t>
            </w: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440"/>
              <w:spacing w:after="0"/>
              <w:rPr>
                <w:sz w:val="20"/>
                <w:szCs w:val="20"/>
                <w:color w:val="auto"/>
              </w:rPr>
            </w:pPr>
            <w:r>
              <w:rPr>
                <w:rFonts w:ascii="Arial" w:cs="Arial" w:eastAsia="Arial" w:hAnsi="Arial"/>
                <w:sz w:val="10"/>
                <w:szCs w:val="10"/>
                <w:color w:val="auto"/>
                <w:w w:val="71"/>
              </w:rPr>
              <w:t>$</w:t>
            </w:r>
          </w:p>
        </w:tc>
        <w:tc>
          <w:tcPr>
            <w:tcW w:w="1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w w:val="82"/>
              </w:rPr>
              <w:t>5</w:t>
            </w:r>
          </w:p>
        </w:tc>
        <w:tc>
          <w:tcPr>
            <w:tcW w:w="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(12,000 )</w:t>
            </w:r>
          </w:p>
        </w:tc>
        <w:tc>
          <w:tcPr>
            <w:tcW w:w="100" w:type="dxa"/>
            <w:vAlign w:val="bottom"/>
            <w:shd w:val="clear" w:color="auto" w:fill="CFF0FC"/>
          </w:tcPr>
          <w:p>
            <w:pPr>
              <w:ind w:left="20"/>
              <w:spacing w:after="0"/>
              <w:rPr>
                <w:sz w:val="20"/>
                <w:szCs w:val="20"/>
                <w:color w:val="auto"/>
              </w:rPr>
            </w:pPr>
            <w:r>
              <w:rPr>
                <w:rFonts w:ascii="Arial" w:cs="Arial" w:eastAsia="Arial" w:hAnsi="Arial"/>
                <w:sz w:val="13"/>
                <w:szCs w:val="13"/>
                <w:color w:val="auto"/>
                <w:w w:val="82"/>
              </w:rPr>
              <w:t>$</w:t>
            </w:r>
          </w:p>
        </w:tc>
        <w:tc>
          <w:tcPr>
            <w:tcW w:w="64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152,308</w:t>
            </w:r>
          </w:p>
        </w:tc>
        <w:tc>
          <w:tcPr>
            <w:tcW w:w="80" w:type="dxa"/>
            <w:vAlign w:val="bottom"/>
            <w:shd w:val="clear" w:color="auto" w:fill="CFF0FC"/>
          </w:tcPr>
          <w:p>
            <w:pPr>
              <w:ind w:left="20"/>
              <w:spacing w:after="0"/>
              <w:rPr>
                <w:sz w:val="20"/>
                <w:szCs w:val="20"/>
                <w:color w:val="auto"/>
              </w:rPr>
            </w:pPr>
            <w:r>
              <w:rPr>
                <w:rFonts w:ascii="Arial" w:cs="Arial" w:eastAsia="Arial" w:hAnsi="Arial"/>
                <w:sz w:val="10"/>
                <w:szCs w:val="10"/>
                <w:color w:val="auto"/>
                <w:w w:val="71"/>
              </w:rPr>
              <w:t>$</w:t>
            </w:r>
          </w:p>
        </w:tc>
        <w:tc>
          <w:tcPr>
            <w:tcW w:w="6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(13,336 )</w:t>
            </w:r>
          </w:p>
        </w:tc>
        <w:tc>
          <w:tcPr>
            <w:tcW w:w="100" w:type="dxa"/>
            <w:vAlign w:val="bottom"/>
            <w:shd w:val="clear" w:color="auto" w:fill="CFF0FC"/>
          </w:tcPr>
          <w:p>
            <w:pPr>
              <w:ind w:left="20"/>
              <w:spacing w:after="0"/>
              <w:rPr>
                <w:sz w:val="20"/>
                <w:szCs w:val="20"/>
                <w:color w:val="auto"/>
              </w:rPr>
            </w:pPr>
            <w:r>
              <w:rPr>
                <w:rFonts w:ascii="Arial" w:cs="Arial" w:eastAsia="Arial" w:hAnsi="Arial"/>
                <w:sz w:val="13"/>
                <w:szCs w:val="13"/>
                <w:color w:val="auto"/>
                <w:w w:val="82"/>
              </w:rPr>
              <w:t>$</w:t>
            </w:r>
          </w:p>
        </w:tc>
        <w:tc>
          <w:tcPr>
            <w:tcW w:w="720" w:type="dxa"/>
            <w:vAlign w:val="bottom"/>
            <w:tcBorders>
              <w:right w:val="single" w:sz="8" w:color="CFF0FC"/>
            </w:tcBorders>
            <w:shd w:val="clear" w:color="auto" w:fill="CFF0FC"/>
          </w:tcPr>
          <w:p>
            <w:pPr>
              <w:jc w:val="right"/>
              <w:ind w:right="17"/>
              <w:spacing w:after="0"/>
              <w:rPr>
                <w:sz w:val="20"/>
                <w:szCs w:val="20"/>
                <w:color w:val="auto"/>
              </w:rPr>
            </w:pPr>
            <w:r>
              <w:rPr>
                <w:rFonts w:ascii="Arial" w:cs="Arial" w:eastAsia="Arial" w:hAnsi="Arial"/>
                <w:sz w:val="13"/>
                <w:szCs w:val="13"/>
                <w:color w:val="auto"/>
              </w:rPr>
              <w:t>(1,774 )</w:t>
            </w: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136,776</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261,983</w:t>
            </w:r>
          </w:p>
        </w:tc>
        <w:tc>
          <w:tcPr>
            <w:tcW w:w="0" w:type="dxa"/>
            <w:vAlign w:val="bottom"/>
          </w:tcPr>
          <w:p>
            <w:pPr>
              <w:spacing w:after="0"/>
              <w:rPr>
                <w:sz w:val="1"/>
                <w:szCs w:val="1"/>
                <w:color w:val="auto"/>
              </w:rPr>
            </w:pPr>
          </w:p>
        </w:tc>
      </w:tr>
      <w:tr>
        <w:trPr>
          <w:trHeight w:val="20"/>
        </w:trPr>
        <w:tc>
          <w:tcPr>
            <w:tcW w:w="18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80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80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68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1625600</wp:posOffset>
            </wp:positionH>
            <wp:positionV relativeFrom="paragraph">
              <wp:posOffset>-24765</wp:posOffset>
            </wp:positionV>
            <wp:extent cx="431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1625600</wp:posOffset>
            </wp:positionH>
            <wp:positionV relativeFrom="paragraph">
              <wp:posOffset>-7620</wp:posOffset>
            </wp:positionV>
            <wp:extent cx="431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1625600</wp:posOffset>
            </wp:positionH>
            <wp:positionV relativeFrom="paragraph">
              <wp:posOffset>-153670</wp:posOffset>
            </wp:positionV>
            <wp:extent cx="431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-24765</wp:posOffset>
            </wp:positionV>
            <wp:extent cx="431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-7620</wp:posOffset>
            </wp:positionV>
            <wp:extent cx="431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-153670</wp:posOffset>
            </wp:positionV>
            <wp:extent cx="431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2637155</wp:posOffset>
            </wp:positionH>
            <wp:positionV relativeFrom="paragraph">
              <wp:posOffset>-24765</wp:posOffset>
            </wp:positionV>
            <wp:extent cx="431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2637155</wp:posOffset>
            </wp:positionH>
            <wp:positionV relativeFrom="paragraph">
              <wp:posOffset>-7620</wp:posOffset>
            </wp:positionV>
            <wp:extent cx="431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2637155</wp:posOffset>
            </wp:positionH>
            <wp:positionV relativeFrom="paragraph">
              <wp:posOffset>-153670</wp:posOffset>
            </wp:positionV>
            <wp:extent cx="431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3143250</wp:posOffset>
            </wp:positionH>
            <wp:positionV relativeFrom="paragraph">
              <wp:posOffset>-24765</wp:posOffset>
            </wp:positionV>
            <wp:extent cx="431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3143250</wp:posOffset>
            </wp:positionH>
            <wp:positionV relativeFrom="paragraph">
              <wp:posOffset>-7620</wp:posOffset>
            </wp:positionV>
            <wp:extent cx="431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3143250</wp:posOffset>
            </wp:positionH>
            <wp:positionV relativeFrom="paragraph">
              <wp:posOffset>-153670</wp:posOffset>
            </wp:positionV>
            <wp:extent cx="431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3648710</wp:posOffset>
            </wp:positionH>
            <wp:positionV relativeFrom="paragraph">
              <wp:posOffset>-24765</wp:posOffset>
            </wp:positionV>
            <wp:extent cx="431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3648710</wp:posOffset>
            </wp:positionH>
            <wp:positionV relativeFrom="paragraph">
              <wp:posOffset>-7620</wp:posOffset>
            </wp:positionV>
            <wp:extent cx="431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3648710</wp:posOffset>
            </wp:positionH>
            <wp:positionV relativeFrom="paragraph">
              <wp:posOffset>-153670</wp:posOffset>
            </wp:positionV>
            <wp:extent cx="431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4154805</wp:posOffset>
            </wp:positionH>
            <wp:positionV relativeFrom="paragraph">
              <wp:posOffset>-24765</wp:posOffset>
            </wp:positionV>
            <wp:extent cx="431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4154805</wp:posOffset>
            </wp:positionH>
            <wp:positionV relativeFrom="paragraph">
              <wp:posOffset>-7620</wp:posOffset>
            </wp:positionV>
            <wp:extent cx="431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4154805</wp:posOffset>
            </wp:positionH>
            <wp:positionV relativeFrom="paragraph">
              <wp:posOffset>-153670</wp:posOffset>
            </wp:positionV>
            <wp:extent cx="431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4643120</wp:posOffset>
            </wp:positionH>
            <wp:positionV relativeFrom="paragraph">
              <wp:posOffset>-24765</wp:posOffset>
            </wp:positionV>
            <wp:extent cx="3429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4643120</wp:posOffset>
            </wp:positionH>
            <wp:positionV relativeFrom="paragraph">
              <wp:posOffset>-7620</wp:posOffset>
            </wp:positionV>
            <wp:extent cx="3429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4643120</wp:posOffset>
            </wp:positionH>
            <wp:positionV relativeFrom="paragraph">
              <wp:posOffset>-153670</wp:posOffset>
            </wp:positionV>
            <wp:extent cx="3429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5114925</wp:posOffset>
            </wp:positionH>
            <wp:positionV relativeFrom="paragraph">
              <wp:posOffset>-24765</wp:posOffset>
            </wp:positionV>
            <wp:extent cx="3429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5114925</wp:posOffset>
            </wp:positionH>
            <wp:positionV relativeFrom="paragraph">
              <wp:posOffset>-7620</wp:posOffset>
            </wp:positionV>
            <wp:extent cx="3429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5114925</wp:posOffset>
            </wp:positionH>
            <wp:positionV relativeFrom="paragraph">
              <wp:posOffset>-153670</wp:posOffset>
            </wp:positionV>
            <wp:extent cx="3429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5594985</wp:posOffset>
            </wp:positionH>
            <wp:positionV relativeFrom="paragraph">
              <wp:posOffset>-24765</wp:posOffset>
            </wp:positionV>
            <wp:extent cx="3429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5594985</wp:posOffset>
            </wp:positionH>
            <wp:positionV relativeFrom="paragraph">
              <wp:posOffset>-7620</wp:posOffset>
            </wp:positionV>
            <wp:extent cx="3429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5594985</wp:posOffset>
            </wp:positionH>
            <wp:positionV relativeFrom="paragraph">
              <wp:posOffset>-153670</wp:posOffset>
            </wp:positionV>
            <wp:extent cx="3429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-24765</wp:posOffset>
            </wp:positionV>
            <wp:extent cx="3429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-7620</wp:posOffset>
            </wp:positionV>
            <wp:extent cx="3429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-153670</wp:posOffset>
            </wp:positionV>
            <wp:extent cx="3429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-24765</wp:posOffset>
            </wp:positionV>
            <wp:extent cx="3429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-7620</wp:posOffset>
            </wp:positionV>
            <wp:extent cx="3429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-153670</wp:posOffset>
            </wp:positionV>
            <wp:extent cx="3429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 (unaudited).</w:t>
      </w: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00" w:top="675" w:right="399" w:bottom="1440" w:gutter="0" w:footer="0" w:header="0"/>
        </w:sectPr>
      </w:pPr>
    </w:p>
    <w:bookmarkStart w:id="10" w:name="page11"/>
    <w:bookmarkEnd w:id="10"/>
    <w:p>
      <w:pPr>
        <w:ind w:left="4580"/>
        <w:spacing w:after="0"/>
        <w:rPr>
          <w:sz w:val="20"/>
          <w:szCs w:val="20"/>
          <w:color w:val="auto"/>
        </w:rPr>
      </w:pPr>
      <w:r>
        <w:rPr>
          <w:rFonts w:ascii="Arial" w:cs="Arial" w:eastAsia="Arial" w:hAnsi="Arial"/>
          <w:sz w:val="18"/>
          <w:szCs w:val="18"/>
          <w:b w:val="1"/>
          <w:bCs w:val="1"/>
          <w:color w:val="auto"/>
        </w:rPr>
        <w:t>Perella Weinberg Partners</w:t>
      </w:r>
    </w:p>
    <w:p>
      <w:pPr>
        <w:spacing w:after="0" w:line="5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5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(Dollars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322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rPr>
              <w:t>Nine Months Ended September 30,</w:t>
            </w:r>
          </w:p>
        </w:tc>
        <w:tc>
          <w:tcPr>
            <w:tcW w:w="700" w:type="dxa"/>
            <w:vAlign w:val="bottom"/>
            <w:tcBorders>
              <w:bottom w:val="single" w:sz="8" w:color="auto"/>
            </w:tcBorders>
          </w:tcPr>
          <w:p>
            <w:pPr>
              <w:spacing w:after="0"/>
              <w:rPr>
                <w:sz w:val="16"/>
                <w:szCs w:val="16"/>
                <w:color w:val="auto"/>
              </w:rPr>
            </w:pPr>
          </w:p>
        </w:tc>
      </w:tr>
      <w:tr>
        <w:trPr>
          <w:trHeight w:val="196"/>
        </w:trPr>
        <w:tc>
          <w:tcPr>
            <w:tcW w:w="7320" w:type="dxa"/>
            <w:vAlign w:val="bottom"/>
          </w:tcPr>
          <w:p>
            <w:pPr>
              <w:spacing w:after="0"/>
              <w:rPr>
                <w:sz w:val="17"/>
                <w:szCs w:val="17"/>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b w:val="1"/>
                <w:bCs w:val="1"/>
                <w:color w:val="auto"/>
              </w:rPr>
              <w:t>2021</w:t>
            </w:r>
          </w:p>
        </w:tc>
        <w:tc>
          <w:tcPr>
            <w:tcW w:w="720" w:type="dxa"/>
            <w:vAlign w:val="bottom"/>
          </w:tcPr>
          <w:p>
            <w:pPr>
              <w:spacing w:after="0"/>
              <w:rPr>
                <w:sz w:val="17"/>
                <w:szCs w:val="17"/>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2020</w:t>
            </w:r>
          </w:p>
        </w:tc>
        <w:tc>
          <w:tcPr>
            <w:tcW w:w="700" w:type="dxa"/>
            <w:vAlign w:val="bottom"/>
          </w:tcPr>
          <w:p>
            <w:pPr>
              <w:spacing w:after="0"/>
              <w:rPr>
                <w:sz w:val="17"/>
                <w:szCs w:val="17"/>
                <w:color w:val="auto"/>
              </w:rPr>
            </w:pPr>
          </w:p>
        </w:tc>
      </w:tr>
      <w:tr>
        <w:trPr>
          <w:trHeight w:val="202"/>
        </w:trPr>
        <w:tc>
          <w:tcPr>
            <w:tcW w:w="73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116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r>
      <w:tr>
        <w:trPr>
          <w:trHeight w:val="197"/>
        </w:trPr>
        <w:tc>
          <w:tcPr>
            <w:tcW w:w="7320" w:type="dxa"/>
            <w:vAlign w:val="bottom"/>
          </w:tcPr>
          <w:p>
            <w:pPr>
              <w:ind w:left="120"/>
              <w:spacing w:after="0"/>
              <w:rPr>
                <w:sz w:val="20"/>
                <w:szCs w:val="20"/>
                <w:color w:val="auto"/>
              </w:rPr>
            </w:pPr>
            <w:r>
              <w:rPr>
                <w:rFonts w:ascii="Arial" w:cs="Arial" w:eastAsia="Arial" w:hAnsi="Arial"/>
                <w:sz w:val="14"/>
                <w:szCs w:val="14"/>
                <w:color w:val="auto"/>
              </w:rPr>
              <w:t>Net income (loss)</w:t>
            </w:r>
          </w:p>
        </w:tc>
        <w:tc>
          <w:tcPr>
            <w:tcW w:w="1160" w:type="dxa"/>
            <w:vAlign w:val="bottom"/>
          </w:tcPr>
          <w:p>
            <w:pPr>
              <w:jc w:val="right"/>
              <w:ind w:right="98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22,045</w:t>
            </w:r>
          </w:p>
        </w:tc>
        <w:tc>
          <w:tcPr>
            <w:tcW w:w="1340" w:type="dxa"/>
            <w:vAlign w:val="bottom"/>
            <w:gridSpan w:val="2"/>
          </w:tcPr>
          <w:p>
            <w:pPr>
              <w:jc w:val="right"/>
              <w:ind w:right="10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(27,258 )</w:t>
            </w:r>
          </w:p>
        </w:tc>
      </w:tr>
      <w:tr>
        <w:trPr>
          <w:trHeight w:val="208"/>
        </w:trPr>
        <w:tc>
          <w:tcPr>
            <w:tcW w:w="73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Adjustments to reconcile net income (loss) to net cash provided by (used in) operating activities:</w:t>
            </w:r>
          </w:p>
        </w:tc>
        <w:tc>
          <w:tcPr>
            <w:tcW w:w="1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r>
      <w:tr>
        <w:trPr>
          <w:trHeight w:val="197"/>
        </w:trPr>
        <w:tc>
          <w:tcPr>
            <w:tcW w:w="7320" w:type="dxa"/>
            <w:vAlign w:val="bottom"/>
          </w:tcPr>
          <w:p>
            <w:pPr>
              <w:ind w:left="200"/>
              <w:spacing w:after="0"/>
              <w:rPr>
                <w:sz w:val="20"/>
                <w:szCs w:val="20"/>
                <w:color w:val="auto"/>
              </w:rPr>
            </w:pPr>
            <w:r>
              <w:rPr>
                <w:rFonts w:ascii="Arial" w:cs="Arial" w:eastAsia="Arial" w:hAnsi="Arial"/>
                <w:sz w:val="14"/>
                <w:szCs w:val="14"/>
                <w:color w:val="auto"/>
              </w:rPr>
              <w:t>Loss on debt extinguishment</w:t>
            </w:r>
          </w:p>
        </w:tc>
        <w:tc>
          <w:tcPr>
            <w:tcW w:w="1160" w:type="dxa"/>
            <w:vAlign w:val="bottom"/>
          </w:tcPr>
          <w:p>
            <w:pPr>
              <w:spacing w:after="0"/>
              <w:rPr>
                <w:sz w:val="17"/>
                <w:szCs w:val="17"/>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39,408</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08"/>
        </w:trPr>
        <w:tc>
          <w:tcPr>
            <w:tcW w:w="73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Equity-based awards vesting expense</w:t>
            </w:r>
          </w:p>
        </w:tc>
        <w:tc>
          <w:tcPr>
            <w:tcW w:w="116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51,449</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18,484</w:t>
            </w:r>
          </w:p>
        </w:tc>
      </w:tr>
      <w:tr>
        <w:trPr>
          <w:trHeight w:val="197"/>
        </w:trPr>
        <w:tc>
          <w:tcPr>
            <w:tcW w:w="7320" w:type="dxa"/>
            <w:vAlign w:val="bottom"/>
          </w:tcPr>
          <w:p>
            <w:pPr>
              <w:ind w:left="200"/>
              <w:spacing w:after="0"/>
              <w:rPr>
                <w:sz w:val="20"/>
                <w:szCs w:val="20"/>
                <w:color w:val="auto"/>
              </w:rPr>
            </w:pPr>
            <w:r>
              <w:rPr>
                <w:rFonts w:ascii="Arial" w:cs="Arial" w:eastAsia="Arial" w:hAnsi="Arial"/>
                <w:sz w:val="14"/>
                <w:szCs w:val="14"/>
                <w:color w:val="auto"/>
              </w:rPr>
              <w:t>Depreciation and amortization</w:t>
            </w:r>
          </w:p>
        </w:tc>
        <w:tc>
          <w:tcPr>
            <w:tcW w:w="1160" w:type="dxa"/>
            <w:vAlign w:val="bottom"/>
          </w:tcPr>
          <w:p>
            <w:pPr>
              <w:spacing w:after="0"/>
              <w:rPr>
                <w:sz w:val="17"/>
                <w:szCs w:val="17"/>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11,081</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11,645</w:t>
            </w:r>
          </w:p>
        </w:tc>
      </w:tr>
      <w:tr>
        <w:trPr>
          <w:trHeight w:val="208"/>
        </w:trPr>
        <w:tc>
          <w:tcPr>
            <w:tcW w:w="73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Amortization of debt discounts and deferred financing costs</w:t>
            </w:r>
          </w:p>
        </w:tc>
        <w:tc>
          <w:tcPr>
            <w:tcW w:w="116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2,049</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2,948</w:t>
            </w:r>
          </w:p>
        </w:tc>
      </w:tr>
      <w:tr>
        <w:trPr>
          <w:trHeight w:val="197"/>
        </w:trPr>
        <w:tc>
          <w:tcPr>
            <w:tcW w:w="7320" w:type="dxa"/>
            <w:vAlign w:val="bottom"/>
          </w:tcPr>
          <w:p>
            <w:pPr>
              <w:ind w:left="200"/>
              <w:spacing w:after="0"/>
              <w:rPr>
                <w:sz w:val="20"/>
                <w:szCs w:val="20"/>
                <w:color w:val="auto"/>
              </w:rPr>
            </w:pPr>
            <w:r>
              <w:rPr>
                <w:rFonts w:ascii="Arial" w:cs="Arial" w:eastAsia="Arial" w:hAnsi="Arial"/>
                <w:sz w:val="14"/>
                <w:szCs w:val="14"/>
                <w:color w:val="auto"/>
              </w:rPr>
              <w:t>Change in fair value of warrant liabilities</w:t>
            </w:r>
          </w:p>
        </w:tc>
        <w:tc>
          <w:tcPr>
            <w:tcW w:w="1160" w:type="dxa"/>
            <w:vAlign w:val="bottom"/>
          </w:tcPr>
          <w:p>
            <w:pPr>
              <w:spacing w:after="0"/>
              <w:rPr>
                <w:sz w:val="17"/>
                <w:szCs w:val="17"/>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2,058</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08"/>
        </w:trPr>
        <w:tc>
          <w:tcPr>
            <w:tcW w:w="73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Non-cash operating lease expense</w:t>
            </w:r>
          </w:p>
        </w:tc>
        <w:tc>
          <w:tcPr>
            <w:tcW w:w="116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13,036</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12,794</w:t>
            </w:r>
          </w:p>
        </w:tc>
      </w:tr>
      <w:tr>
        <w:trPr>
          <w:trHeight w:val="197"/>
        </w:trPr>
        <w:tc>
          <w:tcPr>
            <w:tcW w:w="7320" w:type="dxa"/>
            <w:vAlign w:val="bottom"/>
          </w:tcPr>
          <w:p>
            <w:pPr>
              <w:ind w:left="200"/>
              <w:spacing w:after="0"/>
              <w:rPr>
                <w:sz w:val="20"/>
                <w:szCs w:val="20"/>
                <w:color w:val="auto"/>
              </w:rPr>
            </w:pPr>
            <w:r>
              <w:rPr>
                <w:rFonts w:ascii="Arial" w:cs="Arial" w:eastAsia="Arial" w:hAnsi="Arial"/>
                <w:sz w:val="14"/>
                <w:szCs w:val="14"/>
                <w:color w:val="auto"/>
              </w:rPr>
              <w:t>Bad debt expense</w:t>
            </w:r>
          </w:p>
        </w:tc>
        <w:tc>
          <w:tcPr>
            <w:tcW w:w="1160" w:type="dxa"/>
            <w:vAlign w:val="bottom"/>
          </w:tcPr>
          <w:p>
            <w:pPr>
              <w:spacing w:after="0"/>
              <w:rPr>
                <w:sz w:val="17"/>
                <w:szCs w:val="17"/>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290</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2,853</w:t>
            </w:r>
          </w:p>
        </w:tc>
      </w:tr>
      <w:tr>
        <w:trPr>
          <w:trHeight w:val="208"/>
        </w:trPr>
        <w:tc>
          <w:tcPr>
            <w:tcW w:w="73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Other</w:t>
            </w:r>
          </w:p>
        </w:tc>
        <w:tc>
          <w:tcPr>
            <w:tcW w:w="1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(426 )</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(15 )</w:t>
            </w:r>
          </w:p>
        </w:tc>
      </w:tr>
      <w:tr>
        <w:trPr>
          <w:trHeight w:val="197"/>
        </w:trPr>
        <w:tc>
          <w:tcPr>
            <w:tcW w:w="7320" w:type="dxa"/>
            <w:vAlign w:val="bottom"/>
          </w:tcPr>
          <w:p>
            <w:pPr>
              <w:ind w:left="120"/>
              <w:spacing w:after="0"/>
              <w:rPr>
                <w:sz w:val="20"/>
                <w:szCs w:val="20"/>
                <w:color w:val="auto"/>
              </w:rPr>
            </w:pPr>
            <w:r>
              <w:rPr>
                <w:rFonts w:ascii="Arial" w:cs="Arial" w:eastAsia="Arial" w:hAnsi="Arial"/>
                <w:sz w:val="14"/>
                <w:szCs w:val="14"/>
                <w:color w:val="auto"/>
              </w:rPr>
              <w:t>Decrease (increase) in operating assets:</w:t>
            </w:r>
          </w:p>
        </w:tc>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8"/>
        </w:trPr>
        <w:tc>
          <w:tcPr>
            <w:tcW w:w="73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Accounts receivable, net of allowance</w:t>
            </w:r>
          </w:p>
        </w:tc>
        <w:tc>
          <w:tcPr>
            <w:tcW w:w="1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(25,730 )</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(11,528 )</w:t>
            </w:r>
          </w:p>
        </w:tc>
      </w:tr>
      <w:tr>
        <w:trPr>
          <w:trHeight w:val="196"/>
        </w:trPr>
        <w:tc>
          <w:tcPr>
            <w:tcW w:w="7320" w:type="dxa"/>
            <w:vAlign w:val="bottom"/>
          </w:tcPr>
          <w:p>
            <w:pPr>
              <w:ind w:left="200"/>
              <w:spacing w:after="0"/>
              <w:rPr>
                <w:sz w:val="20"/>
                <w:szCs w:val="20"/>
                <w:color w:val="auto"/>
              </w:rPr>
            </w:pPr>
            <w:r>
              <w:rPr>
                <w:rFonts w:ascii="Arial" w:cs="Arial" w:eastAsia="Arial" w:hAnsi="Arial"/>
                <w:sz w:val="14"/>
                <w:szCs w:val="14"/>
                <w:color w:val="auto"/>
              </w:rPr>
              <w:t>Due from related parties</w:t>
            </w:r>
          </w:p>
        </w:tc>
        <w:tc>
          <w:tcPr>
            <w:tcW w:w="1160" w:type="dxa"/>
            <w:vAlign w:val="bottom"/>
          </w:tcPr>
          <w:p>
            <w:pPr>
              <w:spacing w:after="0"/>
              <w:rPr>
                <w:sz w:val="17"/>
                <w:szCs w:val="17"/>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557</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74</w:t>
            </w:r>
          </w:p>
        </w:tc>
      </w:tr>
      <w:tr>
        <w:trPr>
          <w:trHeight w:val="209"/>
        </w:trPr>
        <w:tc>
          <w:tcPr>
            <w:tcW w:w="73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Prepaid expenses and other assets</w:t>
            </w:r>
          </w:p>
        </w:tc>
        <w:tc>
          <w:tcPr>
            <w:tcW w:w="1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(15,615 )</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219</w:t>
            </w:r>
          </w:p>
        </w:tc>
      </w:tr>
      <w:tr>
        <w:trPr>
          <w:trHeight w:val="196"/>
        </w:trPr>
        <w:tc>
          <w:tcPr>
            <w:tcW w:w="7320" w:type="dxa"/>
            <w:vAlign w:val="bottom"/>
          </w:tcPr>
          <w:p>
            <w:pPr>
              <w:ind w:left="200"/>
              <w:spacing w:after="0"/>
              <w:rPr>
                <w:sz w:val="20"/>
                <w:szCs w:val="20"/>
                <w:color w:val="auto"/>
              </w:rPr>
            </w:pPr>
            <w:r>
              <w:rPr>
                <w:rFonts w:ascii="Arial" w:cs="Arial" w:eastAsia="Arial" w:hAnsi="Arial"/>
                <w:sz w:val="14"/>
                <w:szCs w:val="14"/>
                <w:color w:val="auto"/>
              </w:rPr>
              <w:t>Deferred tax asset</w:t>
            </w:r>
          </w:p>
        </w:tc>
        <w:tc>
          <w:tcPr>
            <w:tcW w:w="1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(953 )</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(549 )</w:t>
            </w:r>
          </w:p>
        </w:tc>
      </w:tr>
      <w:tr>
        <w:trPr>
          <w:trHeight w:val="209"/>
        </w:trPr>
        <w:tc>
          <w:tcPr>
            <w:tcW w:w="73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Increase (decrease) in operating liabilities:</w:t>
            </w:r>
          </w:p>
        </w:tc>
        <w:tc>
          <w:tcPr>
            <w:tcW w:w="1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r>
      <w:tr>
        <w:trPr>
          <w:trHeight w:val="196"/>
        </w:trPr>
        <w:tc>
          <w:tcPr>
            <w:tcW w:w="7320" w:type="dxa"/>
            <w:vAlign w:val="bottom"/>
          </w:tcPr>
          <w:p>
            <w:pPr>
              <w:ind w:left="200"/>
              <w:spacing w:after="0"/>
              <w:rPr>
                <w:sz w:val="20"/>
                <w:szCs w:val="20"/>
                <w:color w:val="auto"/>
              </w:rPr>
            </w:pPr>
            <w:r>
              <w:rPr>
                <w:rFonts w:ascii="Arial" w:cs="Arial" w:eastAsia="Arial" w:hAnsi="Arial"/>
                <w:sz w:val="14"/>
                <w:szCs w:val="14"/>
                <w:color w:val="auto"/>
              </w:rPr>
              <w:t>Accrued compensation and benefits</w:t>
            </w:r>
          </w:p>
        </w:tc>
        <w:tc>
          <w:tcPr>
            <w:tcW w:w="1160" w:type="dxa"/>
            <w:vAlign w:val="bottom"/>
          </w:tcPr>
          <w:p>
            <w:pPr>
              <w:spacing w:after="0"/>
              <w:rPr>
                <w:sz w:val="17"/>
                <w:szCs w:val="17"/>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57,038</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(88,154 )</w:t>
            </w:r>
          </w:p>
        </w:tc>
      </w:tr>
      <w:tr>
        <w:trPr>
          <w:trHeight w:val="209"/>
        </w:trPr>
        <w:tc>
          <w:tcPr>
            <w:tcW w:w="73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Deferred compensation programs</w:t>
            </w:r>
          </w:p>
        </w:tc>
        <w:tc>
          <w:tcPr>
            <w:tcW w:w="1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(3,340 )</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4,403</w:t>
            </w:r>
          </w:p>
        </w:tc>
      </w:tr>
      <w:tr>
        <w:trPr>
          <w:trHeight w:val="196"/>
        </w:trPr>
        <w:tc>
          <w:tcPr>
            <w:tcW w:w="7320" w:type="dxa"/>
            <w:vAlign w:val="bottom"/>
          </w:tcPr>
          <w:p>
            <w:pPr>
              <w:ind w:left="200"/>
              <w:spacing w:after="0"/>
              <w:rPr>
                <w:sz w:val="20"/>
                <w:szCs w:val="20"/>
                <w:color w:val="auto"/>
              </w:rPr>
            </w:pPr>
            <w:r>
              <w:rPr>
                <w:rFonts w:ascii="Arial" w:cs="Arial" w:eastAsia="Arial" w:hAnsi="Arial"/>
                <w:sz w:val="14"/>
                <w:szCs w:val="14"/>
                <w:color w:val="auto"/>
              </w:rPr>
              <w:t>Accounts payable, accrued expenses and other liabilities</w:t>
            </w:r>
          </w:p>
        </w:tc>
        <w:tc>
          <w:tcPr>
            <w:tcW w:w="1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(8,694 )</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6,295</w:t>
            </w:r>
          </w:p>
        </w:tc>
      </w:tr>
      <w:tr>
        <w:trPr>
          <w:trHeight w:val="209"/>
        </w:trPr>
        <w:tc>
          <w:tcPr>
            <w:tcW w:w="73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Deferred revenue</w:t>
            </w:r>
          </w:p>
        </w:tc>
        <w:tc>
          <w:tcPr>
            <w:tcW w:w="1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(4,642 )</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31,070</w:t>
            </w:r>
          </w:p>
        </w:tc>
      </w:tr>
      <w:tr>
        <w:trPr>
          <w:trHeight w:val="197"/>
        </w:trPr>
        <w:tc>
          <w:tcPr>
            <w:tcW w:w="7320" w:type="dxa"/>
            <w:vAlign w:val="bottom"/>
            <w:tcBorders>
              <w:bottom w:val="single" w:sz="8" w:color="CFF0FC"/>
            </w:tcBorders>
          </w:tcPr>
          <w:p>
            <w:pPr>
              <w:ind w:left="200"/>
              <w:spacing w:after="0"/>
              <w:rPr>
                <w:sz w:val="20"/>
                <w:szCs w:val="20"/>
                <w:color w:val="auto"/>
              </w:rPr>
            </w:pPr>
            <w:r>
              <w:rPr>
                <w:rFonts w:ascii="Arial" w:cs="Arial" w:eastAsia="Arial" w:hAnsi="Arial"/>
                <w:sz w:val="14"/>
                <w:szCs w:val="14"/>
                <w:color w:val="auto"/>
              </w:rPr>
              <w:t>Lease liabilities</w:t>
            </w:r>
          </w:p>
        </w:tc>
        <w:tc>
          <w:tcPr>
            <w:tcW w:w="1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(13,570 )</w:t>
            </w:r>
          </w:p>
        </w:tc>
        <w:tc>
          <w:tcPr>
            <w:tcW w:w="200" w:type="dxa"/>
            <w:vAlign w:val="bottom"/>
            <w:tcBorders>
              <w:bottom w:val="single" w:sz="8" w:color="CFF0FC"/>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(14,887 )</w:t>
            </w:r>
          </w:p>
        </w:tc>
      </w:tr>
      <w:tr>
        <w:trPr>
          <w:trHeight w:val="188"/>
        </w:trPr>
        <w:tc>
          <w:tcPr>
            <w:tcW w:w="732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4"/>
                <w:szCs w:val="14"/>
                <w:color w:val="auto"/>
              </w:rPr>
              <w:t>Net cash provided by (used in) operating activities</w:t>
            </w:r>
          </w:p>
        </w:tc>
        <w:tc>
          <w:tcPr>
            <w:tcW w:w="1160" w:type="dxa"/>
            <w:vAlign w:val="bottom"/>
            <w:tcBorders>
              <w:bottom w:val="single" w:sz="8" w:color="auto"/>
            </w:tcBorders>
            <w:shd w:val="clear" w:color="auto" w:fill="CFF0FC"/>
          </w:tcPr>
          <w:p>
            <w:pPr>
              <w:spacing w:after="0"/>
              <w:rPr>
                <w:sz w:val="16"/>
                <w:szCs w:val="16"/>
                <w:color w:val="auto"/>
              </w:rPr>
            </w:pPr>
          </w:p>
        </w:tc>
        <w:tc>
          <w:tcPr>
            <w:tcW w:w="72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126,041</w:t>
            </w:r>
          </w:p>
        </w:tc>
        <w:tc>
          <w:tcPr>
            <w:tcW w:w="200" w:type="dxa"/>
            <w:vAlign w:val="bottom"/>
            <w:tcBorders>
              <w:bottom w:val="single" w:sz="8" w:color="CFF0FC"/>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spacing w:after="0"/>
              <w:rPr>
                <w:sz w:val="16"/>
                <w:szCs w:val="16"/>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(51,606 )</w:t>
            </w:r>
          </w:p>
        </w:tc>
      </w:tr>
      <w:tr>
        <w:trPr>
          <w:trHeight w:val="190"/>
        </w:trPr>
        <w:tc>
          <w:tcPr>
            <w:tcW w:w="732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1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09"/>
        </w:trPr>
        <w:tc>
          <w:tcPr>
            <w:tcW w:w="73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Purchases of fixed assets</w:t>
            </w:r>
          </w:p>
        </w:tc>
        <w:tc>
          <w:tcPr>
            <w:tcW w:w="1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(684 )</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(4,965 )</w:t>
            </w:r>
          </w:p>
        </w:tc>
      </w:tr>
      <w:tr>
        <w:trPr>
          <w:trHeight w:val="203"/>
        </w:trPr>
        <w:tc>
          <w:tcPr>
            <w:tcW w:w="7320" w:type="dxa"/>
            <w:vAlign w:val="bottom"/>
          </w:tcPr>
          <w:p>
            <w:pPr>
              <w:ind w:left="200"/>
              <w:spacing w:after="0"/>
              <w:rPr>
                <w:sz w:val="20"/>
                <w:szCs w:val="20"/>
                <w:color w:val="auto"/>
              </w:rPr>
            </w:pPr>
            <w:r>
              <w:rPr>
                <w:rFonts w:ascii="Arial" w:cs="Arial" w:eastAsia="Arial" w:hAnsi="Arial"/>
                <w:sz w:val="14"/>
                <w:szCs w:val="14"/>
                <w:color w:val="auto"/>
              </w:rPr>
              <w:t>Other</w:t>
            </w:r>
          </w:p>
        </w:tc>
        <w:tc>
          <w:tcPr>
            <w:tcW w:w="1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(978 )</w:t>
            </w:r>
          </w:p>
        </w:tc>
        <w:tc>
          <w:tcPr>
            <w:tcW w:w="20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196"/>
        </w:trPr>
        <w:tc>
          <w:tcPr>
            <w:tcW w:w="732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4"/>
                <w:szCs w:val="14"/>
                <w:color w:val="auto"/>
              </w:rPr>
              <w:t>Net cash provided by (used in) investing activities</w:t>
            </w:r>
          </w:p>
        </w:tc>
        <w:tc>
          <w:tcPr>
            <w:tcW w:w="116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(1,662 )</w:t>
            </w:r>
          </w:p>
        </w:tc>
        <w:tc>
          <w:tcPr>
            <w:tcW w:w="20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(4,965 )</w:t>
            </w:r>
          </w:p>
        </w:tc>
      </w:tr>
      <w:tr>
        <w:trPr>
          <w:trHeight w:val="190"/>
        </w:trPr>
        <w:tc>
          <w:tcPr>
            <w:tcW w:w="732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1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08"/>
        </w:trPr>
        <w:tc>
          <w:tcPr>
            <w:tcW w:w="73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Proceeds from Business Combination, including PIPE Investment</w:t>
            </w:r>
          </w:p>
        </w:tc>
        <w:tc>
          <w:tcPr>
            <w:tcW w:w="116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355,021</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r>
      <w:tr>
        <w:trPr>
          <w:trHeight w:val="197"/>
        </w:trPr>
        <w:tc>
          <w:tcPr>
            <w:tcW w:w="7320" w:type="dxa"/>
            <w:vAlign w:val="bottom"/>
          </w:tcPr>
          <w:p>
            <w:pPr>
              <w:ind w:left="200"/>
              <w:spacing w:after="0"/>
              <w:rPr>
                <w:sz w:val="20"/>
                <w:szCs w:val="20"/>
                <w:color w:val="auto"/>
              </w:rPr>
            </w:pPr>
            <w:r>
              <w:rPr>
                <w:rFonts w:ascii="Arial" w:cs="Arial" w:eastAsia="Arial" w:hAnsi="Arial"/>
                <w:sz w:val="14"/>
                <w:szCs w:val="14"/>
                <w:color w:val="auto"/>
              </w:rPr>
              <w:t>Payment of Business Combination costs</w:t>
            </w:r>
          </w:p>
        </w:tc>
        <w:tc>
          <w:tcPr>
            <w:tcW w:w="1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(20,570 )</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08"/>
        </w:trPr>
        <w:tc>
          <w:tcPr>
            <w:tcW w:w="73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Draw down on Revolving Credit Facility</w:t>
            </w:r>
          </w:p>
        </w:tc>
        <w:tc>
          <w:tcPr>
            <w:tcW w:w="116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22,000</w:t>
            </w:r>
          </w:p>
        </w:tc>
      </w:tr>
      <w:tr>
        <w:trPr>
          <w:trHeight w:val="197"/>
        </w:trPr>
        <w:tc>
          <w:tcPr>
            <w:tcW w:w="7320" w:type="dxa"/>
            <w:vAlign w:val="bottom"/>
          </w:tcPr>
          <w:p>
            <w:pPr>
              <w:ind w:left="200"/>
              <w:spacing w:after="0"/>
              <w:rPr>
                <w:sz w:val="20"/>
                <w:szCs w:val="20"/>
                <w:color w:val="auto"/>
              </w:rPr>
            </w:pPr>
            <w:r>
              <w:rPr>
                <w:rFonts w:ascii="Arial" w:cs="Arial" w:eastAsia="Arial" w:hAnsi="Arial"/>
                <w:sz w:val="14"/>
                <w:szCs w:val="14"/>
                <w:color w:val="auto"/>
              </w:rPr>
              <w:t>Principal payment on Revolving Credit Facility</w:t>
            </w:r>
          </w:p>
        </w:tc>
        <w:tc>
          <w:tcPr>
            <w:tcW w:w="1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(27,690 )</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(32,000 )</w:t>
            </w:r>
          </w:p>
        </w:tc>
      </w:tr>
      <w:tr>
        <w:trPr>
          <w:trHeight w:val="208"/>
        </w:trPr>
        <w:tc>
          <w:tcPr>
            <w:tcW w:w="73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Redemption of Convertible Notes</w:t>
            </w:r>
          </w:p>
        </w:tc>
        <w:tc>
          <w:tcPr>
            <w:tcW w:w="1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(160,930 )</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r>
      <w:tr>
        <w:trPr>
          <w:trHeight w:val="196"/>
        </w:trPr>
        <w:tc>
          <w:tcPr>
            <w:tcW w:w="7320" w:type="dxa"/>
            <w:vAlign w:val="bottom"/>
          </w:tcPr>
          <w:p>
            <w:pPr>
              <w:ind w:left="200"/>
              <w:spacing w:after="0"/>
              <w:rPr>
                <w:sz w:val="20"/>
                <w:szCs w:val="20"/>
                <w:color w:val="auto"/>
              </w:rPr>
            </w:pPr>
            <w:r>
              <w:rPr>
                <w:rFonts w:ascii="Arial" w:cs="Arial" w:eastAsia="Arial" w:hAnsi="Arial"/>
                <w:sz w:val="14"/>
                <w:szCs w:val="14"/>
                <w:color w:val="auto"/>
              </w:rPr>
              <w:t>Redemption of partners’ interests</w:t>
            </w:r>
          </w:p>
        </w:tc>
        <w:tc>
          <w:tcPr>
            <w:tcW w:w="1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(104,540 )</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09"/>
        </w:trPr>
        <w:tc>
          <w:tcPr>
            <w:tcW w:w="73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Distributions to partners</w:t>
            </w:r>
          </w:p>
        </w:tc>
        <w:tc>
          <w:tcPr>
            <w:tcW w:w="1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(54,396 )</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(11,789 )</w:t>
            </w:r>
          </w:p>
        </w:tc>
      </w:tr>
      <w:tr>
        <w:trPr>
          <w:trHeight w:val="196"/>
        </w:trPr>
        <w:tc>
          <w:tcPr>
            <w:tcW w:w="7320" w:type="dxa"/>
            <w:vAlign w:val="bottom"/>
          </w:tcPr>
          <w:p>
            <w:pPr>
              <w:ind w:left="200"/>
              <w:spacing w:after="0"/>
              <w:rPr>
                <w:sz w:val="20"/>
                <w:szCs w:val="20"/>
                <w:color w:val="auto"/>
              </w:rPr>
            </w:pPr>
            <w:r>
              <w:rPr>
                <w:rFonts w:ascii="Arial" w:cs="Arial" w:eastAsia="Arial" w:hAnsi="Arial"/>
                <w:sz w:val="14"/>
                <w:szCs w:val="14"/>
                <w:color w:val="auto"/>
              </w:rPr>
              <w:t>Dividends paid</w:t>
            </w:r>
          </w:p>
        </w:tc>
        <w:tc>
          <w:tcPr>
            <w:tcW w:w="1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(2,978 )</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09"/>
        </w:trPr>
        <w:tc>
          <w:tcPr>
            <w:tcW w:w="73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Withholding payments for vested RSUs</w:t>
            </w:r>
          </w:p>
        </w:tc>
        <w:tc>
          <w:tcPr>
            <w:tcW w:w="1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(7,983 )</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r>
      <w:tr>
        <w:trPr>
          <w:trHeight w:val="196"/>
        </w:trPr>
        <w:tc>
          <w:tcPr>
            <w:tcW w:w="7320" w:type="dxa"/>
            <w:vAlign w:val="bottom"/>
          </w:tcPr>
          <w:p>
            <w:pPr>
              <w:ind w:left="200"/>
              <w:spacing w:after="0"/>
              <w:rPr>
                <w:sz w:val="20"/>
                <w:szCs w:val="20"/>
                <w:color w:val="auto"/>
              </w:rPr>
            </w:pPr>
            <w:r>
              <w:rPr>
                <w:rFonts w:ascii="Arial" w:cs="Arial" w:eastAsia="Arial" w:hAnsi="Arial"/>
                <w:sz w:val="14"/>
                <w:szCs w:val="14"/>
                <w:color w:val="auto"/>
              </w:rPr>
              <w:t>Treasury stock purchases</w:t>
            </w:r>
          </w:p>
        </w:tc>
        <w:tc>
          <w:tcPr>
            <w:tcW w:w="1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(12,000 )</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09"/>
        </w:trPr>
        <w:tc>
          <w:tcPr>
            <w:tcW w:w="73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Debt issuance costs</w:t>
            </w:r>
          </w:p>
        </w:tc>
        <w:tc>
          <w:tcPr>
            <w:tcW w:w="1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(361 )</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r>
      <w:tr>
        <w:trPr>
          <w:trHeight w:val="203"/>
        </w:trPr>
        <w:tc>
          <w:tcPr>
            <w:tcW w:w="7320" w:type="dxa"/>
            <w:vAlign w:val="bottom"/>
          </w:tcPr>
          <w:p>
            <w:pPr>
              <w:ind w:left="200"/>
              <w:spacing w:after="0"/>
              <w:rPr>
                <w:sz w:val="20"/>
                <w:szCs w:val="20"/>
                <w:color w:val="auto"/>
              </w:rPr>
            </w:pPr>
            <w:r>
              <w:rPr>
                <w:rFonts w:ascii="Arial" w:cs="Arial" w:eastAsia="Arial" w:hAnsi="Arial"/>
                <w:sz w:val="14"/>
                <w:szCs w:val="14"/>
                <w:color w:val="auto"/>
              </w:rPr>
              <w:t>Proceeds from Partner promissory note</w:t>
            </w:r>
          </w:p>
        </w:tc>
        <w:tc>
          <w:tcPr>
            <w:tcW w:w="1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1,757</w:t>
            </w:r>
          </w:p>
        </w:tc>
        <w:tc>
          <w:tcPr>
            <w:tcW w:w="20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196"/>
        </w:trPr>
        <w:tc>
          <w:tcPr>
            <w:tcW w:w="732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4"/>
                <w:szCs w:val="14"/>
                <w:color w:val="auto"/>
              </w:rPr>
              <w:t>Net cash provided by (used in) financing activities</w:t>
            </w:r>
          </w:p>
        </w:tc>
        <w:tc>
          <w:tcPr>
            <w:tcW w:w="116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(34,670 )</w:t>
            </w:r>
          </w:p>
        </w:tc>
        <w:tc>
          <w:tcPr>
            <w:tcW w:w="20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(21,789 )</w:t>
            </w:r>
          </w:p>
        </w:tc>
      </w:tr>
      <w:tr>
        <w:trPr>
          <w:trHeight w:val="196"/>
        </w:trPr>
        <w:tc>
          <w:tcPr>
            <w:tcW w:w="7320" w:type="dxa"/>
            <w:vAlign w:val="bottom"/>
          </w:tcPr>
          <w:p>
            <w:pPr>
              <w:ind w:left="20"/>
              <w:spacing w:after="0"/>
              <w:rPr>
                <w:sz w:val="20"/>
                <w:szCs w:val="20"/>
                <w:color w:val="auto"/>
              </w:rPr>
            </w:pPr>
            <w:r>
              <w:rPr>
                <w:rFonts w:ascii="Arial" w:cs="Arial" w:eastAsia="Arial" w:hAnsi="Arial"/>
                <w:sz w:val="14"/>
                <w:szCs w:val="14"/>
                <w:color w:val="auto"/>
              </w:rPr>
              <w:t>Effect of exchange rate changes on cash, cash equivalents and restricted cash</w:t>
            </w:r>
          </w:p>
        </w:tc>
        <w:tc>
          <w:tcPr>
            <w:tcW w:w="1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(2,943 )</w:t>
            </w:r>
          </w:p>
        </w:tc>
        <w:tc>
          <w:tcPr>
            <w:tcW w:w="20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(162 )</w:t>
            </w:r>
          </w:p>
        </w:tc>
      </w:tr>
      <w:tr>
        <w:trPr>
          <w:trHeight w:val="196"/>
        </w:trPr>
        <w:tc>
          <w:tcPr>
            <w:tcW w:w="732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increase (decrease) in cash, cash equivalents and restricted cash</w:t>
            </w:r>
          </w:p>
        </w:tc>
        <w:tc>
          <w:tcPr>
            <w:tcW w:w="116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86,766</w:t>
            </w:r>
          </w:p>
        </w:tc>
        <w:tc>
          <w:tcPr>
            <w:tcW w:w="2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(78,522 )</w:t>
            </w:r>
          </w:p>
        </w:tc>
      </w:tr>
      <w:tr>
        <w:trPr>
          <w:trHeight w:val="203"/>
        </w:trPr>
        <w:tc>
          <w:tcPr>
            <w:tcW w:w="7320" w:type="dxa"/>
            <w:vAlign w:val="bottom"/>
          </w:tcPr>
          <w:p>
            <w:pPr>
              <w:ind w:left="20"/>
              <w:spacing w:after="0"/>
              <w:rPr>
                <w:sz w:val="20"/>
                <w:szCs w:val="20"/>
                <w:color w:val="auto"/>
              </w:rPr>
            </w:pPr>
            <w:r>
              <w:rPr>
                <w:rFonts w:ascii="Arial" w:cs="Arial" w:eastAsia="Arial" w:hAnsi="Arial"/>
                <w:sz w:val="14"/>
                <w:szCs w:val="14"/>
                <w:color w:val="auto"/>
              </w:rPr>
              <w:t>Cash, cash equivalents and restricted cash, beginning of period</w:t>
            </w:r>
          </w:p>
        </w:tc>
        <w:tc>
          <w:tcPr>
            <w:tcW w:w="1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330,908</w:t>
            </w:r>
          </w:p>
        </w:tc>
        <w:tc>
          <w:tcPr>
            <w:tcW w:w="20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266,582</w:t>
            </w:r>
          </w:p>
        </w:tc>
      </w:tr>
      <w:tr>
        <w:trPr>
          <w:trHeight w:val="236"/>
        </w:trPr>
        <w:tc>
          <w:tcPr>
            <w:tcW w:w="7320" w:type="dxa"/>
            <w:vAlign w:val="bottom"/>
            <w:shd w:val="clear" w:color="auto" w:fill="CFF0FC"/>
          </w:tcPr>
          <w:p>
            <w:pPr>
              <w:ind w:left="20"/>
              <w:spacing w:after="0"/>
              <w:rPr>
                <w:sz w:val="20"/>
                <w:szCs w:val="20"/>
                <w:color w:val="auto"/>
              </w:rPr>
            </w:pPr>
            <w:r>
              <w:rPr>
                <w:rFonts w:ascii="Arial" w:cs="Arial" w:eastAsia="Arial" w:hAnsi="Arial"/>
                <w:sz w:val="14"/>
                <w:szCs w:val="14"/>
                <w:color w:val="auto"/>
              </w:rPr>
              <w:t>Cash, cash equivalents and restricted cash, end of period</w:t>
            </w:r>
          </w:p>
        </w:tc>
        <w:tc>
          <w:tcPr>
            <w:tcW w:w="1160" w:type="dxa"/>
            <w:vAlign w:val="bottom"/>
            <w:shd w:val="clear" w:color="auto" w:fill="CFF0FC"/>
          </w:tcPr>
          <w:p>
            <w:pPr>
              <w:jc w:val="right"/>
              <w:ind w:right="988"/>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417,674</w:t>
            </w:r>
          </w:p>
        </w:tc>
        <w:tc>
          <w:tcPr>
            <w:tcW w:w="1340" w:type="dxa"/>
            <w:vAlign w:val="bottom"/>
            <w:gridSpan w:val="2"/>
            <w:shd w:val="clear" w:color="auto" w:fill="CFF0FC"/>
          </w:tcPr>
          <w:p>
            <w:pPr>
              <w:jc w:val="right"/>
              <w:ind w:right="10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188,060</w:t>
            </w:r>
          </w:p>
        </w:tc>
      </w:tr>
      <w:tr>
        <w:trPr>
          <w:trHeight w:val="177"/>
        </w:trPr>
        <w:tc>
          <w:tcPr>
            <w:tcW w:w="7320" w:type="dxa"/>
            <w:vAlign w:val="bottom"/>
            <w:tcBorders>
              <w:top w:val="single" w:sz="8" w:color="CFF0FC"/>
            </w:tcBorders>
          </w:tcPr>
          <w:p>
            <w:pPr>
              <w:ind w:left="20"/>
              <w:spacing w:after="0"/>
              <w:rPr>
                <w:sz w:val="20"/>
                <w:szCs w:val="20"/>
                <w:color w:val="auto"/>
              </w:rPr>
            </w:pPr>
            <w:r>
              <w:rPr>
                <w:rFonts w:ascii="Arial" w:cs="Arial" w:eastAsia="Arial" w:hAnsi="Arial"/>
                <w:sz w:val="14"/>
                <w:szCs w:val="14"/>
                <w:b w:val="1"/>
                <w:bCs w:val="1"/>
                <w:color w:val="auto"/>
              </w:rPr>
              <w:t>Supplemental disclosure of non-cash activities</w:t>
            </w:r>
          </w:p>
        </w:tc>
        <w:tc>
          <w:tcPr>
            <w:tcW w:w="11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r>
      <w:tr>
        <w:trPr>
          <w:trHeight w:val="209"/>
        </w:trPr>
        <w:tc>
          <w:tcPr>
            <w:tcW w:w="73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Liability awards reclassification to equity</w:t>
            </w:r>
          </w:p>
        </w:tc>
        <w:tc>
          <w:tcPr>
            <w:tcW w:w="1160" w:type="dxa"/>
            <w:vAlign w:val="bottom"/>
            <w:shd w:val="clear" w:color="auto" w:fill="CFF0FC"/>
          </w:tcPr>
          <w:p>
            <w:pPr>
              <w:jc w:val="right"/>
              <w:ind w:right="988"/>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3,912</w:t>
            </w:r>
          </w:p>
        </w:tc>
        <w:tc>
          <w:tcPr>
            <w:tcW w:w="1340" w:type="dxa"/>
            <w:vAlign w:val="bottom"/>
            <w:gridSpan w:val="2"/>
            <w:shd w:val="clear" w:color="auto" w:fill="CFF0FC"/>
          </w:tcPr>
          <w:p>
            <w:pPr>
              <w:jc w:val="right"/>
              <w:ind w:right="10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r>
      <w:tr>
        <w:trPr>
          <w:trHeight w:val="196"/>
        </w:trPr>
        <w:tc>
          <w:tcPr>
            <w:tcW w:w="7320" w:type="dxa"/>
            <w:vAlign w:val="bottom"/>
          </w:tcPr>
          <w:p>
            <w:pPr>
              <w:ind w:left="200"/>
              <w:spacing w:after="0"/>
              <w:rPr>
                <w:sz w:val="20"/>
                <w:szCs w:val="20"/>
                <w:color w:val="auto"/>
              </w:rPr>
            </w:pPr>
            <w:r>
              <w:rPr>
                <w:rFonts w:ascii="Arial" w:cs="Arial" w:eastAsia="Arial" w:hAnsi="Arial"/>
                <w:sz w:val="14"/>
                <w:szCs w:val="14"/>
                <w:color w:val="auto"/>
              </w:rPr>
              <w:t>Dividends declared and unpaid</w:t>
            </w:r>
          </w:p>
        </w:tc>
        <w:tc>
          <w:tcPr>
            <w:tcW w:w="1160" w:type="dxa"/>
            <w:vAlign w:val="bottom"/>
          </w:tcPr>
          <w:p>
            <w:pPr>
              <w:jc w:val="right"/>
              <w:ind w:right="98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1,335</w:t>
            </w:r>
          </w:p>
        </w:tc>
        <w:tc>
          <w:tcPr>
            <w:tcW w:w="1340" w:type="dxa"/>
            <w:vAlign w:val="bottom"/>
            <w:gridSpan w:val="2"/>
          </w:tcPr>
          <w:p>
            <w:pPr>
              <w:jc w:val="right"/>
              <w:ind w:right="106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09"/>
        </w:trPr>
        <w:tc>
          <w:tcPr>
            <w:tcW w:w="73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Pending broker-to-broker trades</w:t>
            </w:r>
          </w:p>
        </w:tc>
        <w:tc>
          <w:tcPr>
            <w:tcW w:w="1160" w:type="dxa"/>
            <w:vAlign w:val="bottom"/>
            <w:shd w:val="clear" w:color="auto" w:fill="CFF0FC"/>
          </w:tcPr>
          <w:p>
            <w:pPr>
              <w:jc w:val="right"/>
              <w:ind w:right="988"/>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12,815</w:t>
            </w:r>
          </w:p>
        </w:tc>
        <w:tc>
          <w:tcPr>
            <w:tcW w:w="1340" w:type="dxa"/>
            <w:vAlign w:val="bottom"/>
            <w:gridSpan w:val="2"/>
            <w:shd w:val="clear" w:color="auto" w:fill="CFF0FC"/>
          </w:tcPr>
          <w:p>
            <w:pPr>
              <w:jc w:val="right"/>
              <w:ind w:right="10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r>
      <w:tr>
        <w:trPr>
          <w:trHeight w:val="196"/>
        </w:trPr>
        <w:tc>
          <w:tcPr>
            <w:tcW w:w="7320" w:type="dxa"/>
            <w:vAlign w:val="bottom"/>
          </w:tcPr>
          <w:p>
            <w:pPr>
              <w:ind w:left="200"/>
              <w:spacing w:after="0"/>
              <w:rPr>
                <w:sz w:val="20"/>
                <w:szCs w:val="20"/>
                <w:color w:val="auto"/>
              </w:rPr>
            </w:pPr>
            <w:r>
              <w:rPr>
                <w:rFonts w:ascii="Arial" w:cs="Arial" w:eastAsia="Arial" w:hAnsi="Arial"/>
                <w:sz w:val="14"/>
                <w:szCs w:val="14"/>
                <w:color w:val="auto"/>
              </w:rPr>
              <w:t>Lease liabilities arising from obtaining right-of-use lease assets</w:t>
            </w:r>
          </w:p>
        </w:tc>
        <w:tc>
          <w:tcPr>
            <w:tcW w:w="1160" w:type="dxa"/>
            <w:vAlign w:val="bottom"/>
          </w:tcPr>
          <w:p>
            <w:pPr>
              <w:jc w:val="right"/>
              <w:ind w:right="98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4,000</w:t>
            </w:r>
          </w:p>
        </w:tc>
        <w:tc>
          <w:tcPr>
            <w:tcW w:w="1340" w:type="dxa"/>
            <w:vAlign w:val="bottom"/>
            <w:gridSpan w:val="2"/>
          </w:tcPr>
          <w:p>
            <w:pPr>
              <w:jc w:val="right"/>
              <w:ind w:right="106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14,067</w:t>
            </w:r>
          </w:p>
        </w:tc>
      </w:tr>
      <w:tr>
        <w:trPr>
          <w:trHeight w:val="208"/>
        </w:trPr>
        <w:tc>
          <w:tcPr>
            <w:tcW w:w="73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Net assets of deconsolidated affiliate</w:t>
            </w:r>
          </w:p>
        </w:tc>
        <w:tc>
          <w:tcPr>
            <w:tcW w:w="1160" w:type="dxa"/>
            <w:vAlign w:val="bottom"/>
            <w:shd w:val="clear" w:color="auto" w:fill="CFF0FC"/>
          </w:tcPr>
          <w:p>
            <w:pPr>
              <w:jc w:val="right"/>
              <w:ind w:right="988"/>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394</w:t>
            </w:r>
          </w:p>
        </w:tc>
        <w:tc>
          <w:tcPr>
            <w:tcW w:w="1340" w:type="dxa"/>
            <w:vAlign w:val="bottom"/>
            <w:gridSpan w:val="2"/>
            <w:shd w:val="clear" w:color="auto" w:fill="CFF0FC"/>
          </w:tcPr>
          <w:p>
            <w:pPr>
              <w:jc w:val="right"/>
              <w:ind w:right="10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r>
      <w:tr>
        <w:trPr>
          <w:trHeight w:val="197"/>
        </w:trPr>
        <w:tc>
          <w:tcPr>
            <w:tcW w:w="7320" w:type="dxa"/>
            <w:vAlign w:val="bottom"/>
          </w:tcPr>
          <w:p>
            <w:pPr>
              <w:ind w:left="20"/>
              <w:spacing w:after="0"/>
              <w:rPr>
                <w:sz w:val="20"/>
                <w:szCs w:val="20"/>
                <w:color w:val="auto"/>
              </w:rPr>
            </w:pPr>
            <w:r>
              <w:rPr>
                <w:rFonts w:ascii="Arial" w:cs="Arial" w:eastAsia="Arial" w:hAnsi="Arial"/>
                <w:sz w:val="14"/>
                <w:szCs w:val="14"/>
                <w:b w:val="1"/>
                <w:bCs w:val="1"/>
                <w:color w:val="auto"/>
              </w:rPr>
              <w:t>Supplemental disclosures of cash flow information</w:t>
            </w:r>
          </w:p>
        </w:tc>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8"/>
        </w:trPr>
        <w:tc>
          <w:tcPr>
            <w:tcW w:w="73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Cash paid for income taxes</w:t>
            </w:r>
          </w:p>
        </w:tc>
        <w:tc>
          <w:tcPr>
            <w:tcW w:w="1160" w:type="dxa"/>
            <w:vAlign w:val="bottom"/>
            <w:shd w:val="clear" w:color="auto" w:fill="CFF0FC"/>
          </w:tcPr>
          <w:p>
            <w:pPr>
              <w:jc w:val="right"/>
              <w:ind w:right="988"/>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3,660</w:t>
            </w:r>
          </w:p>
        </w:tc>
        <w:tc>
          <w:tcPr>
            <w:tcW w:w="1340" w:type="dxa"/>
            <w:vAlign w:val="bottom"/>
            <w:gridSpan w:val="2"/>
            <w:shd w:val="clear" w:color="auto" w:fill="CFF0FC"/>
          </w:tcPr>
          <w:p>
            <w:pPr>
              <w:jc w:val="right"/>
              <w:ind w:right="10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2,269</w:t>
            </w:r>
          </w:p>
        </w:tc>
      </w:tr>
      <w:tr>
        <w:trPr>
          <w:trHeight w:val="191"/>
        </w:trPr>
        <w:tc>
          <w:tcPr>
            <w:tcW w:w="7320" w:type="dxa"/>
            <w:vAlign w:val="bottom"/>
          </w:tcPr>
          <w:p>
            <w:pPr>
              <w:ind w:left="200"/>
              <w:spacing w:after="0"/>
              <w:rPr>
                <w:sz w:val="20"/>
                <w:szCs w:val="20"/>
                <w:color w:val="auto"/>
              </w:rPr>
            </w:pPr>
            <w:r>
              <w:rPr>
                <w:rFonts w:ascii="Arial" w:cs="Arial" w:eastAsia="Arial" w:hAnsi="Arial"/>
                <w:sz w:val="14"/>
                <w:szCs w:val="14"/>
                <w:color w:val="auto"/>
              </w:rPr>
              <w:t>Cash paid for interest</w:t>
            </w:r>
          </w:p>
        </w:tc>
        <w:tc>
          <w:tcPr>
            <w:tcW w:w="1160" w:type="dxa"/>
            <w:vAlign w:val="bottom"/>
          </w:tcPr>
          <w:p>
            <w:pPr>
              <w:jc w:val="right"/>
              <w:ind w:right="98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5,483</w:t>
            </w:r>
          </w:p>
        </w:tc>
        <w:tc>
          <w:tcPr>
            <w:tcW w:w="1340" w:type="dxa"/>
            <w:vAlign w:val="bottom"/>
            <w:gridSpan w:val="2"/>
          </w:tcPr>
          <w:p>
            <w:pPr>
              <w:jc w:val="right"/>
              <w:ind w:right="106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8,935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5829935</wp:posOffset>
            </wp:positionH>
            <wp:positionV relativeFrom="paragraph">
              <wp:posOffset>-4204970</wp:posOffset>
            </wp:positionV>
            <wp:extent cx="145415" cy="1625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145415" cy="16256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-3529330</wp:posOffset>
            </wp:positionV>
            <wp:extent cx="120015"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-1711960</wp:posOffset>
            </wp:positionV>
            <wp:extent cx="120015"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-1174750</wp:posOffset>
            </wp:positionV>
            <wp:extent cx="12001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-1157605</wp:posOffset>
            </wp:positionV>
            <wp:extent cx="12001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 (unaudited).</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 w:name="page12"/>
    <w:bookmarkEnd w:id="11"/>
    <w:p>
      <w:pPr>
        <w:ind w:left="4580"/>
        <w:spacing w:after="0"/>
        <w:rPr>
          <w:sz w:val="20"/>
          <w:szCs w:val="20"/>
          <w:color w:val="auto"/>
        </w:rPr>
      </w:pPr>
      <w:r>
        <w:rPr>
          <w:rFonts w:ascii="Arial" w:cs="Arial" w:eastAsia="Arial" w:hAnsi="Arial"/>
          <w:sz w:val="18"/>
          <w:szCs w:val="18"/>
          <w:b w:val="1"/>
          <w:bCs w:val="1"/>
          <w:color w:val="auto"/>
        </w:rPr>
        <w:t>Perella Weinberg Partners</w:t>
      </w:r>
    </w:p>
    <w:p>
      <w:pPr>
        <w:spacing w:after="0" w:line="7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Nature of Business</w:t>
      </w:r>
    </w:p>
    <w:p>
      <w:pPr>
        <w:spacing w:after="0" w:line="243" w:lineRule="exact"/>
        <w:rPr>
          <w:sz w:val="20"/>
          <w:szCs w:val="20"/>
          <w:color w:val="auto"/>
        </w:rPr>
      </w:pPr>
    </w:p>
    <w:p>
      <w:pPr>
        <w:jc w:val="both"/>
        <w:ind w:firstLine="464"/>
        <w:spacing w:after="0" w:line="272" w:lineRule="auto"/>
        <w:rPr>
          <w:sz w:val="20"/>
          <w:szCs w:val="20"/>
          <w:color w:val="auto"/>
        </w:rPr>
      </w:pPr>
      <w:r>
        <w:rPr>
          <w:rFonts w:ascii="Arial" w:cs="Arial" w:eastAsia="Arial" w:hAnsi="Arial"/>
          <w:sz w:val="18"/>
          <w:szCs w:val="18"/>
          <w:color w:val="auto"/>
        </w:rPr>
        <w:t>Perella Weinberg Partners and its consolidated subsidiaries, including PWP Holdings LP (“PWP OpCo”) (collectively, “PWP” and the “Company”), is a global independent advisory firm that provides strategic and financial advice to a wide range of clients. The Company’s activities as an investment banking advisory firm constitute a single business segment that provides a range of advisory services related to mission-critical strategic and financial decisions, mergers and acquisitions advice and execution, capital markets advisory, shareholder and defense advisory, capital structure and restructuring, underwriting, equity research and private capital raising.</w:t>
      </w:r>
    </w:p>
    <w:p>
      <w:pPr>
        <w:spacing w:after="0" w:line="191" w:lineRule="exact"/>
        <w:rPr>
          <w:sz w:val="20"/>
          <w:szCs w:val="20"/>
          <w:color w:val="auto"/>
        </w:rPr>
      </w:pPr>
    </w:p>
    <w:p>
      <w:pPr>
        <w:jc w:val="both"/>
        <w:ind w:firstLine="464"/>
        <w:spacing w:after="0" w:line="299" w:lineRule="auto"/>
        <w:rPr>
          <w:sz w:val="20"/>
          <w:szCs w:val="20"/>
          <w:color w:val="auto"/>
        </w:rPr>
      </w:pPr>
      <w:r>
        <w:rPr>
          <w:rFonts w:ascii="Arial" w:cs="Arial" w:eastAsia="Arial" w:hAnsi="Arial"/>
          <w:sz w:val="16"/>
          <w:szCs w:val="16"/>
          <w:color w:val="auto"/>
        </w:rPr>
        <w:t>Perella Weinberg Partners (formerly known as FinTech Acquisition Corp. IV (“FTIV”)) was incorporated in Delaware on November 20, 2018 as a special purpose acquisition company for the purpose of acquiring through a merger, capital stock exchange, asset acquisition, stock purchase, reorganization or other similar business transaction, one or more businesses or assets. On June 24, 2021 (the “Closing Date” or “Closing”), the Company consummated its previously announced business combination pursuant to that certain Business Combination Agreement, dated as of December 29, 2020, by and among FTIV, FinTech Investor Holdings IV, LLC, FinTech Masala Advisors, LLC (together with FinTech Investor Holdings IV, LLC, the “Sponsor”), PWP OpCo, PWP GP LLC, PWP Professional Partners LP (“Professional Partners”), and Perella Weinberg Partners LLC (“Professionals GP”) (the “Business Combination Agreement”). As contemplated by the Business Combination Agreement, (i) FTIV acquired certain partnership interests in PWP OpCo, (ii) PWP OpCo became jointly-owned by Perella Weinberg Partners, Professional Partners and certain existing partners of PWP OpCo, and</w:t>
      </w:r>
    </w:p>
    <w:p>
      <w:pPr>
        <w:spacing w:after="0" w:line="3" w:lineRule="exact"/>
        <w:rPr>
          <w:sz w:val="20"/>
          <w:szCs w:val="20"/>
          <w:color w:val="auto"/>
        </w:rPr>
      </w:pPr>
    </w:p>
    <w:p>
      <w:pPr>
        <w:jc w:val="both"/>
        <w:ind w:firstLine="8"/>
        <w:spacing w:after="0" w:line="279" w:lineRule="auto"/>
        <w:tabs>
          <w:tab w:leader="none" w:pos="317" w:val="left"/>
        </w:tabs>
        <w:numPr>
          <w:ilvl w:val="0"/>
          <w:numId w:val="6"/>
        </w:numPr>
        <w:rPr>
          <w:rFonts w:ascii="Arial" w:cs="Arial" w:eastAsia="Arial" w:hAnsi="Arial"/>
          <w:sz w:val="18"/>
          <w:szCs w:val="18"/>
          <w:color w:val="auto"/>
        </w:rPr>
      </w:pPr>
      <w:r>
        <w:rPr>
          <w:rFonts w:ascii="Arial" w:cs="Arial" w:eastAsia="Arial" w:hAnsi="Arial"/>
          <w:sz w:val="18"/>
          <w:szCs w:val="18"/>
          <w:color w:val="auto"/>
        </w:rPr>
        <w:t>PWP OpCo serves as the Company’s operating partnership as part of an umbrella limited partnership C-corporation (Up-C) structure (collectively with the other transactions contemplated by the Business Combination Agreement, the “Business Combination”). See Note 3 – Business Combination for additional discussion related to the transaction.</w:t>
      </w:r>
    </w:p>
    <w:p>
      <w:pPr>
        <w:spacing w:after="0" w:line="182" w:lineRule="exact"/>
        <w:rPr>
          <w:sz w:val="20"/>
          <w:szCs w:val="20"/>
          <w:color w:val="auto"/>
        </w:rPr>
      </w:pPr>
    </w:p>
    <w:p>
      <w:pPr>
        <w:jc w:val="both"/>
        <w:ind w:firstLine="464"/>
        <w:spacing w:after="0" w:line="271" w:lineRule="auto"/>
        <w:rPr>
          <w:sz w:val="20"/>
          <w:szCs w:val="20"/>
          <w:color w:val="auto"/>
        </w:rPr>
      </w:pPr>
      <w:r>
        <w:rPr>
          <w:rFonts w:ascii="Arial" w:cs="Arial" w:eastAsia="Arial" w:hAnsi="Arial"/>
          <w:sz w:val="18"/>
          <w:szCs w:val="18"/>
          <w:color w:val="auto"/>
        </w:rPr>
        <w:t>The operations of PWP OpCo are conducted through a wholly-owned subsidiary, Perella Weinberg Partners Group LP (“PWP Group”), and its subsidiaries which are consolidated in these financial statements. PWP GP LLC is the general partner that controls PWP OpCo. The limited partner interests of PWP OpCo are held by Investor Limited Partners (the “ILPs”) and Professional Partners. The Company shareholders are entitled to receive a portion of PWP OpCo’s economics through their direct ownership interests in shares of Class A common stock of PWP. The non-controlling interest owners of PWP OpCo receive economics through ownership of PWP OpCo Class A partnership units (“PWP OpCo Units”). See Note 11 – Stockholders’ Equity for additional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 Transactions</w:t>
      </w:r>
    </w:p>
    <w:p>
      <w:pPr>
        <w:spacing w:after="0" w:line="239"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8"/>
          <w:szCs w:val="18"/>
          <w:color w:val="auto"/>
        </w:rPr>
        <w:t>PWP OpCo was formed under Delaware law on November 30, 2016 in conjunction with a business combination between NoCo A L.P. and Tudor, Pickering, Holt &amp; Co., LLC. Prior to February 28, 2019, PWP OpCo owned and operated two distinct businesses: investment banking advisory (“Advisory business”) and asset management (“Asset Management business”).</w:t>
      </w:r>
    </w:p>
    <w:p>
      <w:pPr>
        <w:spacing w:after="0" w:line="183" w:lineRule="exact"/>
        <w:rPr>
          <w:sz w:val="20"/>
          <w:szCs w:val="20"/>
          <w:color w:val="auto"/>
        </w:rPr>
      </w:pPr>
    </w:p>
    <w:p>
      <w:pPr>
        <w:jc w:val="both"/>
        <w:ind w:firstLine="469"/>
        <w:spacing w:after="0" w:line="271" w:lineRule="auto"/>
        <w:rPr>
          <w:sz w:val="20"/>
          <w:szCs w:val="20"/>
          <w:color w:val="auto"/>
        </w:rPr>
      </w:pPr>
      <w:r>
        <w:rPr>
          <w:rFonts w:ascii="Arial" w:cs="Arial" w:eastAsia="Arial" w:hAnsi="Arial"/>
          <w:sz w:val="18"/>
          <w:szCs w:val="18"/>
          <w:color w:val="auto"/>
        </w:rPr>
        <w:t>On February 28, 2019 (the “Separation Date”), a reorganization of the existing Advisory and Asset Management businesses of PWP Holdings LP was effected which resulted in the spin-off of its Asset Management business (the “Separation”). PWP Holdings LP was divided into (i) PWP OpCo, which holds the former Advisory business and (ii) PWP Capital Holdings LP, which holds the former Asset Management business. In connection with the Separation, the net assets primarily related to the Asset Management business were allocated to PWP Capital Holdings LP and the net assets primarily related to the Advisory business were allocated to PWP OpCo. Subsequent to the Separation, the ILPs and Professional Partners hold equity in both PWP OpCo and PWP Capital Holdings LP.</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39" w:lineRule="exact"/>
        <w:rPr>
          <w:sz w:val="20"/>
          <w:szCs w:val="20"/>
          <w:color w:val="auto"/>
        </w:rPr>
      </w:pPr>
    </w:p>
    <w:p>
      <w:pPr>
        <w:jc w:val="both"/>
        <w:ind w:firstLine="464"/>
        <w:spacing w:after="0" w:line="293" w:lineRule="auto"/>
        <w:rPr>
          <w:sz w:val="20"/>
          <w:szCs w:val="20"/>
          <w:color w:val="auto"/>
        </w:rPr>
      </w:pPr>
      <w:r>
        <w:rPr>
          <w:rFonts w:ascii="Arial" w:cs="Arial" w:eastAsia="Arial" w:hAnsi="Arial"/>
          <w:sz w:val="18"/>
          <w:szCs w:val="18"/>
          <w:color w:val="auto"/>
        </w:rPr>
        <w:t>The unaudited condensed consolidated financial statements reflect the financial condition, results of operations and cash flows of the Company and have been prepared in accordance with generally accepted accounting principles in the United States (“U.S. GAAP”).</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2" w:name="page13"/>
    <w:bookmarkEnd w:id="12"/>
    <w:p>
      <w:pPr>
        <w:ind w:left="4580"/>
        <w:spacing w:after="0"/>
        <w:rPr>
          <w:sz w:val="20"/>
          <w:szCs w:val="20"/>
          <w:color w:val="auto"/>
        </w:rPr>
      </w:pPr>
      <w:r>
        <w:rPr>
          <w:rFonts w:ascii="Arial" w:cs="Arial" w:eastAsia="Arial" w:hAnsi="Arial"/>
          <w:sz w:val="18"/>
          <w:szCs w:val="18"/>
          <w:b w:val="1"/>
          <w:bCs w:val="1"/>
          <w:color w:val="auto"/>
        </w:rPr>
        <w:t>Perella Weinberg Partners</w:t>
      </w:r>
    </w:p>
    <w:p>
      <w:pPr>
        <w:spacing w:after="0" w:line="7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313" w:lineRule="exact"/>
        <w:rPr>
          <w:sz w:val="20"/>
          <w:szCs w:val="20"/>
          <w:color w:val="auto"/>
        </w:rPr>
      </w:pPr>
    </w:p>
    <w:p>
      <w:pPr>
        <w:jc w:val="both"/>
        <w:ind w:firstLine="464"/>
        <w:spacing w:after="0" w:line="271" w:lineRule="auto"/>
        <w:rPr>
          <w:sz w:val="20"/>
          <w:szCs w:val="20"/>
          <w:color w:val="auto"/>
        </w:rPr>
      </w:pPr>
      <w:r>
        <w:rPr>
          <w:rFonts w:ascii="Arial" w:cs="Arial" w:eastAsia="Arial" w:hAnsi="Arial"/>
          <w:sz w:val="18"/>
          <w:szCs w:val="18"/>
          <w:color w:val="auto"/>
        </w:rPr>
        <w:t>The Business Combination was treated as a reverse recapitalization transaction between entities under common control, whereby PWP OpCo was considered the accounting acquirer and predecessor entity and therefore recognized the carrying value of the net assets of FTIV as an equity contribution with no incremental goodwill or intangible assets. The historical operations of PWP OpCo are deemed to be those of the Company. Thus, the condensed consolidated financial statements included in this Quarterly Report on Form 10-Q reflect (i) the historical operating results of PWP OpCo prior to the Business Combination and (ii) the combined results of the Company following the Business Combination. See Note 3 – Business Combination for additional discussion related to the transaction.</w:t>
      </w:r>
    </w:p>
    <w:p>
      <w:pPr>
        <w:spacing w:after="0" w:line="191" w:lineRule="exact"/>
        <w:rPr>
          <w:sz w:val="20"/>
          <w:szCs w:val="20"/>
          <w:color w:val="auto"/>
        </w:rPr>
      </w:pPr>
    </w:p>
    <w:p>
      <w:pPr>
        <w:jc w:val="both"/>
        <w:ind w:firstLine="518"/>
        <w:spacing w:after="0" w:line="288" w:lineRule="auto"/>
        <w:rPr>
          <w:sz w:val="20"/>
          <w:szCs w:val="20"/>
          <w:color w:val="auto"/>
        </w:rPr>
      </w:pPr>
      <w:r>
        <w:rPr>
          <w:rFonts w:ascii="Arial" w:cs="Arial" w:eastAsia="Arial" w:hAnsi="Arial"/>
          <w:sz w:val="17"/>
          <w:szCs w:val="17"/>
          <w:color w:val="auto"/>
        </w:rPr>
        <w:t>These condensed consolidated financial statements and notes thereto are unaudited, and as permitted by the interim reporting rules and regulations set forth by the Securities and Exchange Commission (the “SEC”), exclude certain financial information and note disclosures normally included in annual audited financial statements prepared in accordance with U.S. GAAP. Accordingly, these condensed consolidated financial statements should be read in conjunction with the audited consolidated financial statements for the year ended December 31, 2020 included in the Company’s definitive proxy statement, dated May 27, 2021 (as amended or supplemented, including the filing of definitive additional materials, the “Proxy Statement”). The condensed consolidated financial statements reflect all material adjustments of a normal recurring nature that, in the opinion of management, are necessary for a fair presentation of the results for the interim periods.</w:t>
      </w:r>
    </w:p>
    <w:p>
      <w:pPr>
        <w:spacing w:after="0" w:line="181" w:lineRule="exact"/>
        <w:rPr>
          <w:sz w:val="20"/>
          <w:szCs w:val="20"/>
          <w:color w:val="auto"/>
        </w:rPr>
      </w:pPr>
    </w:p>
    <w:p>
      <w:pPr>
        <w:jc w:val="both"/>
        <w:ind w:firstLine="469"/>
        <w:spacing w:after="0" w:line="293" w:lineRule="auto"/>
        <w:rPr>
          <w:sz w:val="20"/>
          <w:szCs w:val="20"/>
          <w:color w:val="auto"/>
        </w:rPr>
      </w:pPr>
      <w:r>
        <w:rPr>
          <w:rFonts w:ascii="Arial" w:cs="Arial" w:eastAsia="Arial" w:hAnsi="Arial"/>
          <w:sz w:val="18"/>
          <w:szCs w:val="18"/>
          <w:color w:val="auto"/>
        </w:rPr>
        <w:t>All intercompany balances and transactions between the consolidated subsidiaries comprising the Company have been eliminated in the accompanying condensed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39" w:lineRule="exact"/>
        <w:rPr>
          <w:sz w:val="20"/>
          <w:szCs w:val="20"/>
          <w:color w:val="auto"/>
        </w:rPr>
      </w:pPr>
    </w:p>
    <w:p>
      <w:pPr>
        <w:jc w:val="both"/>
        <w:ind w:firstLine="464"/>
        <w:spacing w:after="0" w:line="272" w:lineRule="auto"/>
        <w:rPr>
          <w:sz w:val="20"/>
          <w:szCs w:val="20"/>
          <w:color w:val="auto"/>
        </w:rPr>
      </w:pPr>
      <w:r>
        <w:rPr>
          <w:rFonts w:ascii="Arial" w:cs="Arial" w:eastAsia="Arial" w:hAnsi="Arial"/>
          <w:sz w:val="18"/>
          <w:szCs w:val="18"/>
          <w:color w:val="auto"/>
        </w:rPr>
        <w:t>The preparation of the condensed consolidated financial statements and related disclosures in accordance with U.S.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Actual results could differ from those estimates. Estimates and the assumptions underlying these estimates are reviewed periodically, and the effects of revisions are reflected in the period in which they are determined to be necessary.</w:t>
      </w:r>
    </w:p>
    <w:p>
      <w:pPr>
        <w:spacing w:after="0" w:line="19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 preparing the condensed consolidated financial statements, management makes estimates regarding the following:</w:t>
      </w:r>
    </w:p>
    <w:p>
      <w:pPr>
        <w:spacing w:after="0" w:line="14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adequacy of the allowance for credit losses;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measurement and realization of deferred taxes;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measurement of equity-based awards;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evaluation of goodwill and intangible assets;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fair value measurement of financial instruments; and</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7"/>
          <w:szCs w:val="17"/>
          <w:color w:val="auto"/>
        </w:rPr>
        <w:t>other matters that affect the reported amounts and disclosures of contingencies in the condensed consolidated financial statements.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239"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8"/>
          <w:szCs w:val="18"/>
          <w:color w:val="auto"/>
        </w:rPr>
        <w:t>Cash and cash equivalents includes cash and highly liquid investments with original maturities of three months or less from the date of purchase. As of September 30, 2021 and December 31, 2020, the Company had no cash equivalents. The Company maintains cash with banks and brokerage firms, which from time to time may exceed federally insured limits.</w:t>
      </w:r>
    </w:p>
    <w:p>
      <w:pPr>
        <w:spacing w:after="0" w:line="183"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8"/>
          <w:szCs w:val="18"/>
          <w:color w:val="auto"/>
        </w:rPr>
        <w:t>Restricted cash represents cash that is not readily available for general purpose cash needs. As of both September 30, 2021 and December 31, 2020, the Company had restricted cash of $1.8 million maintained as collateral for letters of credit related to the Company’s New York City and Paris office leases.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3" w:name="page14"/>
    <w:bookmarkEnd w:id="13"/>
    <w:p>
      <w:pPr>
        <w:ind w:left="4580"/>
        <w:spacing w:after="0"/>
        <w:rPr>
          <w:sz w:val="20"/>
          <w:szCs w:val="20"/>
          <w:color w:val="auto"/>
        </w:rPr>
      </w:pPr>
      <w:r>
        <w:rPr>
          <w:rFonts w:ascii="Arial" w:cs="Arial" w:eastAsia="Arial" w:hAnsi="Arial"/>
          <w:sz w:val="18"/>
          <w:szCs w:val="18"/>
          <w:b w:val="1"/>
          <w:bCs w:val="1"/>
          <w:color w:val="auto"/>
        </w:rPr>
        <w:t>Perella Weinberg Partners</w:t>
      </w:r>
    </w:p>
    <w:p>
      <w:pPr>
        <w:spacing w:after="0" w:line="7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313" w:lineRule="exact"/>
        <w:rPr>
          <w:sz w:val="20"/>
          <w:szCs w:val="20"/>
          <w:color w:val="auto"/>
        </w:rPr>
      </w:pPr>
    </w:p>
    <w:p>
      <w:pPr>
        <w:ind w:left="480"/>
        <w:spacing w:after="0"/>
        <w:rPr>
          <w:sz w:val="20"/>
          <w:szCs w:val="20"/>
          <w:color w:val="auto"/>
        </w:rPr>
      </w:pPr>
      <w:r>
        <w:rPr>
          <w:rFonts w:ascii="Arial" w:cs="Arial" w:eastAsia="Arial" w:hAnsi="Arial"/>
          <w:sz w:val="16"/>
          <w:szCs w:val="16"/>
          <w:color w:val="auto"/>
        </w:rPr>
        <w:t>A reconciliation of the Company’s cash, cash equivalents and restricted cash as of September 30, 2021 and September 30, 2020 is presented below:</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74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September 30,</w:t>
            </w:r>
          </w:p>
        </w:tc>
        <w:tc>
          <w:tcPr>
            <w:tcW w:w="1160" w:type="dxa"/>
            <w:vAlign w:val="bottom"/>
            <w:tcBorders>
              <w:bottom w:val="single" w:sz="8" w:color="auto"/>
            </w:tcBorders>
          </w:tcPr>
          <w:p>
            <w:pPr>
              <w:spacing w:after="0"/>
              <w:rPr>
                <w:sz w:val="20"/>
                <w:szCs w:val="20"/>
                <w:color w:val="auto"/>
              </w:rPr>
            </w:pPr>
          </w:p>
        </w:tc>
      </w:tr>
      <w:tr>
        <w:trPr>
          <w:trHeight w:val="263"/>
        </w:trPr>
        <w:tc>
          <w:tcPr>
            <w:tcW w:w="774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72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r>
      <w:tr>
        <w:trPr>
          <w:trHeight w:val="28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w:t>
            </w:r>
          </w:p>
        </w:tc>
        <w:tc>
          <w:tcPr>
            <w:tcW w:w="960" w:type="dxa"/>
            <w:vAlign w:val="bottom"/>
            <w:shd w:val="clear" w:color="auto" w:fill="CFF0FC"/>
          </w:tcPr>
          <w:p>
            <w:pPr>
              <w:jc w:val="right"/>
              <w:ind w:right="77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89"/>
              </w:rPr>
              <w:t>415,839</w:t>
            </w:r>
          </w:p>
        </w:tc>
        <w:tc>
          <w:tcPr>
            <w:tcW w:w="66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186,225</w:t>
            </w:r>
          </w:p>
        </w:tc>
      </w:tr>
      <w:tr>
        <w:trPr>
          <w:trHeight w:val="277"/>
        </w:trPr>
        <w:tc>
          <w:tcPr>
            <w:tcW w:w="774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960" w:type="dxa"/>
            <w:vAlign w:val="bottom"/>
          </w:tcPr>
          <w:p>
            <w:pPr>
              <w:spacing w:after="0"/>
              <w:rPr>
                <w:sz w:val="24"/>
                <w:szCs w:val="24"/>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84"/>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Restricted cash</w:t>
            </w:r>
          </w:p>
        </w:tc>
        <w:tc>
          <w:tcPr>
            <w:tcW w:w="960" w:type="dxa"/>
            <w:vAlign w:val="bottom"/>
            <w:tcBorders>
              <w:bottom w:val="single" w:sz="8" w:color="auto"/>
            </w:tcBorders>
            <w:shd w:val="clear" w:color="auto" w:fill="CFF0FC"/>
          </w:tcPr>
          <w:p>
            <w:pPr>
              <w:spacing w:after="0"/>
              <w:rPr>
                <w:sz w:val="24"/>
                <w:szCs w:val="24"/>
                <w:color w:val="auto"/>
              </w:rPr>
            </w:pP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1,835</w:t>
            </w:r>
          </w:p>
        </w:tc>
        <w:tc>
          <w:tcPr>
            <w:tcW w:w="160" w:type="dxa"/>
            <w:vAlign w:val="bottom"/>
            <w:shd w:val="clear" w:color="auto" w:fill="CFF0FC"/>
          </w:tcPr>
          <w:p>
            <w:pPr>
              <w:spacing w:after="0"/>
              <w:rPr>
                <w:sz w:val="24"/>
                <w:szCs w:val="24"/>
                <w:color w:val="auto"/>
              </w:rPr>
            </w:pPr>
          </w:p>
        </w:tc>
        <w:tc>
          <w:tcPr>
            <w:tcW w:w="500" w:type="dxa"/>
            <w:vAlign w:val="bottom"/>
            <w:tcBorders>
              <w:bottom w:val="single" w:sz="8" w:color="auto"/>
            </w:tcBorders>
            <w:shd w:val="clear" w:color="auto" w:fill="CFF0FC"/>
          </w:tcPr>
          <w:p>
            <w:pPr>
              <w:spacing w:after="0"/>
              <w:rPr>
                <w:sz w:val="24"/>
                <w:szCs w:val="24"/>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1,835</w:t>
            </w:r>
          </w:p>
        </w:tc>
      </w:tr>
      <w:tr>
        <w:trPr>
          <w:trHeight w:val="283"/>
        </w:trPr>
        <w:tc>
          <w:tcPr>
            <w:tcW w:w="774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as shown on statements of cash flows</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w w:val="89"/>
              </w:rPr>
              <w:t>417,674</w:t>
            </w:r>
          </w:p>
        </w:tc>
        <w:tc>
          <w:tcPr>
            <w:tcW w:w="6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188,060</w:t>
            </w:r>
          </w:p>
        </w:tc>
      </w:tr>
      <w:tr>
        <w:trPr>
          <w:trHeight w:val="20"/>
        </w:trPr>
        <w:tc>
          <w:tcPr>
            <w:tcW w:w="77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39" w:lineRule="exact"/>
        <w:rPr>
          <w:sz w:val="20"/>
          <w:szCs w:val="20"/>
          <w:color w:val="auto"/>
        </w:rPr>
      </w:pPr>
    </w:p>
    <w:p>
      <w:pPr>
        <w:jc w:val="both"/>
        <w:ind w:firstLine="464"/>
        <w:spacing w:after="0" w:line="292" w:lineRule="auto"/>
        <w:rPr>
          <w:sz w:val="20"/>
          <w:szCs w:val="20"/>
          <w:color w:val="auto"/>
        </w:rPr>
      </w:pPr>
      <w:r>
        <w:rPr>
          <w:rFonts w:ascii="Arial" w:cs="Arial" w:eastAsia="Arial" w:hAnsi="Arial"/>
          <w:sz w:val="17"/>
          <w:szCs w:val="17"/>
          <w:color w:val="auto"/>
        </w:rPr>
        <w:t>Accounts receivable are presented net of allowance for credit losses based on the Company’s assessment of collectability. The Company regularly reviews its accounts receivable for collectability and an allowance is recognized for credit losses, if required. As of September 30, 2021 and December 31, 2020, $47.9 million and $5.1 million, respectively, of accrued revenue was included in Accounts receivable, net of allowance on the Condensed Consolidated Statements of Financial Condition. Accrued revenue represents amounts due from clients and recognized as revenue in accordance with the Company’s revenue recognition policies but unbilled as of September 30, 2021 and December 31, 2020.</w:t>
      </w:r>
    </w:p>
    <w:p>
      <w:pPr>
        <w:spacing w:after="0" w:line="174" w:lineRule="exact"/>
        <w:rPr>
          <w:sz w:val="20"/>
          <w:szCs w:val="20"/>
          <w:color w:val="auto"/>
        </w:rPr>
      </w:pPr>
    </w:p>
    <w:p>
      <w:pPr>
        <w:jc w:val="both"/>
        <w:ind w:firstLine="469"/>
        <w:spacing w:after="0" w:line="275" w:lineRule="auto"/>
        <w:rPr>
          <w:sz w:val="20"/>
          <w:szCs w:val="20"/>
          <w:color w:val="auto"/>
        </w:rPr>
      </w:pPr>
      <w:r>
        <w:rPr>
          <w:rFonts w:ascii="Arial" w:cs="Arial" w:eastAsia="Arial" w:hAnsi="Arial"/>
          <w:sz w:val="18"/>
          <w:szCs w:val="18"/>
          <w:color w:val="auto"/>
        </w:rPr>
        <w:t>Accounts receivable represents amounts due from clients from various industry and geographic backgrounds. As of September 30, 2021, certain accounts receivable in the aggregate amount of $26.5 million were individually greater than 10% of the Company’s total accounts receivable and were concentrated with one client. Of that amount, all was subsequently received after September 30, 2021. As of December 31, 2020, there were no accounts receivable individually greater than 10% of the Company’s total accounts receivable.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239"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8"/>
          <w:szCs w:val="18"/>
          <w:color w:val="auto"/>
        </w:rPr>
        <w:t xml:space="preserve">On January 1, 2020, the Company adopted Accounting Standards Update (“ASU”) No. 2016-13, </w:t>
      </w:r>
      <w:r>
        <w:rPr>
          <w:rFonts w:ascii="Arial" w:cs="Arial" w:eastAsia="Arial" w:hAnsi="Arial"/>
          <w:sz w:val="18"/>
          <w:szCs w:val="18"/>
          <w:i w:val="1"/>
          <w:iCs w:val="1"/>
          <w:color w:val="auto"/>
        </w:rPr>
        <w:t>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(“ASU 2016-13”), under the modified retrospective approach. This new standard replaces the incurred loss impairment methodology for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instruments with the current expected credit loss (“CECL”) model which requires an estimate of future credit losses.</w:t>
      </w:r>
    </w:p>
    <w:p>
      <w:pPr>
        <w:spacing w:after="0" w:line="183" w:lineRule="exact"/>
        <w:rPr>
          <w:sz w:val="20"/>
          <w:szCs w:val="20"/>
          <w:color w:val="auto"/>
        </w:rPr>
      </w:pPr>
    </w:p>
    <w:p>
      <w:pPr>
        <w:jc w:val="both"/>
        <w:ind w:firstLine="464"/>
        <w:spacing w:after="0" w:line="306" w:lineRule="auto"/>
        <w:rPr>
          <w:sz w:val="20"/>
          <w:szCs w:val="20"/>
          <w:color w:val="auto"/>
        </w:rPr>
      </w:pPr>
      <w:r>
        <w:rPr>
          <w:rFonts w:ascii="Arial" w:cs="Arial" w:eastAsia="Arial" w:hAnsi="Arial"/>
          <w:sz w:val="16"/>
          <w:szCs w:val="16"/>
          <w:color w:val="auto"/>
        </w:rPr>
        <w:t>The Company maintains an allowance for credit losses that, in management’s opinion, provides for an adequate reserve to cover estimated losses on accounts receivable. The Company determines the adequacy of the allowance by estimating the probability of loss based on the Company’s historical credit loss experience of its client receivables and taking into consideration current market conditions and supportable forecasts that affect the collectability of the reported amount. The Company updates its average credit loss rates periodically and maintains a quarterly allowance review process to consider current factors that would require an adjustment to the credit loss allowance. In addition, the Company periodically performs a qualitative assessment to monitor risks associated with current and forecasted conditions that may require an adjustment to the expected credit loss rates. The Company also regularly reviews the age of the receivables, credit worthiness of the client and the current economic conditions that may affect a client’s ability to pay such amounts owed to the Company and as a result, may recognize a specific credit loss reserve. Changes to expected credit losses during the period are included in General, administrative and other expenses in the Condensed Consolidated Statements of Operations. After concluding that a reserved accounts receivable is no longer collectible, the Company reduces both the gross receivable and the allowance for credit losses.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4" w:name="page15"/>
    <w:bookmarkEnd w:id="14"/>
    <w:p>
      <w:pPr>
        <w:ind w:left="4580"/>
        <w:spacing w:after="0"/>
        <w:rPr>
          <w:sz w:val="20"/>
          <w:szCs w:val="20"/>
          <w:color w:val="auto"/>
        </w:rPr>
      </w:pPr>
      <w:r>
        <w:rPr>
          <w:rFonts w:ascii="Arial" w:cs="Arial" w:eastAsia="Arial" w:hAnsi="Arial"/>
          <w:sz w:val="18"/>
          <w:szCs w:val="18"/>
          <w:b w:val="1"/>
          <w:bCs w:val="1"/>
          <w:color w:val="auto"/>
        </w:rPr>
        <w:t>Perella Weinberg Partners</w:t>
      </w:r>
    </w:p>
    <w:p>
      <w:pPr>
        <w:spacing w:after="0" w:line="7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w:t>
      </w:r>
    </w:p>
    <w:p>
      <w:pPr>
        <w:spacing w:after="0" w:line="239" w:lineRule="exact"/>
        <w:rPr>
          <w:sz w:val="20"/>
          <w:szCs w:val="20"/>
          <w:color w:val="auto"/>
        </w:rPr>
      </w:pPr>
    </w:p>
    <w:p>
      <w:pPr>
        <w:jc w:val="both"/>
        <w:ind w:firstLine="464"/>
        <w:spacing w:after="0" w:line="308" w:lineRule="auto"/>
        <w:rPr>
          <w:sz w:val="20"/>
          <w:szCs w:val="20"/>
          <w:color w:val="auto"/>
        </w:rPr>
      </w:pPr>
      <w:r>
        <w:rPr>
          <w:rFonts w:ascii="Arial" w:cs="Arial" w:eastAsia="Arial" w:hAnsi="Arial"/>
          <w:sz w:val="16"/>
          <w:szCs w:val="16"/>
          <w:color w:val="auto"/>
        </w:rPr>
        <w:t xml:space="preserve">The Company’s policy is to consolidate entities in which the </w:t>
      </w:r>
      <w:r>
        <w:rPr>
          <w:rFonts w:ascii="Arial" w:cs="Arial" w:eastAsia="Arial" w:hAnsi="Arial"/>
          <w:sz w:val="16"/>
          <w:szCs w:val="16"/>
          <w:color w:val="2F2F2F"/>
        </w:rPr>
        <w:t>Company</w:t>
      </w:r>
      <w:r>
        <w:rPr>
          <w:rFonts w:ascii="Arial" w:cs="Arial" w:eastAsia="Arial" w:hAnsi="Arial"/>
          <w:sz w:val="16"/>
          <w:szCs w:val="16"/>
          <w:color w:val="auto"/>
        </w:rPr>
        <w:t xml:space="preserve"> has a controlling financial interest and variable interest entities where the Company is deemed to be the primary beneficiary. The Company is deemed to be the primary beneficiary of a variable interest entity (“VIE”) when it has both (i) the power to make the decisions that most significantly affect the economic performance of the VIE and (ii) the obligation to absorb significant losses or the right to receive benefits that could potentially be significant to the VIE. PWP is the primary beneficiary of and consolidates PWP OpCo, a VIE. The assets and liabilities of PWP OpCo represent substantially all of the Company's consolidated assets and liabilities with the exception of certain cash, income taxes payable, and deferred tax balances as well as all amounts due pursuant to the tax receivable agreement. As of September 30, 2021 and December 31, 2020, the net assets of PWP OpCo were $259.9 million and $74.2 million, respectively. As of September 30, 2021 and December 31, 2020, the Company did not consolidate any VIEs other than PWP OpCo that were deemed material to the condensed consolidated financial statements.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Method Investments</w:t>
      </w:r>
    </w:p>
    <w:p>
      <w:pPr>
        <w:spacing w:after="0" w:line="239" w:lineRule="exact"/>
        <w:rPr>
          <w:sz w:val="20"/>
          <w:szCs w:val="20"/>
          <w:color w:val="auto"/>
        </w:rPr>
      </w:pPr>
    </w:p>
    <w:p>
      <w:pPr>
        <w:jc w:val="both"/>
        <w:ind w:firstLine="464"/>
        <w:spacing w:after="0" w:line="271" w:lineRule="auto"/>
        <w:rPr>
          <w:sz w:val="20"/>
          <w:szCs w:val="20"/>
          <w:color w:val="auto"/>
        </w:rPr>
      </w:pPr>
      <w:r>
        <w:rPr>
          <w:rFonts w:ascii="Arial" w:cs="Arial" w:eastAsia="Arial" w:hAnsi="Arial"/>
          <w:sz w:val="18"/>
          <w:szCs w:val="18"/>
          <w:color w:val="auto"/>
        </w:rPr>
        <w:t>When the Company does not have a controlling financial interest in an entity but exerts significant influence over the entity’s operating and financial decisions, the Company applies the equity method of accounting. The investment balance related to an equity method investee reflects the Company’s share of contributions made to, distributions received from, and the equity earnings and losses of the investee. Equity method investments are included within Prepaid expenses and other assets on the Condensed Consolidated Statements of Financial Condition. The Company reflects its share of income and losses of the investee in Other income (expense) on the Condensed Consolidated Statements of Operations using the most recently available earnings data for the reporting period.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Assets</w:t>
      </w:r>
    </w:p>
    <w:p>
      <w:pPr>
        <w:spacing w:after="0" w:line="239" w:lineRule="exact"/>
        <w:rPr>
          <w:sz w:val="20"/>
          <w:szCs w:val="20"/>
          <w:color w:val="auto"/>
        </w:rPr>
      </w:pPr>
    </w:p>
    <w:p>
      <w:pPr>
        <w:jc w:val="both"/>
        <w:ind w:firstLine="464"/>
        <w:spacing w:after="0" w:line="286" w:lineRule="auto"/>
        <w:rPr>
          <w:sz w:val="20"/>
          <w:szCs w:val="20"/>
          <w:color w:val="auto"/>
        </w:rPr>
      </w:pPr>
      <w:r>
        <w:rPr>
          <w:rFonts w:ascii="Arial" w:cs="Arial" w:eastAsia="Arial" w:hAnsi="Arial"/>
          <w:sz w:val="17"/>
          <w:szCs w:val="17"/>
          <w:color w:val="auto"/>
        </w:rPr>
        <w:t>The majority of Prepaid expenses and other assets consists of prepaid expenses, and from time to time, deferred offering costs and receivables from carrying brokers for unsettled trades as noted below. Prepaid expenses relate to various services, including subscriptions, software licenses and insurance, which are amortized over the life, related service period or policy. Deferred offering costs are associated with the reorganization and recapitalization efforts related to the pursuit of becoming a publicly traded company. The Company initially pursued a traditional initial public offering but later terminated this process in May 2020. Upon termination, the Company expensed all previously deferred offering costs totaling $14.8 million to Professional fees on the Condensed Consolidated Statements of Operations. Later in 2020, the Company reinitiated efforts of becoming a publicly traded company via the Business Combination and deferred certain offering costs until the Closing Date. These costs were netted against proceeds of the Business Combination on the Closing Date, and as such, no deferred offering costs are included within Prepaid expenses and other assets on the Condensed Consolidated Statements of Financial Condition as of September 30, 2021. As of December 31, 2020, cumulative offering costs of $9.1 million were deferred within Prepaid expenses and other assets.</w:t>
      </w:r>
    </w:p>
    <w:p>
      <w:pPr>
        <w:spacing w:after="0" w:line="182" w:lineRule="exact"/>
        <w:rPr>
          <w:sz w:val="20"/>
          <w:szCs w:val="20"/>
          <w:color w:val="auto"/>
        </w:rPr>
      </w:pPr>
    </w:p>
    <w:p>
      <w:pPr>
        <w:jc w:val="both"/>
        <w:ind w:firstLine="464"/>
        <w:spacing w:after="0" w:line="287" w:lineRule="auto"/>
        <w:rPr>
          <w:sz w:val="20"/>
          <w:szCs w:val="20"/>
          <w:color w:val="auto"/>
        </w:rPr>
      </w:pPr>
      <w:r>
        <w:rPr>
          <w:rFonts w:ascii="Arial" w:cs="Arial" w:eastAsia="Arial" w:hAnsi="Arial"/>
          <w:sz w:val="17"/>
          <w:szCs w:val="17"/>
          <w:color w:val="auto"/>
        </w:rPr>
        <w:t>Tudor, Pickering, Holt &amp; Co. Securities Canada, ULC (“TPH Canada”) executes certain client trades through a counterparty other than its carrying broker (referred to as “broker-to-broker trades”). Per the introducing broker agreement between TPH Canada and its carrying broker, TPH Canada assumes the risk of any failed obligations with respect to broker-to-broker trades and is required to reimburse the carrying broker for any loss which the carrying broker may sustain as a result of these trades. TPH Canada is deemed to be a principal with regards to broker-to-broker trades; and therefore, the value of unsettled broker-to-broker trades as of September 30, 2021 and December 31, 2020 in the amount of $12.8 million and $0.1 million, respectively, was recorded as a receivable from the carrying broker or other counterparty as well as a corresponding payable to the carrying broker or other counterparty, which were included in Prepaid expenses and other assets and Accounts payable, accrued expenses and other liabilities, respectively, on the Condensed Consolidated Statements of Financial Condition. Subsequent to September 30, 2021, these trades were settled and the related receivable and payable were derecognized.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5" w:name="page16"/>
    <w:bookmarkEnd w:id="15"/>
    <w:p>
      <w:pPr>
        <w:ind w:left="4580"/>
        <w:spacing w:after="0"/>
        <w:rPr>
          <w:sz w:val="20"/>
          <w:szCs w:val="20"/>
          <w:color w:val="auto"/>
        </w:rPr>
      </w:pPr>
      <w:r>
        <w:rPr>
          <w:rFonts w:ascii="Arial" w:cs="Arial" w:eastAsia="Arial" w:hAnsi="Arial"/>
          <w:sz w:val="18"/>
          <w:szCs w:val="18"/>
          <w:b w:val="1"/>
          <w:bCs w:val="1"/>
          <w:color w:val="auto"/>
        </w:rPr>
        <w:t>Perella Weinberg Partners</w:t>
      </w:r>
    </w:p>
    <w:p>
      <w:pPr>
        <w:spacing w:after="0" w:line="7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39" w:lineRule="exact"/>
        <w:rPr>
          <w:sz w:val="20"/>
          <w:szCs w:val="20"/>
          <w:color w:val="auto"/>
        </w:rPr>
      </w:pPr>
    </w:p>
    <w:p>
      <w:pPr>
        <w:jc w:val="both"/>
        <w:ind w:firstLine="464"/>
        <w:spacing w:after="0" w:line="271" w:lineRule="auto"/>
        <w:rPr>
          <w:sz w:val="20"/>
          <w:szCs w:val="20"/>
          <w:color w:val="auto"/>
        </w:rPr>
      </w:pPr>
      <w:r>
        <w:rPr>
          <w:rFonts w:ascii="Arial" w:cs="Arial" w:eastAsia="Arial" w:hAnsi="Arial"/>
          <w:sz w:val="18"/>
          <w:szCs w:val="18"/>
          <w:color w:val="auto"/>
        </w:rPr>
        <w:t xml:space="preserve">The Company evaluated the public and private warrants under Accounting Standards Codification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and concluded that they do not meet the criteria to be classified as equity in the Condensed Consolidated Statements of Financial Condition. Since the public and private warrants meet the definition of a derivative under ASC 815, the Company recorded these warrants as liabilities at fair value upon the closing of the Business Combination in accordance with ASC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with subsequent changes in their respective fair values recorded in Change in fair value of warrant liabilities on the Condensed Consolidated Statements of Operations and on the Condensed Consolidated Statements of Cash Flows.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239" w:lineRule="exact"/>
        <w:rPr>
          <w:sz w:val="20"/>
          <w:szCs w:val="20"/>
          <w:color w:val="auto"/>
        </w:rPr>
      </w:pPr>
    </w:p>
    <w:p>
      <w:pPr>
        <w:jc w:val="both"/>
        <w:ind w:firstLine="464"/>
        <w:spacing w:after="0" w:line="271" w:lineRule="auto"/>
        <w:rPr>
          <w:sz w:val="20"/>
          <w:szCs w:val="20"/>
          <w:color w:val="auto"/>
        </w:rPr>
      </w:pPr>
      <w:r>
        <w:rPr>
          <w:rFonts w:ascii="Arial" w:cs="Arial" w:eastAsia="Arial" w:hAnsi="Arial"/>
          <w:sz w:val="18"/>
          <w:szCs w:val="18"/>
          <w:color w:val="auto"/>
        </w:rPr>
        <w:t>In connection with the Business Combination as described in Note 3 – Business Combination, PWP entered into a tax receivable agreement with PWP OpCo, Professional Partners and ILPs under which PWP agreed to payment of 85% of the amount of savings, if any, that PWP realizes in U.S. federal, state, local and foreign income taxes as a result of (i) exchanges of interests in PWP OpCo for cash or stock of the Company and certain other transactions and (ii) payments made under the tax receivable agreement. Management’s best estimate of the amounts expected to be owed in connection with the tax receivable agreement at each reporting date are reported within the Amount due pursuant to tax receivable agreement on the Condensed Consolidated Statements of Financial Condition.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39" w:lineRule="exact"/>
        <w:rPr>
          <w:sz w:val="20"/>
          <w:szCs w:val="20"/>
          <w:color w:val="auto"/>
        </w:rPr>
      </w:pPr>
    </w:p>
    <w:p>
      <w:pPr>
        <w:jc w:val="both"/>
        <w:ind w:firstLine="464"/>
        <w:spacing w:after="0" w:line="287" w:lineRule="auto"/>
        <w:rPr>
          <w:sz w:val="20"/>
          <w:szCs w:val="20"/>
          <w:color w:val="auto"/>
        </w:rPr>
      </w:pPr>
      <w:r>
        <w:rPr>
          <w:rFonts w:ascii="Arial" w:cs="Arial" w:eastAsia="Arial" w:hAnsi="Arial"/>
          <w:sz w:val="17"/>
          <w:szCs w:val="17"/>
          <w:color w:val="auto"/>
        </w:rPr>
        <w:t>Prior to the Business Combination, the Company operated as a partnership, and therefore, was generally not subject to U.S. federal and state corporate income taxes. Subsequent to the Business Combination, PWP is a corporation and is subject to U.S. federal and state corporate income taxes on its proportionate share of taxable income generated by the operating partnership, PWP OpCo, as well as any standalone income (or loss) generated at the PWP entity level. PWP OpCo is treated as a partnership, and as a result, taxable income (or loss) generated by PWP OpCo flows through to its limited partners, including PWP, and is generally not subject to U.S. federal or state income tax at the partnership level. The Company primarily conducts business through disregarded entities held by PWP OpCo, as well as non-U.S. subsidiaries which generally operate as corporate entities in various non-U.S. jurisdictions. Certain non-U.S. subsidiaries are subject to income taxes in their respective local jurisdictions, and therefore, the related income tax provision is reported in the Condensed Consolidated Statements of Operations.</w:t>
      </w:r>
    </w:p>
    <w:p>
      <w:pPr>
        <w:spacing w:after="0" w:line="182" w:lineRule="exact"/>
        <w:rPr>
          <w:sz w:val="20"/>
          <w:szCs w:val="20"/>
          <w:color w:val="auto"/>
        </w:rPr>
      </w:pPr>
    </w:p>
    <w:p>
      <w:pPr>
        <w:jc w:val="both"/>
        <w:ind w:firstLine="464"/>
        <w:spacing w:after="0" w:line="287" w:lineRule="auto"/>
        <w:rPr>
          <w:sz w:val="20"/>
          <w:szCs w:val="20"/>
          <w:color w:val="auto"/>
        </w:rPr>
      </w:pPr>
      <w:r>
        <w:rPr>
          <w:rFonts w:ascii="Arial" w:cs="Arial" w:eastAsia="Arial" w:hAnsi="Arial"/>
          <w:sz w:val="17"/>
          <w:szCs w:val="17"/>
          <w:color w:val="auto"/>
        </w:rPr>
        <w:t xml:space="preserve">Taxes are accounted for using the asset and liability method of accounting pursuant to ASC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(“ASC 740”). Under this method, deferred tax assets and liabilities are recognized for the expected future tax consequences of differences between the carrying amounts of assets and liabilities and their respective tax bases, using tax rates in effect for the year in which the differences are expected to reverse. The effect of a change in tax rates on deferred tax assets and liabilities is recognized in income in the period when the change is enacted. Deferred tax assets are reduced by a valuation allowance when it is more-likely-than-not that some portion or all of the deferred tax assets will not be realized. The realization of deferred tax assets is dependent on the amount, timing and character of the Company’s future taxable income. When evaluating the realizability of deferred tax assets, all evidence – both positive and negative – is considered. This evidence includes, but is not limited to, expectations regarding future earnings, future reversals of existing temporary tax differences and tax planning strategies.</w:t>
      </w:r>
    </w:p>
    <w:p>
      <w:pPr>
        <w:spacing w:after="0" w:line="182" w:lineRule="exact"/>
        <w:rPr>
          <w:sz w:val="20"/>
          <w:szCs w:val="20"/>
          <w:color w:val="auto"/>
        </w:rPr>
      </w:pPr>
    </w:p>
    <w:p>
      <w:pPr>
        <w:jc w:val="both"/>
        <w:ind w:firstLine="464"/>
        <w:spacing w:after="0" w:line="299" w:lineRule="auto"/>
        <w:rPr>
          <w:sz w:val="20"/>
          <w:szCs w:val="20"/>
          <w:color w:val="auto"/>
        </w:rPr>
      </w:pPr>
      <w:r>
        <w:rPr>
          <w:rFonts w:ascii="Arial" w:cs="Arial" w:eastAsia="Arial" w:hAnsi="Arial"/>
          <w:sz w:val="16"/>
          <w:szCs w:val="16"/>
          <w:color w:val="auto"/>
        </w:rPr>
        <w:t>The Company analyzes its tax positions for all U.S. federal, state and local tax jurisdictions where it is required to file income tax returns in accordance with the provisions of ASC 740. This standard establishes consistent thresholds for recognizing the benefits of tax return positions in the financial statements as more-likely-than-not to be sustained by the relevant taxing authority upon audit. This standard requires a two-step process in which</w:t>
      </w:r>
    </w:p>
    <w:p>
      <w:pPr>
        <w:spacing w:after="0" w:line="2" w:lineRule="exact"/>
        <w:rPr>
          <w:sz w:val="20"/>
          <w:szCs w:val="20"/>
          <w:color w:val="auto"/>
        </w:rPr>
      </w:pPr>
    </w:p>
    <w:p>
      <w:pPr>
        <w:jc w:val="both"/>
        <w:ind w:firstLine="8"/>
        <w:spacing w:after="0" w:line="290" w:lineRule="auto"/>
        <w:tabs>
          <w:tab w:leader="none" w:pos="231" w:val="left"/>
        </w:tabs>
        <w:numPr>
          <w:ilvl w:val="0"/>
          <w:numId w:val="7"/>
        </w:numPr>
        <w:rPr>
          <w:rFonts w:ascii="Arial" w:cs="Arial" w:eastAsia="Arial" w:hAnsi="Arial"/>
          <w:sz w:val="17"/>
          <w:szCs w:val="17"/>
          <w:color w:val="auto"/>
        </w:rPr>
      </w:pPr>
      <w:r>
        <w:rPr>
          <w:rFonts w:ascii="Arial" w:cs="Arial" w:eastAsia="Arial" w:hAnsi="Arial"/>
          <w:sz w:val="17"/>
          <w:szCs w:val="17"/>
          <w:color w:val="auto"/>
        </w:rPr>
        <w:t>determination is made whether it is more-likely-than-not that the tax position will be sustained based on the technical merits of the position, and (ii) those tax positions that meet the more-likely-than-not threshold are recognized as the largest amount of tax benefit that is greater than 50 percent likely to be realized upon ultimate settlement with the related tax authority. If upon performance of an assessment pursuant to ASC 740 the Company determines that uncertainties in tax positions exist that do not meet the minimum threshold for recognition of the related tax benefit, a liability is recorded in the condensed consolidated financial statements. The Company recognizes interest and penalties, if any, related to unrecognized tax benefits as Interest expense and General, administrative and other expenses in the Condensed Consolidated Statements of Operations.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6" w:name="page17"/>
    <w:bookmarkEnd w:id="16"/>
    <w:p>
      <w:pPr>
        <w:ind w:left="4580"/>
        <w:spacing w:after="0"/>
        <w:rPr>
          <w:sz w:val="20"/>
          <w:szCs w:val="20"/>
          <w:color w:val="auto"/>
        </w:rPr>
      </w:pPr>
      <w:r>
        <w:rPr>
          <w:rFonts w:ascii="Arial" w:cs="Arial" w:eastAsia="Arial" w:hAnsi="Arial"/>
          <w:sz w:val="18"/>
          <w:szCs w:val="18"/>
          <w:b w:val="1"/>
          <w:bCs w:val="1"/>
          <w:color w:val="auto"/>
        </w:rPr>
        <w:t>Perella Weinberg Partners</w:t>
      </w:r>
    </w:p>
    <w:p>
      <w:pPr>
        <w:spacing w:after="0" w:line="7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252" w:lineRule="exact"/>
        <w:rPr>
          <w:sz w:val="20"/>
          <w:szCs w:val="20"/>
          <w:color w:val="auto"/>
        </w:rPr>
      </w:pPr>
    </w:p>
    <w:p>
      <w:pPr>
        <w:jc w:val="both"/>
        <w:ind w:firstLine="464"/>
        <w:spacing w:after="0" w:line="287" w:lineRule="auto"/>
        <w:rPr>
          <w:sz w:val="20"/>
          <w:szCs w:val="20"/>
          <w:color w:val="auto"/>
        </w:rPr>
      </w:pPr>
      <w:r>
        <w:rPr>
          <w:rFonts w:ascii="Arial" w:cs="Arial" w:eastAsia="Arial" w:hAnsi="Arial"/>
          <w:sz w:val="17"/>
          <w:szCs w:val="17"/>
          <w:color w:val="auto"/>
        </w:rPr>
        <w:t>Equity-based compensation relates to equity-based awards granted to employees and partners of the Company. In all instances of equity-based awards, compensation expense is recognized over the requisite vesting period in an amount equal to the fair value of the awards at the grant date. Equity-based compensation expense for employees and partners are included in Compensation and benefits on the Condensed Consolidated Statements of Operations and equity-based compensation expense for non-employees is included in Professional fees on the Condensed Consolidated Statements of Operations. Refer to Note 13 – Equity-Based Compensation for detail of amounts included in each financial statement line item. The Company accounts for forfeitures of awards as they occur rather than applying an estimated forfeiture rate. For an award with service-only conditions that has a graded vesting schedule, the Company recognizes the compensation cost for the entire award on a straight-line basis over the requisite service period, ensuring that the amount recognized is at least equal to the vested portion of the award at each reporting date.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239" w:lineRule="exact"/>
        <w:rPr>
          <w:sz w:val="20"/>
          <w:szCs w:val="20"/>
          <w:color w:val="auto"/>
        </w:rPr>
      </w:pPr>
    </w:p>
    <w:p>
      <w:pPr>
        <w:jc w:val="both"/>
        <w:ind w:firstLine="464"/>
        <w:spacing w:after="0" w:line="288" w:lineRule="auto"/>
        <w:rPr>
          <w:sz w:val="20"/>
          <w:szCs w:val="20"/>
          <w:color w:val="auto"/>
        </w:rPr>
      </w:pPr>
      <w:r>
        <w:rPr>
          <w:rFonts w:ascii="Arial" w:cs="Arial" w:eastAsia="Arial" w:hAnsi="Arial"/>
          <w:sz w:val="17"/>
          <w:szCs w:val="17"/>
          <w:color w:val="auto"/>
        </w:rPr>
        <w:t>For entities that are consolidated but not 100% owned, a portion of the income or loss and equity is allocated to holders of the non-controlling interest. The aggregate of the income or loss and corresponding equity that is owned by the holders of the non-controlling interest is included in non-controlling interest in the condensed consolidated financial statements. Non-controlling interests are presented as a separate component of equity on the Condensed Consolidated Statements of Financial Condition. Net income (loss) includes the net income (loss) attributable to the holders of the non-controlling interests on the Condensed Consolidated Statements of Operations. Profits and losses of PWP OpCo are allocated to the non-controlling interests in proportion to their ownership interest regardless of their basis, with an exception for certain equity-based compensation expense which are fully attributed to non-controlling interests. Refer to Note 13 – Equity-Based Compensation for further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Per Share</w:t>
      </w:r>
    </w:p>
    <w:p>
      <w:pPr>
        <w:spacing w:after="0" w:line="239" w:lineRule="exact"/>
        <w:rPr>
          <w:sz w:val="20"/>
          <w:szCs w:val="20"/>
          <w:color w:val="auto"/>
        </w:rPr>
      </w:pPr>
    </w:p>
    <w:p>
      <w:pPr>
        <w:jc w:val="both"/>
        <w:ind w:firstLine="464"/>
        <w:spacing w:after="0" w:line="290" w:lineRule="auto"/>
        <w:rPr>
          <w:sz w:val="20"/>
          <w:szCs w:val="20"/>
          <w:color w:val="auto"/>
        </w:rPr>
      </w:pPr>
      <w:r>
        <w:rPr>
          <w:rFonts w:ascii="Arial" w:cs="Arial" w:eastAsia="Arial" w:hAnsi="Arial"/>
          <w:sz w:val="17"/>
          <w:szCs w:val="17"/>
          <w:color w:val="auto"/>
        </w:rPr>
        <w:t>Basic net income (loss) per share is calculated by dividing net income (loss) attributable to Class A common shareholders by the weighted-average shares of Class A common shares outstanding without the consideration for potential dilutive securities. Diluted net income (loss) per share represents basic net income (loss) per share adjusted to include the potentially dilutive effect of outstanding unvested share awards, warrants, and PWP OpCo Units that are exchangeable into shares of Class A common stock on a one-for-one basis. Diluted net income (loss) per share is computed by dividing the net income attributable to Class A common shareholders by the weighted-average number of shares of Class A common stock outstanding for the period determined using the treasury stock method and if-converted method, as applicable.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39" w:lineRule="exact"/>
        <w:rPr>
          <w:sz w:val="20"/>
          <w:szCs w:val="20"/>
          <w:color w:val="auto"/>
        </w:rPr>
      </w:pPr>
    </w:p>
    <w:p>
      <w:pPr>
        <w:jc w:val="both"/>
        <w:ind w:firstLine="464"/>
        <w:spacing w:after="0" w:line="293" w:lineRule="auto"/>
        <w:rPr>
          <w:sz w:val="20"/>
          <w:szCs w:val="20"/>
          <w:color w:val="auto"/>
        </w:rPr>
      </w:pPr>
      <w:r>
        <w:rPr>
          <w:rFonts w:ascii="Arial" w:cs="Arial" w:eastAsia="Arial" w:hAnsi="Arial"/>
          <w:sz w:val="18"/>
          <w:szCs w:val="18"/>
          <w:color w:val="auto"/>
        </w:rPr>
        <w:t>No changes to U.S. GAAP that went into effect during the nine months ended September 30, 2021 had a material effect on the Company’s condensed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Adoption of Accounting Pronouncements</w:t>
      </w:r>
    </w:p>
    <w:p>
      <w:pPr>
        <w:spacing w:after="0" w:line="239" w:lineRule="exact"/>
        <w:rPr>
          <w:sz w:val="20"/>
          <w:szCs w:val="20"/>
          <w:color w:val="auto"/>
        </w:rPr>
      </w:pPr>
    </w:p>
    <w:p>
      <w:pPr>
        <w:jc w:val="both"/>
        <w:ind w:firstLine="464"/>
        <w:spacing w:after="0" w:line="293" w:lineRule="auto"/>
        <w:rPr>
          <w:sz w:val="20"/>
          <w:szCs w:val="20"/>
          <w:color w:val="auto"/>
        </w:rPr>
      </w:pPr>
      <w:r>
        <w:rPr>
          <w:rFonts w:ascii="Arial" w:cs="Arial" w:eastAsia="Arial" w:hAnsi="Arial"/>
          <w:sz w:val="18"/>
          <w:szCs w:val="18"/>
          <w:color w:val="auto"/>
        </w:rPr>
        <w:t>No changes to U.S. GAAP that are not yet effective are expected to have a material effect on the Company’s condensed consolidated financial statements.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7" w:name="page18"/>
    <w:bookmarkEnd w:id="17"/>
    <w:p>
      <w:pPr>
        <w:ind w:left="4580"/>
        <w:spacing w:after="0"/>
        <w:rPr>
          <w:sz w:val="20"/>
          <w:szCs w:val="20"/>
          <w:color w:val="auto"/>
        </w:rPr>
      </w:pPr>
      <w:r>
        <w:rPr>
          <w:rFonts w:ascii="Arial" w:cs="Arial" w:eastAsia="Arial" w:hAnsi="Arial"/>
          <w:sz w:val="18"/>
          <w:szCs w:val="18"/>
          <w:b w:val="1"/>
          <w:bCs w:val="1"/>
          <w:color w:val="auto"/>
        </w:rPr>
        <w:t>Perella Weinberg Partners</w:t>
      </w:r>
    </w:p>
    <w:p>
      <w:pPr>
        <w:spacing w:after="0" w:line="7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3 </w:t>
      </w:r>
      <w:r>
        <w:rPr>
          <w:rFonts w:ascii="Arial" w:cs="Arial" w:eastAsia="Arial" w:hAnsi="Arial"/>
          <w:sz w:val="18"/>
          <w:szCs w:val="18"/>
          <w:color w:val="auto"/>
        </w:rPr>
        <w:t>–</w:t>
      </w:r>
      <w:r>
        <w:rPr>
          <w:rFonts w:ascii="Arial" w:cs="Arial" w:eastAsia="Arial" w:hAnsi="Arial"/>
          <w:sz w:val="18"/>
          <w:szCs w:val="18"/>
          <w:b w:val="1"/>
          <w:bCs w:val="1"/>
          <w:color w:val="auto"/>
        </w:rPr>
        <w:t xml:space="preserve"> Business Combination</w:t>
      </w:r>
    </w:p>
    <w:p>
      <w:pPr>
        <w:spacing w:after="0" w:line="243" w:lineRule="exact"/>
        <w:rPr>
          <w:sz w:val="20"/>
          <w:szCs w:val="20"/>
          <w:color w:val="auto"/>
        </w:rPr>
      </w:pPr>
    </w:p>
    <w:p>
      <w:pPr>
        <w:jc w:val="both"/>
        <w:ind w:firstLine="464"/>
        <w:spacing w:after="0" w:line="287" w:lineRule="auto"/>
        <w:rPr>
          <w:sz w:val="20"/>
          <w:szCs w:val="20"/>
          <w:color w:val="auto"/>
        </w:rPr>
      </w:pPr>
      <w:r>
        <w:rPr>
          <w:rFonts w:ascii="Arial" w:cs="Arial" w:eastAsia="Arial" w:hAnsi="Arial"/>
          <w:sz w:val="17"/>
          <w:szCs w:val="17"/>
          <w:color w:val="231F20"/>
        </w:rPr>
        <w:t>On June 24, 2021, the Company consummated a business combination pursuant to the Business Combination Agreement dated as of December 29, 2020, by and among the Company (previously FTIV), FinTech Investor Holdings IV, LLC a Delaware limited liability company, FinTech Masala Advisors, LLC, a Delaware limited liability company, PWP OpCo, PWP GP LLC, PWP GP, Professional Partners, and Professionals GP. Pursuant to the Business Combination Agreement, among other things, (i) FTIV acquired certain partnership interests in PWP OpCo, (ii) PWP OpCo became jointly-owned by PWP, Professional Partners and certain existing partners of PWP OpCo, and (iii) PWP OpCo now serves as the Company’s operating partnership as part of an Up-C structure. The Business Combination was treated as a reverse recapitalization transaction between entities under common control, whereby PWP OpCo was considered the accounting acquirer and predecessor entity and therefore recognized the carrying value of the net assets of FTIV as an equity contribution with no incremental goodwill or intangible assets.</w:t>
      </w:r>
    </w:p>
    <w:p>
      <w:pPr>
        <w:spacing w:after="0" w:line="182" w:lineRule="exact"/>
        <w:rPr>
          <w:sz w:val="20"/>
          <w:szCs w:val="20"/>
          <w:color w:val="auto"/>
        </w:rPr>
      </w:pPr>
    </w:p>
    <w:p>
      <w:pPr>
        <w:jc w:val="both"/>
        <w:ind w:firstLine="464"/>
        <w:spacing w:after="0" w:line="275" w:lineRule="auto"/>
        <w:rPr>
          <w:sz w:val="20"/>
          <w:szCs w:val="20"/>
          <w:color w:val="auto"/>
        </w:rPr>
      </w:pPr>
      <w:r>
        <w:rPr>
          <w:rFonts w:ascii="Arial" w:cs="Arial" w:eastAsia="Arial" w:hAnsi="Arial"/>
          <w:sz w:val="18"/>
          <w:szCs w:val="18"/>
          <w:color w:val="231F20"/>
        </w:rPr>
        <w:t xml:space="preserve">On December 29, 2020, concurrent with the execution of the Business Combination Agreement, </w:t>
      </w:r>
      <w:r>
        <w:rPr>
          <w:rFonts w:ascii="Arial" w:cs="Arial" w:eastAsia="Arial" w:hAnsi="Arial"/>
          <w:sz w:val="18"/>
          <w:szCs w:val="18"/>
          <w:color w:val="000000"/>
        </w:rPr>
        <w:t>FTIV</w:t>
      </w:r>
      <w:r>
        <w:rPr>
          <w:rFonts w:ascii="Arial" w:cs="Arial" w:eastAsia="Arial" w:hAnsi="Arial"/>
          <w:sz w:val="18"/>
          <w:szCs w:val="18"/>
          <w:color w:val="231F20"/>
        </w:rPr>
        <w:t xml:space="preserve"> also entered into subscription agreements with certain private investors (“PIPE Investors”), pursuant to which the PIPE Investors collectively subscribed for 12,500,000 shares of the Company’s Class A common stock for an aggregate purchase price equal to $125.0 million (the “PIPE Investment”), including $1.5 million subscribed by entities related to the Sponsor. The PIPE Investment was consummated concurrently with the Closing.</w:t>
      </w:r>
    </w:p>
    <w:p>
      <w:pPr>
        <w:spacing w:after="0" w:line="185" w:lineRule="exact"/>
        <w:rPr>
          <w:sz w:val="20"/>
          <w:szCs w:val="20"/>
          <w:color w:val="auto"/>
        </w:rPr>
      </w:pPr>
    </w:p>
    <w:p>
      <w:pPr>
        <w:ind w:left="480"/>
        <w:spacing w:after="0"/>
        <w:rPr>
          <w:sz w:val="20"/>
          <w:szCs w:val="20"/>
          <w:color w:val="auto"/>
        </w:rPr>
      </w:pPr>
      <w:r>
        <w:rPr>
          <w:rFonts w:ascii="Arial" w:cs="Arial" w:eastAsia="Arial" w:hAnsi="Arial"/>
          <w:sz w:val="18"/>
          <w:szCs w:val="18"/>
          <w:color w:val="231F20"/>
        </w:rPr>
        <w:t>In connection with the consummation of the Business Combination, the following occurred:</w:t>
      </w:r>
    </w:p>
    <w:p>
      <w:pPr>
        <w:spacing w:after="0" w:line="131" w:lineRule="exact"/>
        <w:rPr>
          <w:sz w:val="20"/>
          <w:szCs w:val="20"/>
          <w:color w:val="auto"/>
        </w:rPr>
      </w:pPr>
    </w:p>
    <w:p>
      <w:pPr>
        <w:jc w:val="both"/>
        <w:ind w:left="960"/>
        <w:spacing w:after="0" w:line="303" w:lineRule="auto"/>
        <w:rPr>
          <w:sz w:val="20"/>
          <w:szCs w:val="20"/>
          <w:color w:val="auto"/>
        </w:rPr>
      </w:pPr>
      <w:r>
        <w:rPr>
          <w:rFonts w:ascii="Arial" w:cs="Arial" w:eastAsia="Arial" w:hAnsi="Arial"/>
          <w:sz w:val="17"/>
          <w:szCs w:val="17"/>
          <w:color w:val="auto"/>
        </w:rPr>
        <w:t xml:space="preserve">Pursuant to the Sponsor Share Surrender and Share Restriction Agreement executed concurrently with the Business Combination Agreement among the Sponsor, FTIV, PWP OpCo and certain other parties (the </w:t>
      </w:r>
      <w:r>
        <w:rPr>
          <w:rFonts w:ascii="Arial" w:cs="Arial" w:eastAsia="Arial" w:hAnsi="Arial"/>
          <w:sz w:val="17"/>
          <w:szCs w:val="17"/>
          <w:color w:val="231F20"/>
        </w:rPr>
        <w:t>“</w:t>
      </w:r>
      <w:r>
        <w:rPr>
          <w:rFonts w:ascii="Arial" w:cs="Arial" w:eastAsia="Arial" w:hAnsi="Arial"/>
          <w:sz w:val="17"/>
          <w:szCs w:val="17"/>
          <w:color w:val="auto"/>
        </w:rPr>
        <w:t>Surrender Agreement</w:t>
      </w:r>
      <w:r>
        <w:rPr>
          <w:rFonts w:ascii="Arial" w:cs="Arial" w:eastAsia="Arial" w:hAnsi="Arial"/>
          <w:sz w:val="17"/>
          <w:szCs w:val="17"/>
          <w:color w:val="231F20"/>
        </w:rPr>
        <w:t>”</w:t>
      </w:r>
      <w:r>
        <w:rPr>
          <w:rFonts w:ascii="Arial" w:cs="Arial" w:eastAsia="Arial" w:hAnsi="Arial"/>
          <w:sz w:val="17"/>
          <w:szCs w:val="17"/>
          <w:color w:val="auto"/>
        </w:rPr>
        <w:t>), which was amended on May 4, 2021, Sponsor surrendered and forfeited to FTIV 1,023,333 shares of Class B common stock, par value $0.0001 per share, of FTIV;</w:t>
      </w:r>
    </w:p>
    <w:p>
      <w:pPr>
        <w:spacing w:after="0" w:line="56" w:lineRule="exact"/>
        <w:rPr>
          <w:sz w:val="20"/>
          <w:szCs w:val="20"/>
          <w:color w:val="auto"/>
        </w:rPr>
      </w:pPr>
    </w:p>
    <w:p>
      <w:pPr>
        <w:jc w:val="both"/>
        <w:ind w:left="960"/>
        <w:spacing w:after="0" w:line="275" w:lineRule="auto"/>
        <w:rPr>
          <w:sz w:val="20"/>
          <w:szCs w:val="20"/>
          <w:color w:val="auto"/>
        </w:rPr>
      </w:pPr>
      <w:r>
        <w:rPr>
          <w:rFonts w:ascii="Arial" w:cs="Arial" w:eastAsia="Arial" w:hAnsi="Arial"/>
          <w:sz w:val="18"/>
          <w:szCs w:val="18"/>
          <w:color w:val="auto"/>
        </w:rPr>
        <w:t>All outstanding shares of FTIV’s Class B common stock (other than the 1,023,333 shares of FTIV Class B common stock that were forfeited by the Sponsor) were converted into shares of FTIV’s Class A common stock, and FTIV’s outstanding warrants were assumed by the Company and became exercisable for shares of Company Class A common stock on the same terms as were contained in the warrant agreements prior to the Business Combination;</w:t>
      </w:r>
    </w:p>
    <w:p>
      <w:pPr>
        <w:spacing w:after="0" w:line="77" w:lineRule="exact"/>
        <w:rPr>
          <w:sz w:val="20"/>
          <w:szCs w:val="20"/>
          <w:color w:val="auto"/>
        </w:rPr>
      </w:pPr>
    </w:p>
    <w:p>
      <w:pPr>
        <w:jc w:val="both"/>
        <w:ind w:left="960"/>
        <w:spacing w:after="0" w:line="279" w:lineRule="auto"/>
        <w:rPr>
          <w:sz w:val="20"/>
          <w:szCs w:val="20"/>
          <w:color w:val="auto"/>
        </w:rPr>
      </w:pPr>
      <w:r>
        <w:rPr>
          <w:rFonts w:ascii="Arial" w:cs="Arial" w:eastAsia="Arial" w:hAnsi="Arial"/>
          <w:sz w:val="18"/>
          <w:szCs w:val="18"/>
          <w:color w:val="auto"/>
        </w:rPr>
        <w:t>FTIV acquired newly-issued common units of PWP OpCo (“PWP OpCo Units</w:t>
      </w:r>
      <w:r>
        <w:rPr>
          <w:rFonts w:ascii="Arial" w:cs="Arial" w:eastAsia="Arial" w:hAnsi="Arial"/>
          <w:sz w:val="18"/>
          <w:szCs w:val="18"/>
          <w:color w:val="231F20"/>
        </w:rPr>
        <w:t>”</w:t>
      </w:r>
      <w:r>
        <w:rPr>
          <w:rFonts w:ascii="Arial" w:cs="Arial" w:eastAsia="Arial" w:hAnsi="Arial"/>
          <w:sz w:val="18"/>
          <w:szCs w:val="18"/>
          <w:color w:val="auto"/>
        </w:rPr>
        <w:t>) in exchange for $355.0 million in cash and 42,956,667 shares of Class A common stock. The cash contributed equated to the proceeds from the PIPE Investment and the outstanding cash balances and marketable securities held in a trust account of FTIV as of Closing;</w:t>
      </w:r>
    </w:p>
    <w:p>
      <w:pPr>
        <w:spacing w:after="0" w:line="75" w:lineRule="exact"/>
        <w:rPr>
          <w:sz w:val="20"/>
          <w:szCs w:val="20"/>
          <w:color w:val="auto"/>
        </w:rPr>
      </w:pPr>
    </w:p>
    <w:p>
      <w:pPr>
        <w:jc w:val="both"/>
        <w:ind w:left="960"/>
        <w:spacing w:after="0" w:line="296" w:lineRule="auto"/>
        <w:rPr>
          <w:sz w:val="20"/>
          <w:szCs w:val="20"/>
          <w:color w:val="auto"/>
        </w:rPr>
      </w:pPr>
      <w:r>
        <w:rPr>
          <w:rFonts w:ascii="Arial" w:cs="Arial" w:eastAsia="Arial" w:hAnsi="Arial"/>
          <w:sz w:val="17"/>
          <w:szCs w:val="17"/>
          <w:color w:val="auto"/>
        </w:rPr>
        <w:t>FTIV issued new shares of Class B-1 common stock, which have 10 votes per share, and Class B-2 common stock, which have one vote per share, to PWP OpCo, with the Class B-1 common stock being distributed to and owned by Professional Partners and the Class B-2 common stock being distributed to and owned by ILPs, with the number of shares of such common stock issued to PWP OpCo equal the number of PWP OpCo Units that were held by Professional Partners and ILPs, respectively, following the Closing;</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Professional Partners contributed the equity interests of PWP GP, the general partner of PWP OpCo, to FTIV;</w:t>
      </w:r>
    </w:p>
    <w:p>
      <w:pPr>
        <w:spacing w:after="0" w:line="131" w:lineRule="exact"/>
        <w:rPr>
          <w:sz w:val="20"/>
          <w:szCs w:val="20"/>
          <w:color w:val="auto"/>
        </w:rPr>
      </w:pPr>
    </w:p>
    <w:p>
      <w:pPr>
        <w:jc w:val="both"/>
        <w:ind w:left="960"/>
        <w:spacing w:after="0" w:line="279" w:lineRule="auto"/>
        <w:rPr>
          <w:sz w:val="20"/>
          <w:szCs w:val="20"/>
          <w:color w:val="auto"/>
        </w:rPr>
      </w:pPr>
      <w:r>
        <w:rPr>
          <w:rFonts w:ascii="Arial" w:cs="Arial" w:eastAsia="Arial" w:hAnsi="Arial"/>
          <w:sz w:val="18"/>
          <w:szCs w:val="18"/>
          <w:color w:val="auto"/>
        </w:rPr>
        <w:t>PWP OpCo repaid all of its indebtedness including $150.0 million of Convertible Notes and $27.7 million of the Revolving Credit Facility, both as defined in Note 10 – Debt, as well as accrued interest and applicable premium, resulting in a Loss on debt extinguishment of $39.4 million;</w:t>
      </w:r>
    </w:p>
    <w:p>
      <w:pPr>
        <w:spacing w:after="0" w:line="75" w:lineRule="exact"/>
        <w:rPr>
          <w:sz w:val="20"/>
          <w:szCs w:val="20"/>
          <w:color w:val="auto"/>
        </w:rPr>
      </w:pPr>
    </w:p>
    <w:p>
      <w:pPr>
        <w:jc w:val="both"/>
        <w:ind w:left="960"/>
        <w:spacing w:after="0" w:line="293" w:lineRule="auto"/>
        <w:rPr>
          <w:sz w:val="20"/>
          <w:szCs w:val="20"/>
          <w:color w:val="auto"/>
        </w:rPr>
      </w:pPr>
      <w:r>
        <w:rPr>
          <w:rFonts w:ascii="Arial" w:cs="Arial" w:eastAsia="Arial" w:hAnsi="Arial"/>
          <w:sz w:val="18"/>
          <w:szCs w:val="18"/>
          <w:color w:val="auto"/>
        </w:rPr>
        <w:t>PWP OpCo first redeemed PWP OpCo Units held by certain electing ILPs in the amount of $80.5 million, and second, redeemed PWP OpCo Units held by certain electing former working partners in the amount of $28.6 million; and</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FTIV was renamed “Perella Weinberg Partners.</w:t>
      </w:r>
      <w:r>
        <w:rPr>
          <w:rFonts w:ascii="Arial" w:cs="Arial" w:eastAsia="Arial" w:hAnsi="Arial"/>
          <w:sz w:val="18"/>
          <w:szCs w:val="18"/>
          <w:color w:val="231F20"/>
        </w:rPr>
        <w:t>”</w:t>
      </w:r>
    </w:p>
    <w:p>
      <w:pPr>
        <w:spacing w:after="0" w:line="239" w:lineRule="exact"/>
        <w:rPr>
          <w:sz w:val="20"/>
          <w:szCs w:val="20"/>
          <w:color w:val="auto"/>
        </w:rPr>
      </w:pPr>
    </w:p>
    <w:p>
      <w:pPr>
        <w:jc w:val="both"/>
        <w:ind w:firstLine="464"/>
        <w:spacing w:after="0" w:line="275" w:lineRule="auto"/>
        <w:rPr>
          <w:sz w:val="20"/>
          <w:szCs w:val="20"/>
          <w:color w:val="auto"/>
        </w:rPr>
      </w:pPr>
      <w:r>
        <w:rPr>
          <w:rFonts w:ascii="Arial" w:cs="Arial" w:eastAsia="Arial" w:hAnsi="Arial"/>
          <w:sz w:val="18"/>
          <w:szCs w:val="18"/>
          <w:color w:val="auto"/>
        </w:rPr>
        <w:t>On the date of the Closing, the Company recorded $22.2 million in public warrant liabilities and $0.7 million in private warrant liabilities. See Note 12 – Warrants for further information. In conjunction with the Business Combination, the Company incurred approximately $2.9 million in transaction expenses, which were recorded in Professional fees on the Condensed Consolidated Statements of Operations, as well as $27.6 million of offering costs which were offset against the proceeds of the Business Combination.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8" w:name="page19"/>
    <w:bookmarkEnd w:id="18"/>
    <w:p>
      <w:pPr>
        <w:ind w:left="4580"/>
        <w:spacing w:after="0"/>
        <w:rPr>
          <w:sz w:val="20"/>
          <w:szCs w:val="20"/>
          <w:color w:val="auto"/>
        </w:rPr>
      </w:pPr>
      <w:r>
        <w:rPr>
          <w:rFonts w:ascii="Arial" w:cs="Arial" w:eastAsia="Arial" w:hAnsi="Arial"/>
          <w:sz w:val="18"/>
          <w:szCs w:val="18"/>
          <w:b w:val="1"/>
          <w:bCs w:val="1"/>
          <w:color w:val="auto"/>
        </w:rPr>
        <w:t>Perella Weinberg Partners</w:t>
      </w:r>
    </w:p>
    <w:p>
      <w:pPr>
        <w:spacing w:after="0" w:line="7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313" w:lineRule="exact"/>
        <w:rPr>
          <w:sz w:val="20"/>
          <w:szCs w:val="20"/>
          <w:color w:val="auto"/>
        </w:rPr>
      </w:pPr>
    </w:p>
    <w:p>
      <w:pPr>
        <w:jc w:val="both"/>
        <w:ind w:firstLine="464"/>
        <w:spacing w:after="0" w:line="319" w:lineRule="auto"/>
        <w:rPr>
          <w:sz w:val="20"/>
          <w:szCs w:val="20"/>
          <w:color w:val="auto"/>
        </w:rPr>
      </w:pPr>
      <w:r>
        <w:rPr>
          <w:rFonts w:ascii="Arial" w:cs="Arial" w:eastAsia="Arial" w:hAnsi="Arial"/>
          <w:sz w:val="16"/>
          <w:szCs w:val="16"/>
          <w:color w:val="auto"/>
        </w:rPr>
        <w:t>At the time of the Closing, there were 42,956,667 shares of Class A common stock and 50,154,199 shares of Class B common stock outstanding. The number of shares of Class B common stock outstanding corresponds to the number of PWP OpCo Units attributable the Professional Partners and ILPs, which are exchangeable into PWP Class A common stock on a one-for-one basis and represent the non-controlling ownership interests in the Company. Class B-1 and B-2 common stock have de minimis economic rights. See Note 11 – Stockholders’ Equity for additional information.</w:t>
      </w:r>
    </w:p>
    <w:p>
      <w:pPr>
        <w:spacing w:after="0" w:line="156" w:lineRule="exact"/>
        <w:rPr>
          <w:sz w:val="20"/>
          <w:szCs w:val="20"/>
          <w:color w:val="auto"/>
        </w:rPr>
      </w:pPr>
    </w:p>
    <w:p>
      <w:pPr>
        <w:jc w:val="both"/>
        <w:ind w:firstLine="527"/>
        <w:spacing w:after="0" w:line="293" w:lineRule="auto"/>
        <w:rPr>
          <w:sz w:val="20"/>
          <w:szCs w:val="20"/>
          <w:color w:val="auto"/>
        </w:rPr>
      </w:pPr>
      <w:r>
        <w:rPr>
          <w:rFonts w:ascii="Arial" w:cs="Arial" w:eastAsia="Arial" w:hAnsi="Arial"/>
          <w:sz w:val="18"/>
          <w:szCs w:val="18"/>
          <w:color w:val="auto"/>
        </w:rPr>
        <w:t>Concurrent with the Closing, the Company entered into certain other related agreements which are discussed further in Note 11 – Stockholders’ Equity and Note 17 – Related Party Transactions.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4 </w:t>
      </w:r>
      <w:r>
        <w:rPr>
          <w:rFonts w:ascii="Arial" w:cs="Arial" w:eastAsia="Arial" w:hAnsi="Arial"/>
          <w:sz w:val="18"/>
          <w:szCs w:val="18"/>
          <w:color w:val="auto"/>
        </w:rPr>
        <w:t>–</w:t>
      </w:r>
      <w:r>
        <w:rPr>
          <w:rFonts w:ascii="Arial" w:cs="Arial" w:eastAsia="Arial" w:hAnsi="Arial"/>
          <w:sz w:val="18"/>
          <w:szCs w:val="18"/>
          <w:b w:val="1"/>
          <w:bCs w:val="1"/>
          <w:color w:val="auto"/>
        </w:rPr>
        <w:t xml:space="preserve"> Revenue and Receivables from Contracts with Customers</w:t>
      </w:r>
    </w:p>
    <w:p>
      <w:pPr>
        <w:spacing w:after="0" w:line="243" w:lineRule="exact"/>
        <w:rPr>
          <w:sz w:val="20"/>
          <w:szCs w:val="20"/>
          <w:color w:val="auto"/>
        </w:rPr>
      </w:pPr>
    </w:p>
    <w:p>
      <w:pPr>
        <w:jc w:val="both"/>
        <w:ind w:firstLine="464"/>
        <w:spacing w:after="0" w:line="275" w:lineRule="auto"/>
        <w:rPr>
          <w:sz w:val="20"/>
          <w:szCs w:val="20"/>
          <w:color w:val="auto"/>
        </w:rPr>
      </w:pPr>
      <w:r>
        <w:rPr>
          <w:rFonts w:ascii="Arial" w:cs="Arial" w:eastAsia="Arial" w:hAnsi="Arial"/>
          <w:sz w:val="18"/>
          <w:szCs w:val="18"/>
          <w:color w:val="auto"/>
        </w:rPr>
        <w:t>The services provided under contracts with clients include transaction-related advisory services, fairness opinion services, research and trading services, and underwriting services, each of which are typically identified as a separate performance obligation in contracts that contain more than one type of service. As discussed in detail below, each performance obligation meets the criteria for either over time or point in time revenue recognition. The following table disaggregates the Company’s revenue between over time and point in time recognition: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tcPr>
          <w:p>
            <w:pPr>
              <w:spacing w:after="0"/>
              <w:rPr>
                <w:sz w:val="19"/>
                <w:szCs w:val="19"/>
                <w:color w:val="auto"/>
              </w:rPr>
            </w:pPr>
          </w:p>
        </w:tc>
        <w:tc>
          <w:tcPr>
            <w:tcW w:w="2700" w:type="dxa"/>
            <w:vAlign w:val="bottom"/>
            <w:gridSpan w:val="6"/>
          </w:tcPr>
          <w:p>
            <w:pPr>
              <w:ind w:left="20"/>
              <w:spacing w:after="0"/>
              <w:rPr>
                <w:sz w:val="20"/>
                <w:szCs w:val="20"/>
                <w:color w:val="auto"/>
              </w:rPr>
            </w:pPr>
            <w:r>
              <w:rPr>
                <w:rFonts w:ascii="Arial" w:cs="Arial" w:eastAsia="Arial" w:hAnsi="Arial"/>
                <w:sz w:val="18"/>
                <w:szCs w:val="18"/>
                <w:b w:val="1"/>
                <w:bCs w:val="1"/>
                <w:color w:val="auto"/>
                <w:w w:val="96"/>
              </w:rPr>
              <w:t>Three Months Ended September</w:t>
            </w:r>
          </w:p>
        </w:tc>
        <w:tc>
          <w:tcPr>
            <w:tcW w:w="120" w:type="dxa"/>
            <w:vAlign w:val="bottom"/>
          </w:tcPr>
          <w:p>
            <w:pPr>
              <w:spacing w:after="0"/>
              <w:rPr>
                <w:sz w:val="19"/>
                <w:szCs w:val="19"/>
                <w:color w:val="auto"/>
              </w:rPr>
            </w:pPr>
          </w:p>
        </w:tc>
        <w:tc>
          <w:tcPr>
            <w:tcW w:w="2640" w:type="dxa"/>
            <w:vAlign w:val="bottom"/>
            <w:gridSpan w:val="6"/>
          </w:tcPr>
          <w:p>
            <w:pPr>
              <w:ind w:left="40"/>
              <w:spacing w:after="0"/>
              <w:rPr>
                <w:sz w:val="20"/>
                <w:szCs w:val="20"/>
                <w:color w:val="auto"/>
              </w:rPr>
            </w:pPr>
            <w:r>
              <w:rPr>
                <w:rFonts w:ascii="Arial" w:cs="Arial" w:eastAsia="Arial" w:hAnsi="Arial"/>
                <w:sz w:val="18"/>
                <w:szCs w:val="18"/>
                <w:b w:val="1"/>
                <w:bCs w:val="1"/>
                <w:color w:val="auto"/>
                <w:w w:val="96"/>
              </w:rPr>
              <w:t>Nine Months Ended September</w:t>
            </w:r>
          </w:p>
        </w:tc>
      </w:tr>
      <w:tr>
        <w:trPr>
          <w:trHeight w:val="241"/>
        </w:trPr>
        <w:tc>
          <w:tcPr>
            <w:tcW w:w="57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w w:val="87"/>
              </w:rPr>
              <w:t>30,</w:t>
            </w: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7"/>
              </w:rPr>
              <w:t>30,</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277"/>
        </w:trPr>
        <w:tc>
          <w:tcPr>
            <w:tcW w:w="57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r>
      <w:tr>
        <w:trPr>
          <w:trHeight w:val="283"/>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Over time</w:t>
            </w:r>
          </w:p>
        </w:tc>
        <w:tc>
          <w:tcPr>
            <w:tcW w:w="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167,981</w:t>
            </w:r>
          </w:p>
        </w:tc>
        <w:tc>
          <w:tcPr>
            <w:tcW w:w="500" w:type="dxa"/>
            <w:vAlign w:val="bottom"/>
            <w:gridSpan w:val="3"/>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113,246</w:t>
            </w:r>
          </w:p>
        </w:tc>
        <w:tc>
          <w:tcPr>
            <w:tcW w:w="3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562,286</w:t>
            </w:r>
          </w:p>
        </w:tc>
        <w:tc>
          <w:tcPr>
            <w:tcW w:w="500" w:type="dxa"/>
            <w:vAlign w:val="bottom"/>
            <w:gridSpan w:val="3"/>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314,060</w:t>
            </w:r>
          </w:p>
        </w:tc>
      </w:tr>
      <w:tr>
        <w:trPr>
          <w:trHeight w:val="283"/>
        </w:trPr>
        <w:tc>
          <w:tcPr>
            <w:tcW w:w="5780" w:type="dxa"/>
            <w:vAlign w:val="bottom"/>
          </w:tcPr>
          <w:p>
            <w:pPr>
              <w:ind w:left="20"/>
              <w:spacing w:after="0"/>
              <w:rPr>
                <w:sz w:val="20"/>
                <w:szCs w:val="20"/>
                <w:color w:val="auto"/>
              </w:rPr>
            </w:pPr>
            <w:r>
              <w:rPr>
                <w:rFonts w:ascii="Arial" w:cs="Arial" w:eastAsia="Arial" w:hAnsi="Arial"/>
                <w:sz w:val="18"/>
                <w:szCs w:val="18"/>
                <w:color w:val="auto"/>
              </w:rPr>
              <w:t>Point in time</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9,446</w:t>
            </w:r>
          </w:p>
        </w:tc>
        <w:tc>
          <w:tcPr>
            <w:tcW w:w="1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9,598</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40,463</w:t>
            </w:r>
          </w:p>
        </w:tc>
        <w:tc>
          <w:tcPr>
            <w:tcW w:w="1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15,781</w:t>
            </w:r>
          </w:p>
        </w:tc>
      </w:tr>
      <w:tr>
        <w:trPr>
          <w:trHeight w:val="317"/>
        </w:trPr>
        <w:tc>
          <w:tcPr>
            <w:tcW w:w="5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177,427</w:t>
            </w:r>
          </w:p>
        </w:tc>
        <w:tc>
          <w:tcPr>
            <w:tcW w:w="120" w:type="dxa"/>
            <w:vAlign w:val="bottom"/>
            <w:tcBorders>
              <w:bottom w:val="single" w:sz="8" w:color="auto"/>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122,844</w:t>
            </w:r>
          </w:p>
        </w:tc>
        <w:tc>
          <w:tcPr>
            <w:tcW w:w="1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602,749</w:t>
            </w:r>
          </w:p>
        </w:tc>
        <w:tc>
          <w:tcPr>
            <w:tcW w:w="120" w:type="dxa"/>
            <w:vAlign w:val="bottom"/>
            <w:tcBorders>
              <w:bottom w:val="single" w:sz="8" w:color="auto"/>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329,841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-24765</wp:posOffset>
            </wp:positionV>
            <wp:extent cx="857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-7620</wp:posOffset>
            </wp:positionV>
            <wp:extent cx="857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-24765</wp:posOffset>
            </wp:positionV>
            <wp:extent cx="768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-7620</wp:posOffset>
            </wp:positionV>
            <wp:extent cx="768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-24765</wp:posOffset>
            </wp:positionV>
            <wp:extent cx="768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-7620</wp:posOffset>
            </wp:positionV>
            <wp:extent cx="768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95" w:lineRule="exact"/>
        <w:rPr>
          <w:sz w:val="20"/>
          <w:szCs w:val="20"/>
          <w:color w:val="auto"/>
        </w:rPr>
      </w:pPr>
    </w:p>
    <w:p>
      <w:pPr>
        <w:jc w:val="both"/>
        <w:ind w:firstLine="464"/>
        <w:spacing w:after="0" w:line="319" w:lineRule="auto"/>
        <w:rPr>
          <w:sz w:val="20"/>
          <w:szCs w:val="20"/>
          <w:color w:val="auto"/>
        </w:rPr>
      </w:pPr>
      <w:r>
        <w:rPr>
          <w:rFonts w:ascii="Arial" w:cs="Arial" w:eastAsia="Arial" w:hAnsi="Arial"/>
          <w:sz w:val="16"/>
          <w:szCs w:val="16"/>
          <w:color w:val="auto"/>
        </w:rPr>
        <w:t>Additionally, the Company is typically reimbursed for certain professional fees and other expenses incurred that are necessary in order to provide services to the client. These fees and related reimbursements are recorded when incurred to the relevant expense item and Revenues, respectively, in the Condensed Consolidated Statements of Operations. Reimbursable expenses billed to clients was $1.2 million and $4.0 million for the three and nine months ended September 30, 2021, respectively, and $0.6 million and $3.5 million for the three and nine months ended September 30, 2020, respectively.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Transaction-Related Advisory Services</w:t>
      </w:r>
    </w:p>
    <w:p>
      <w:pPr>
        <w:spacing w:after="0" w:line="239" w:lineRule="exact"/>
        <w:rPr>
          <w:sz w:val="20"/>
          <w:szCs w:val="20"/>
          <w:color w:val="auto"/>
        </w:rPr>
      </w:pPr>
    </w:p>
    <w:p>
      <w:pPr>
        <w:jc w:val="both"/>
        <w:ind w:firstLine="464"/>
        <w:spacing w:after="0" w:line="286" w:lineRule="auto"/>
        <w:rPr>
          <w:sz w:val="20"/>
          <w:szCs w:val="20"/>
          <w:color w:val="auto"/>
        </w:rPr>
      </w:pPr>
      <w:r>
        <w:rPr>
          <w:rFonts w:ascii="Arial" w:cs="Arial" w:eastAsia="Arial" w:hAnsi="Arial"/>
          <w:sz w:val="17"/>
          <w:szCs w:val="17"/>
          <w:color w:val="auto"/>
        </w:rPr>
        <w:t>The Company is contracted to provide different investment banking and advisory services that vary depending on the nature of the contract with each individual client. These transaction-related advisory services include, but are not limited to, providing financial advice and assistance in analyzing, structuring, planning, negotiating and effecting a transaction, providing financial advice with regard to a restructuring of a client’s capital structure, which may or may not result in a court-approved bankruptcy plan, and providing certain ongoing services, including research and analysis on potential targets, identifying potential investors, and financial modeling for potential transactions. Typically, the Company provides such advisory services to its clients to assist with corporate finance activities such as mergers and acquisitions, reorganizations, tender offers, leveraged buyouts, and the pricing of securities to be issued. In most circumstances, the Company considers the nature of the promises in its advisory contracts to comprise of a single performance obligation of providing advisory services to its clients. Although there may be many individual services provided in a typical contract, the individual services are not distinct within the context of the contract; rather the performance of these individual services helps to fulfill one overall performance obligation to deliver advisory services to the client.</w:t>
      </w:r>
    </w:p>
    <w:p>
      <w:pPr>
        <w:spacing w:after="0" w:line="182" w:lineRule="exact"/>
        <w:rPr>
          <w:sz w:val="20"/>
          <w:szCs w:val="20"/>
          <w:color w:val="auto"/>
        </w:rPr>
      </w:pPr>
    </w:p>
    <w:p>
      <w:pPr>
        <w:jc w:val="both"/>
        <w:ind w:firstLine="464"/>
        <w:spacing w:after="0" w:line="311" w:lineRule="auto"/>
        <w:rPr>
          <w:sz w:val="20"/>
          <w:szCs w:val="20"/>
          <w:color w:val="auto"/>
        </w:rPr>
      </w:pPr>
      <w:r>
        <w:rPr>
          <w:rFonts w:ascii="Arial" w:cs="Arial" w:eastAsia="Arial" w:hAnsi="Arial"/>
          <w:sz w:val="16"/>
          <w:szCs w:val="16"/>
          <w:color w:val="auto"/>
        </w:rPr>
        <w:t>The Company recognizes revenue from providing advisory services when or as its performance obligations are fulfilled. The majority of the Company’s advisory revenue is recognized over time. However, certain performance obligations may be recognized at a point in time if the performance obligation represents a singular objective that does not transfer any notable value until formally completed, such as when issuing fairness opinions, which are further discussed below. The Company provides its advisory services on an ongoing basis, which, for example, may include evaluating and selecting one of multiple strategies. During such engagements, the Company’s clients continuously benefit from its advice as the Company is providing financial and strategic advice throughout the engagement, and, accordingly, over time revenue recognition matches the transfer of such benefits.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9" w:name="page20"/>
    <w:bookmarkEnd w:id="19"/>
    <w:p>
      <w:pPr>
        <w:ind w:left="4580"/>
        <w:spacing w:after="0"/>
        <w:rPr>
          <w:sz w:val="20"/>
          <w:szCs w:val="20"/>
          <w:color w:val="auto"/>
        </w:rPr>
      </w:pPr>
      <w:r>
        <w:rPr>
          <w:rFonts w:ascii="Arial" w:cs="Arial" w:eastAsia="Arial" w:hAnsi="Arial"/>
          <w:sz w:val="18"/>
          <w:szCs w:val="18"/>
          <w:b w:val="1"/>
          <w:bCs w:val="1"/>
          <w:color w:val="auto"/>
        </w:rPr>
        <w:t>Perella Weinberg Partners</w:t>
      </w:r>
    </w:p>
    <w:p>
      <w:pPr>
        <w:spacing w:after="0" w:line="7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313" w:lineRule="exact"/>
        <w:rPr>
          <w:sz w:val="20"/>
          <w:szCs w:val="20"/>
          <w:color w:val="auto"/>
        </w:rPr>
      </w:pPr>
    </w:p>
    <w:p>
      <w:pPr>
        <w:jc w:val="both"/>
        <w:ind w:firstLine="464"/>
        <w:spacing w:after="0" w:line="271" w:lineRule="auto"/>
        <w:rPr>
          <w:sz w:val="20"/>
          <w:szCs w:val="20"/>
          <w:color w:val="auto"/>
        </w:rPr>
      </w:pPr>
      <w:r>
        <w:rPr>
          <w:rFonts w:ascii="Arial" w:cs="Arial" w:eastAsia="Arial" w:hAnsi="Arial"/>
          <w:sz w:val="18"/>
          <w:szCs w:val="18"/>
          <w:color w:val="auto"/>
        </w:rPr>
        <w:t>Although the Company’s transaction-related advisory services meet the criteria for over time revenue recognition, the fee structures often involve an “all or nothing” consideration amount and the associated fees are predominantly considered variable as they are often based on the ultimate transaction value or the outcome ultimately achieved and/or are susceptible to factors outside of the Company’s influence such as third-party negotiations, regulatory approval, court approval, and shareholder votes. Accordingly, a large portion of the fees associated with these services is constrained until substantially all services have been provided, specified conditions have been met and/or certain milestones have been achieved, and it is probable that a significant revenue reversal will not occur in a future period.</w:t>
      </w:r>
    </w:p>
    <w:p>
      <w:pPr>
        <w:spacing w:after="0" w:line="191" w:lineRule="exact"/>
        <w:rPr>
          <w:sz w:val="20"/>
          <w:szCs w:val="20"/>
          <w:color w:val="auto"/>
        </w:rPr>
      </w:pPr>
    </w:p>
    <w:p>
      <w:pPr>
        <w:jc w:val="both"/>
        <w:ind w:firstLine="464"/>
        <w:spacing w:after="0" w:line="314" w:lineRule="auto"/>
        <w:rPr>
          <w:sz w:val="20"/>
          <w:szCs w:val="20"/>
          <w:color w:val="auto"/>
        </w:rPr>
      </w:pPr>
      <w:r>
        <w:rPr>
          <w:rFonts w:ascii="Arial" w:cs="Arial" w:eastAsia="Arial" w:hAnsi="Arial"/>
          <w:sz w:val="16"/>
          <w:szCs w:val="16"/>
          <w:color w:val="auto"/>
        </w:rPr>
        <w:t>In some cases, a portion of the variable fees may be deferred based on the services remaining to be completed, if any (e.g., when announcement fees are earned but additional services are expected to be provided until the transaction closes). The determination of when and to what extent to recognize variable fees may require significant judgment, particularly when milestones are met near the end of a reporting period and in cases where additional services are expected to be provided subsequent to the achievement of the milestone. Fixed fees specified in the Company’s contracts, which may include upfront fees and retainers, are recognized on a systematic basis over the estimated period in which the related services are performed.</w:t>
      </w:r>
    </w:p>
    <w:p>
      <w:pPr>
        <w:spacing w:after="0" w:line="160" w:lineRule="exact"/>
        <w:rPr>
          <w:sz w:val="20"/>
          <w:szCs w:val="20"/>
          <w:color w:val="auto"/>
        </w:rPr>
      </w:pPr>
    </w:p>
    <w:p>
      <w:pPr>
        <w:jc w:val="both"/>
        <w:ind w:firstLine="464"/>
        <w:spacing w:after="0" w:line="324" w:lineRule="auto"/>
        <w:rPr>
          <w:sz w:val="20"/>
          <w:szCs w:val="20"/>
          <w:color w:val="auto"/>
        </w:rPr>
      </w:pPr>
      <w:r>
        <w:rPr>
          <w:rFonts w:ascii="Arial" w:cs="Arial" w:eastAsia="Arial" w:hAnsi="Arial"/>
          <w:sz w:val="17"/>
          <w:szCs w:val="17"/>
          <w:color w:val="auto"/>
        </w:rPr>
        <w:t>Payments for transaction-related advisory services are generally due upon completion of a specified event or, for retainer fees, periodically over the course of the engagement. The Company recognizes a receivable between the date of completion of the event and payment by the client.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Fairness Opinion Services</w:t>
      </w:r>
    </w:p>
    <w:p>
      <w:pPr>
        <w:spacing w:after="0" w:line="239" w:lineRule="exact"/>
        <w:rPr>
          <w:sz w:val="20"/>
          <w:szCs w:val="20"/>
          <w:color w:val="auto"/>
        </w:rPr>
      </w:pPr>
    </w:p>
    <w:p>
      <w:pPr>
        <w:jc w:val="both"/>
        <w:ind w:firstLine="464"/>
        <w:spacing w:after="0" w:line="308" w:lineRule="auto"/>
        <w:rPr>
          <w:sz w:val="20"/>
          <w:szCs w:val="20"/>
          <w:color w:val="auto"/>
        </w:rPr>
      </w:pPr>
      <w:r>
        <w:rPr>
          <w:rFonts w:ascii="Arial" w:cs="Arial" w:eastAsia="Arial" w:hAnsi="Arial"/>
          <w:sz w:val="16"/>
          <w:szCs w:val="16"/>
          <w:color w:val="auto"/>
        </w:rPr>
        <w:t>Although the Company usually provides fairness opinion services in conjunction with and in the same contract as other transaction-related advisory services, fairness opinion services are considered to be a separate performance obligation in such contracts because they could be obtained separately and the Company is able to fulfill its promise to transfer transaction-related advisory services independent from its promise to provide fairness opinion services. The Company typically charges a separate, fixed fee associated with fairness opinion services that represents the standalone selling price of the fairness opinion services. The fee is recognized at the point in time at which the fairness opinion is delivered rather than over the period of time during which the services are being performed because the client does not simultaneously receive and consume the benefit of the Company’s performance to provide the fairness opinion but rather receives the benefit upon delivery of the fairness opinion itself. Payments for fairness opinion services are generally due upon delivery of the fairness opinion. The Company recognizes a receivable between the date of delivery of the fairness opinion and payment by the client.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Trading Services</w:t>
      </w:r>
    </w:p>
    <w:p>
      <w:pPr>
        <w:spacing w:after="0" w:line="239" w:lineRule="exact"/>
        <w:rPr>
          <w:sz w:val="20"/>
          <w:szCs w:val="20"/>
          <w:color w:val="auto"/>
        </w:rPr>
      </w:pPr>
    </w:p>
    <w:p>
      <w:pPr>
        <w:jc w:val="both"/>
        <w:ind w:firstLine="464"/>
        <w:spacing w:after="0" w:line="286" w:lineRule="auto"/>
        <w:rPr>
          <w:sz w:val="20"/>
          <w:szCs w:val="20"/>
          <w:color w:val="auto"/>
        </w:rPr>
      </w:pPr>
      <w:r>
        <w:rPr>
          <w:rFonts w:ascii="Arial" w:cs="Arial" w:eastAsia="Arial" w:hAnsi="Arial"/>
          <w:sz w:val="17"/>
          <w:szCs w:val="17"/>
          <w:color w:val="auto"/>
        </w:rPr>
        <w:t>The Company provides research on the energy and related industries and related equity and commodity markets. The Company’s research clients continuously benefit from the research provided throughout arrangements between the Company and such clients, and accordingly, over time revenue recognition matches the transfer of such benefits. Recipients of this research compensate the Company for these market insights in two ways – either by direct payment (the amount of which is typically at the client’s discretion based upon the perceived value of the research services provided) or through trades directed through the Company’s trading desk (for commission generation) or through third-party commission sharing agreements. These services are sometimes referred to as “soft-dollar arrangements,” and the amount of payment is typically based on a percentage of commission income generated from the client’s trades executed by the Company. The commission per share and volume of trades are at the client’s discretion based upon the perceived value of the research services and trade execution provided. Generally, the Company does not provide trading services separate and apart from research services (i.e., clients do not typically execute trades through the Company in the normal course of business; rather, trade execution is used as a means to be compensated for research services).</w:t>
      </w:r>
    </w:p>
    <w:p>
      <w:pPr>
        <w:spacing w:after="0" w:line="182" w:lineRule="exact"/>
        <w:rPr>
          <w:sz w:val="20"/>
          <w:szCs w:val="20"/>
          <w:color w:val="auto"/>
        </w:rPr>
      </w:pPr>
    </w:p>
    <w:p>
      <w:pPr>
        <w:jc w:val="both"/>
        <w:ind w:firstLine="464"/>
        <w:spacing w:after="0" w:line="314" w:lineRule="auto"/>
        <w:rPr>
          <w:sz w:val="20"/>
          <w:szCs w:val="20"/>
          <w:color w:val="auto"/>
        </w:rPr>
      </w:pPr>
      <w:r>
        <w:rPr>
          <w:rFonts w:ascii="Arial" w:cs="Arial" w:eastAsia="Arial" w:hAnsi="Arial"/>
          <w:sz w:val="16"/>
          <w:szCs w:val="16"/>
          <w:color w:val="auto"/>
        </w:rPr>
        <w:t>Because fees received for research services, and any associated trading services, are typically at the complete discretion of the client and are based on the value the client perceives in the research services provided, the entire transaction price associated with such services is variable. Accordingly, because of the broad range of possible outcomes and the inability to predict the value the client will ascribe to such services, the Company fully constrains the revenue associated with research services, and any associated trading services, until the uncertainty associated with the variable consideration is subsequently resolved, which is typically upon the earlier of receiving an invoice request from the client or receiving payment from the client.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0" w:name="page21"/>
    <w:bookmarkEnd w:id="20"/>
    <w:p>
      <w:pPr>
        <w:ind w:left="4580"/>
        <w:spacing w:after="0"/>
        <w:rPr>
          <w:sz w:val="20"/>
          <w:szCs w:val="20"/>
          <w:color w:val="auto"/>
        </w:rPr>
      </w:pPr>
      <w:r>
        <w:rPr>
          <w:rFonts w:ascii="Arial" w:cs="Arial" w:eastAsia="Arial" w:hAnsi="Arial"/>
          <w:sz w:val="18"/>
          <w:szCs w:val="18"/>
          <w:b w:val="1"/>
          <w:bCs w:val="1"/>
          <w:color w:val="auto"/>
        </w:rPr>
        <w:t>Perella Weinberg Partners</w:t>
      </w:r>
    </w:p>
    <w:p>
      <w:pPr>
        <w:spacing w:after="0" w:line="7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Services</w:t>
      </w:r>
    </w:p>
    <w:p>
      <w:pPr>
        <w:spacing w:after="0" w:line="239" w:lineRule="exact"/>
        <w:rPr>
          <w:sz w:val="20"/>
          <w:szCs w:val="20"/>
          <w:color w:val="auto"/>
        </w:rPr>
      </w:pPr>
    </w:p>
    <w:p>
      <w:pPr>
        <w:jc w:val="both"/>
        <w:ind w:firstLine="464"/>
        <w:spacing w:after="0" w:line="288" w:lineRule="auto"/>
        <w:rPr>
          <w:sz w:val="20"/>
          <w:szCs w:val="20"/>
          <w:color w:val="auto"/>
        </w:rPr>
      </w:pPr>
      <w:r>
        <w:rPr>
          <w:rFonts w:ascii="Arial" w:cs="Arial" w:eastAsia="Arial" w:hAnsi="Arial"/>
          <w:sz w:val="17"/>
          <w:szCs w:val="17"/>
          <w:color w:val="auto"/>
        </w:rPr>
        <w:t>Revenue associated with underwriting services includes management fees, selling concessions and underwriting fees attributable to public and private offerings of equity and debt securities. The nature of the Company’s underwriting services is raising capital on behalf of an issuer and, therefore, is typically accounted for as a single performance obligation. A separate performance obligation is identified in instances in which the contract with the client includes an over-allotment option. The Company’s underwriting services generally do not meet any of the requirements for revenue to be recognized over time, and therefore, the Company typically recognizes underwriting revenue on the pricing date of the offering, which is when the Company receives the pricing wire communication from the lead underwriter detailing the underwriting fees to which the Company is entitled. Similarly, the performance obligation associated with the over-allotment is satisfied at the point in time at which the option is exercised.</w:t>
      </w:r>
    </w:p>
    <w:p>
      <w:pPr>
        <w:spacing w:after="0" w:line="181" w:lineRule="exact"/>
        <w:rPr>
          <w:sz w:val="20"/>
          <w:szCs w:val="20"/>
          <w:color w:val="auto"/>
        </w:rPr>
      </w:pPr>
    </w:p>
    <w:p>
      <w:pPr>
        <w:jc w:val="both"/>
        <w:ind w:firstLine="464"/>
        <w:spacing w:after="0" w:line="319" w:lineRule="auto"/>
        <w:rPr>
          <w:sz w:val="20"/>
          <w:szCs w:val="20"/>
          <w:color w:val="auto"/>
        </w:rPr>
      </w:pPr>
      <w:r>
        <w:rPr>
          <w:rFonts w:ascii="Arial" w:cs="Arial" w:eastAsia="Arial" w:hAnsi="Arial"/>
          <w:sz w:val="16"/>
          <w:szCs w:val="16"/>
          <w:color w:val="auto"/>
        </w:rPr>
        <w:t>The Company’s role in underwriting commitments is usually as a co-manager or passive bookrunner, rather than as the lead underwriter. Accordingly, the Company estimates its share of transaction-related expenses incurred by the underwriting syndicate on the pricing date of the offering and presents these expenses gross within Travel and related expenses in the Condensed Consolidated Statements of Operations. Such amounts are adjusted to reflect actual expenses in the period in which the Company receives the final settlement, typically within 90 days following the closing of the transaction.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Costs</w:t>
      </w:r>
    </w:p>
    <w:p>
      <w:pPr>
        <w:spacing w:after="0" w:line="239"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8"/>
          <w:szCs w:val="18"/>
          <w:color w:val="auto"/>
        </w:rPr>
        <w:t>Incremental costs of obtaining a contract are expensed as incurred as such costs are generally not recoverable. Costs to fulfill contracts consist of out-of-pocket expenses that are part of performing transaction-related advisory services and are typically expensed as incurred as these costs are related to performance obligations that are satisfied over time.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 and Revenue Recognized from Past Performance</w:t>
      </w:r>
    </w:p>
    <w:p>
      <w:pPr>
        <w:spacing w:after="0" w:line="239"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8"/>
          <w:szCs w:val="18"/>
          <w:color w:val="auto"/>
        </w:rPr>
        <w:t>As of September 30, 2021, the aggregate amount of the transaction price allocated to performance obligations yet to be satisfied is $7.0 million and the Company generally expects to recognize this revenue within the next twelve months. Such amounts primarily relate to the Company’s performance obligations of providing transaction-related advisory services and fairness opinion services.</w:t>
      </w:r>
    </w:p>
    <w:p>
      <w:pPr>
        <w:spacing w:after="0" w:line="183" w:lineRule="exact"/>
        <w:rPr>
          <w:sz w:val="20"/>
          <w:szCs w:val="20"/>
          <w:color w:val="auto"/>
        </w:rPr>
      </w:pPr>
    </w:p>
    <w:p>
      <w:pPr>
        <w:jc w:val="both"/>
        <w:ind w:firstLine="464"/>
        <w:spacing w:after="0" w:line="275" w:lineRule="auto"/>
        <w:rPr>
          <w:sz w:val="20"/>
          <w:szCs w:val="20"/>
          <w:color w:val="auto"/>
        </w:rPr>
      </w:pPr>
      <w:r>
        <w:rPr>
          <w:rFonts w:ascii="Arial" w:cs="Arial" w:eastAsia="Arial" w:hAnsi="Arial"/>
          <w:sz w:val="18"/>
          <w:szCs w:val="18"/>
          <w:color w:val="auto"/>
        </w:rPr>
        <w:t>The Company recognized revenue of $53.5 million and $309.0 million during the three and nine months ended September 30, 2021, respectively, and $39.3 million and $147.5 million during the three and nine months ended September 30, 2020, respectively, related to performance obligations that were satisfied or partially satisfied in prior periods, mainly due to constraints on variable consideration in prior periods being resolved for transaction-related advisory services.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39" w:lineRule="exact"/>
        <w:rPr>
          <w:sz w:val="20"/>
          <w:szCs w:val="20"/>
          <w:color w:val="auto"/>
        </w:rPr>
      </w:pPr>
    </w:p>
    <w:p>
      <w:pPr>
        <w:jc w:val="both"/>
        <w:ind w:firstLine="464"/>
        <w:spacing w:after="0" w:line="293" w:lineRule="auto"/>
        <w:rPr>
          <w:sz w:val="20"/>
          <w:szCs w:val="20"/>
          <w:color w:val="auto"/>
        </w:rPr>
      </w:pPr>
      <w:r>
        <w:rPr>
          <w:rFonts w:ascii="Arial" w:cs="Arial" w:eastAsia="Arial" w:hAnsi="Arial"/>
          <w:sz w:val="18"/>
          <w:szCs w:val="18"/>
          <w:color w:val="auto"/>
        </w:rPr>
        <w:t>The timing of revenue recognition may differ from the timing of payment. The Company records a receivable when revenue is recognized prior to payment and the Company has an unconditional right to payment.</w:t>
      </w:r>
    </w:p>
    <w:p>
      <w:pPr>
        <w:spacing w:after="0" w:line="170" w:lineRule="exact"/>
        <w:rPr>
          <w:sz w:val="20"/>
          <w:szCs w:val="20"/>
          <w:color w:val="auto"/>
        </w:rPr>
      </w:pPr>
    </w:p>
    <w:p>
      <w:pPr>
        <w:jc w:val="both"/>
        <w:ind w:firstLine="464"/>
        <w:spacing w:after="0" w:line="270" w:lineRule="auto"/>
        <w:rPr>
          <w:sz w:val="20"/>
          <w:szCs w:val="20"/>
          <w:color w:val="auto"/>
        </w:rPr>
      </w:pPr>
      <w:r>
        <w:rPr>
          <w:rFonts w:ascii="Arial" w:cs="Arial" w:eastAsia="Arial" w:hAnsi="Arial"/>
          <w:sz w:val="18"/>
          <w:szCs w:val="18"/>
          <w:color w:val="auto"/>
        </w:rPr>
        <w:t>The Company records deferred revenue (otherwise known as contract liabilities) when it receives fees from clients that have not yet been earned or when the Company has an unconditional right to consideration before all performance obligations are complete (e.g., receipt of certain announcement, retainer or upfront fees before the performance obligation has been fully satisfied). As of September 30, 2021 and December 31, 2020, the Company recorded $5.9 million and $10.6 million, respectively, for these contract liabilities which are presented as Deferred revenue on the Condensed Consolidated Statements of Financial Condition. For the nine months ended September 30, 2021 and 2020, $9.6 million and $1.6 million, respectively, of the respective beginning deferred revenue balance was recognized as revenue and was primarily related to transaction-related advisory services performance obligations that are recognized over time.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1" w:name="page22"/>
    <w:bookmarkEnd w:id="21"/>
    <w:p>
      <w:pPr>
        <w:ind w:left="4580"/>
        <w:spacing w:after="0"/>
        <w:rPr>
          <w:sz w:val="20"/>
          <w:szCs w:val="20"/>
          <w:color w:val="auto"/>
        </w:rPr>
      </w:pPr>
      <w:r>
        <w:rPr>
          <w:rFonts w:ascii="Arial" w:cs="Arial" w:eastAsia="Arial" w:hAnsi="Arial"/>
          <w:sz w:val="18"/>
          <w:szCs w:val="18"/>
          <w:b w:val="1"/>
          <w:bCs w:val="1"/>
          <w:color w:val="auto"/>
        </w:rPr>
        <w:t>Perella Weinberg Partners</w:t>
      </w:r>
    </w:p>
    <w:p>
      <w:pPr>
        <w:spacing w:after="0" w:line="7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23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allowance for credit losses activity for the three and nine months ended September 30, 2021 and 2020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720" w:type="dxa"/>
            <w:vAlign w:val="bottom"/>
          </w:tcPr>
          <w:p>
            <w:pPr>
              <w:spacing w:after="0"/>
              <w:rPr>
                <w:sz w:val="19"/>
                <w:szCs w:val="19"/>
                <w:color w:val="auto"/>
              </w:rPr>
            </w:pPr>
          </w:p>
        </w:tc>
        <w:tc>
          <w:tcPr>
            <w:tcW w:w="2740" w:type="dxa"/>
            <w:vAlign w:val="bottom"/>
            <w:gridSpan w:val="5"/>
          </w:tcPr>
          <w:p>
            <w:pPr>
              <w:jc w:val="center"/>
              <w:ind w:right="70"/>
              <w:spacing w:after="0"/>
              <w:rPr>
                <w:sz w:val="20"/>
                <w:szCs w:val="20"/>
                <w:color w:val="auto"/>
              </w:rPr>
            </w:pPr>
            <w:r>
              <w:rPr>
                <w:rFonts w:ascii="Arial" w:cs="Arial" w:eastAsia="Arial" w:hAnsi="Arial"/>
                <w:sz w:val="18"/>
                <w:szCs w:val="18"/>
                <w:b w:val="1"/>
                <w:bCs w:val="1"/>
                <w:color w:val="auto"/>
                <w:w w:val="90"/>
              </w:rPr>
              <w:t>Three Months Ended September</w:t>
            </w:r>
          </w:p>
        </w:tc>
        <w:tc>
          <w:tcPr>
            <w:tcW w:w="120" w:type="dxa"/>
            <w:vAlign w:val="bottom"/>
          </w:tcPr>
          <w:p>
            <w:pPr>
              <w:spacing w:after="0"/>
              <w:rPr>
                <w:sz w:val="19"/>
                <w:szCs w:val="19"/>
                <w:color w:val="auto"/>
              </w:rPr>
            </w:pPr>
          </w:p>
        </w:tc>
        <w:tc>
          <w:tcPr>
            <w:tcW w:w="2660" w:type="dxa"/>
            <w:vAlign w:val="bottom"/>
            <w:gridSpan w:val="5"/>
          </w:tcPr>
          <w:p>
            <w:pPr>
              <w:jc w:val="center"/>
              <w:ind w:right="70"/>
              <w:spacing w:after="0"/>
              <w:rPr>
                <w:sz w:val="20"/>
                <w:szCs w:val="20"/>
                <w:color w:val="auto"/>
              </w:rPr>
            </w:pPr>
            <w:r>
              <w:rPr>
                <w:rFonts w:ascii="Arial" w:cs="Arial" w:eastAsia="Arial" w:hAnsi="Arial"/>
                <w:sz w:val="18"/>
                <w:szCs w:val="18"/>
                <w:b w:val="1"/>
                <w:bCs w:val="1"/>
                <w:color w:val="auto"/>
                <w:w w:val="90"/>
              </w:rPr>
              <w:t>Nine Months Ended September</w:t>
            </w:r>
          </w:p>
        </w:tc>
      </w:tr>
      <w:tr>
        <w:trPr>
          <w:trHeight w:val="241"/>
        </w:trPr>
        <w:tc>
          <w:tcPr>
            <w:tcW w:w="57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30,</w:t>
            </w: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30,</w:t>
            </w: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r>
      <w:tr>
        <w:trPr>
          <w:trHeight w:val="277"/>
        </w:trPr>
        <w:tc>
          <w:tcPr>
            <w:tcW w:w="57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r>
      <w:tr>
        <w:trPr>
          <w:trHeight w:val="283"/>
        </w:trPr>
        <w:tc>
          <w:tcPr>
            <w:tcW w:w="5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Beginning balance (1)</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1,104</w:t>
            </w:r>
          </w:p>
        </w:tc>
        <w:tc>
          <w:tcPr>
            <w:tcW w:w="140" w:type="dxa"/>
            <w:vAlign w:val="bottom"/>
            <w:shd w:val="clear" w:color="auto" w:fill="CFF0FC"/>
          </w:tcPr>
          <w:p>
            <w:pPr>
              <w:spacing w:after="0"/>
              <w:rPr>
                <w:sz w:val="24"/>
                <w:szCs w:val="24"/>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1,087</w:t>
            </w:r>
          </w:p>
        </w:tc>
        <w:tc>
          <w:tcPr>
            <w:tcW w:w="3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1,045</w:t>
            </w:r>
          </w:p>
        </w:tc>
        <w:tc>
          <w:tcPr>
            <w:tcW w:w="140" w:type="dxa"/>
            <w:vAlign w:val="bottom"/>
            <w:shd w:val="clear" w:color="auto" w:fill="CFF0FC"/>
          </w:tcPr>
          <w:p>
            <w:pPr>
              <w:spacing w:after="0"/>
              <w:rPr>
                <w:sz w:val="24"/>
                <w:szCs w:val="24"/>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1,923</w:t>
            </w:r>
          </w:p>
        </w:tc>
      </w:tr>
      <w:tr>
        <w:trPr>
          <w:trHeight w:val="277"/>
        </w:trPr>
        <w:tc>
          <w:tcPr>
            <w:tcW w:w="5720" w:type="dxa"/>
            <w:vAlign w:val="bottom"/>
          </w:tcPr>
          <w:p>
            <w:pPr>
              <w:ind w:left="20"/>
              <w:spacing w:after="0"/>
              <w:rPr>
                <w:sz w:val="20"/>
                <w:szCs w:val="20"/>
                <w:color w:val="auto"/>
              </w:rPr>
            </w:pPr>
            <w:r>
              <w:rPr>
                <w:rFonts w:ascii="Arial" w:cs="Arial" w:eastAsia="Arial" w:hAnsi="Arial"/>
                <w:sz w:val="18"/>
                <w:szCs w:val="18"/>
                <w:color w:val="auto"/>
              </w:rPr>
              <w:t>Bad debt expense</w:t>
            </w:r>
          </w:p>
        </w:tc>
        <w:tc>
          <w:tcPr>
            <w:tcW w:w="260" w:type="dxa"/>
            <w:vAlign w:val="bottom"/>
          </w:tcPr>
          <w:p>
            <w:pPr>
              <w:spacing w:after="0"/>
              <w:rPr>
                <w:sz w:val="24"/>
                <w:szCs w:val="24"/>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916</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3,099</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290</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2,853</w:t>
            </w:r>
          </w:p>
        </w:tc>
      </w:tr>
      <w:tr>
        <w:trPr>
          <w:trHeight w:val="290"/>
        </w:trPr>
        <w:tc>
          <w:tcPr>
            <w:tcW w:w="5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Write-offs</w:t>
            </w:r>
          </w:p>
        </w:tc>
        <w:tc>
          <w:tcPr>
            <w:tcW w:w="260" w:type="dxa"/>
            <w:vAlign w:val="bottom"/>
            <w:shd w:val="clear" w:color="auto" w:fill="CFF0FC"/>
          </w:tcPr>
          <w:p>
            <w:pPr>
              <w:spacing w:after="0"/>
              <w:rPr>
                <w:sz w:val="24"/>
                <w:szCs w:val="2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(18 )</w:t>
            </w:r>
          </w:p>
        </w:tc>
        <w:tc>
          <w:tcPr>
            <w:tcW w:w="14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(38 )</w:t>
            </w:r>
          </w:p>
        </w:tc>
        <w:tc>
          <w:tcPr>
            <w:tcW w:w="12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(46 )</w:t>
            </w:r>
          </w:p>
        </w:tc>
        <w:tc>
          <w:tcPr>
            <w:tcW w:w="14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(596 )</w:t>
            </w:r>
          </w:p>
        </w:tc>
      </w:tr>
      <w:tr>
        <w:trPr>
          <w:trHeight w:val="277"/>
        </w:trPr>
        <w:tc>
          <w:tcPr>
            <w:tcW w:w="5720" w:type="dxa"/>
            <w:vAlign w:val="bottom"/>
          </w:tcPr>
          <w:p>
            <w:pPr>
              <w:ind w:left="20"/>
              <w:spacing w:after="0"/>
              <w:rPr>
                <w:sz w:val="20"/>
                <w:szCs w:val="20"/>
                <w:color w:val="auto"/>
              </w:rPr>
            </w:pPr>
            <w:r>
              <w:rPr>
                <w:rFonts w:ascii="Arial" w:cs="Arial" w:eastAsia="Arial" w:hAnsi="Arial"/>
                <w:sz w:val="18"/>
                <w:szCs w:val="18"/>
                <w:color w:val="auto"/>
              </w:rPr>
              <w:t>Recoveries</w:t>
            </w:r>
          </w:p>
        </w:tc>
        <w:tc>
          <w:tcPr>
            <w:tcW w:w="260" w:type="dxa"/>
            <w:vAlign w:val="bottom"/>
          </w:tcPr>
          <w:p>
            <w:pPr>
              <w:spacing w:after="0"/>
              <w:rPr>
                <w:sz w:val="24"/>
                <w:szCs w:val="24"/>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710</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197</w:t>
            </w:r>
          </w:p>
        </w:tc>
      </w:tr>
      <w:tr>
        <w:trPr>
          <w:trHeight w:val="290"/>
        </w:trPr>
        <w:tc>
          <w:tcPr>
            <w:tcW w:w="5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Foreign currency translation and other adjustments</w:t>
            </w:r>
          </w:p>
        </w:tc>
        <w:tc>
          <w:tcPr>
            <w:tcW w:w="260" w:type="dxa"/>
            <w:vAlign w:val="bottom"/>
            <w:tcBorders>
              <w:bottom w:val="single" w:sz="8" w:color="auto"/>
            </w:tcBorders>
            <w:shd w:val="clear" w:color="auto" w:fill="CFF0FC"/>
          </w:tcPr>
          <w:p>
            <w:pPr>
              <w:spacing w:after="0"/>
              <w:rPr>
                <w:sz w:val="24"/>
                <w:szCs w:val="2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1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spacing w:after="0"/>
              <w:rPr>
                <w:sz w:val="24"/>
                <w:szCs w:val="2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(18 )</w:t>
            </w:r>
          </w:p>
        </w:tc>
        <w:tc>
          <w:tcPr>
            <w:tcW w:w="1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spacing w:after="0"/>
              <w:rPr>
                <w:sz w:val="24"/>
                <w:szCs w:val="24"/>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spacing w:after="0"/>
              <w:rPr>
                <w:sz w:val="24"/>
                <w:szCs w:val="2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(50 )</w:t>
            </w:r>
          </w:p>
        </w:tc>
      </w:tr>
      <w:tr>
        <w:trPr>
          <w:trHeight w:val="277"/>
        </w:trPr>
        <w:tc>
          <w:tcPr>
            <w:tcW w:w="572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2,001</w:t>
            </w:r>
          </w:p>
        </w:tc>
        <w:tc>
          <w:tcPr>
            <w:tcW w:w="14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4,327</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2,001</w:t>
            </w:r>
          </w:p>
        </w:tc>
        <w:tc>
          <w:tcPr>
            <w:tcW w:w="14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4,327</w:t>
            </w:r>
          </w:p>
        </w:tc>
      </w:tr>
      <w:tr>
        <w:trPr>
          <w:trHeight w:val="20"/>
        </w:trPr>
        <w:tc>
          <w:tcPr>
            <w:tcW w:w="5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-210820</wp:posOffset>
            </wp:positionV>
            <wp:extent cx="85725"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-210820</wp:posOffset>
            </wp:positionV>
            <wp:extent cx="77470"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-210820</wp:posOffset>
            </wp:positionV>
            <wp:extent cx="76835"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76835" cy="5715"/>
                    </a:xfrm>
                    <a:prstGeom prst="rect">
                      <a:avLst/>
                    </a:prstGeom>
                    <a:noFill/>
                  </pic:spPr>
                </pic:pic>
              </a:graphicData>
            </a:graphic>
          </wp:anchor>
        </w:drawing>
      </w:r>
    </w:p>
    <w:p>
      <w:pPr>
        <w:spacing w:after="0" w:line="87" w:lineRule="exact"/>
        <w:rPr>
          <w:sz w:val="20"/>
          <w:szCs w:val="20"/>
          <w:color w:val="auto"/>
        </w:rPr>
      </w:pPr>
    </w:p>
    <w:p>
      <w:pPr>
        <w:ind w:left="340" w:right="20" w:hanging="332"/>
        <w:spacing w:after="0" w:line="293"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Beginning balance for the nine months ended September 30, 2020 includes the cumulative adjustment of $0.2 million, which reflects the increase in the Company’s allowance for credit losses upon adoption of ASU 2016-13 and the CECL model on January 1,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Leases</w:t>
      </w:r>
    </w:p>
    <w:p>
      <w:pPr>
        <w:spacing w:after="0" w:line="243" w:lineRule="exact"/>
        <w:rPr>
          <w:sz w:val="20"/>
          <w:szCs w:val="20"/>
          <w:color w:val="auto"/>
        </w:rPr>
      </w:pPr>
    </w:p>
    <w:p>
      <w:pPr>
        <w:jc w:val="both"/>
        <w:ind w:firstLine="464"/>
        <w:spacing w:after="0" w:line="306" w:lineRule="auto"/>
        <w:rPr>
          <w:sz w:val="20"/>
          <w:szCs w:val="20"/>
          <w:color w:val="auto"/>
        </w:rPr>
      </w:pPr>
      <w:r>
        <w:rPr>
          <w:rFonts w:ascii="Arial" w:cs="Arial" w:eastAsia="Arial" w:hAnsi="Arial"/>
          <w:sz w:val="16"/>
          <w:szCs w:val="16"/>
          <w:color w:val="auto"/>
        </w:rPr>
        <w:t>The Company leases office space and certain office equipment under operating lease agreements. The Company determines if an arrangement or contract is a lease at inception and does not separate lease and non-lease components of the contract. The Company records the present value of its commitments for leases with terms of more than one year on the Condensed Consolidated Statements of Financial Condition as a right-of-use asset with the corresponding liability. Right-of-use assets are subject to certain adjustments for lease incentives, deferred rent and initial direct costs. The Company elected the practical expedient not to separate lease components and non-lease components in calculating the net present value of the lease payments on office space and office equipment leases. Thus, the measurement of the right-of-use asset and corresponding lease obligation use one single combined component. All leases were determined to be operating leases. Right-of-use assets represent the Company’s right to use the underlying assets for their lease terms and lease liabilities represent the Company’s obligation to make lease payments arising from these leases. The Company’s lease agreements do not contain any residual value guarantees. Lease expense is recognized on a straight-line basis over the lease term for new leases and over the remaining lease term for existing leases already in place at January 1, 2019 (date of adoption).</w:t>
      </w:r>
    </w:p>
    <w:p>
      <w:pPr>
        <w:spacing w:after="0" w:line="165" w:lineRule="exact"/>
        <w:rPr>
          <w:sz w:val="20"/>
          <w:szCs w:val="20"/>
          <w:color w:val="auto"/>
        </w:rPr>
      </w:pPr>
    </w:p>
    <w:p>
      <w:pPr>
        <w:jc w:val="both"/>
        <w:ind w:firstLine="464"/>
        <w:spacing w:after="0" w:line="308" w:lineRule="auto"/>
        <w:rPr>
          <w:sz w:val="20"/>
          <w:szCs w:val="20"/>
          <w:color w:val="auto"/>
        </w:rPr>
      </w:pPr>
      <w:r>
        <w:rPr>
          <w:rFonts w:ascii="Arial" w:cs="Arial" w:eastAsia="Arial" w:hAnsi="Arial"/>
          <w:sz w:val="16"/>
          <w:szCs w:val="16"/>
          <w:color w:val="auto"/>
        </w:rPr>
        <w:t>The implicit discount rates used to determine the present value of the Company’s leases are not readily determinable, thus, the Company uses its incremental borrowing rate to determine the present value of its lease payments. The determination of an appropriate incremental borrowing rate requires significant assumptions and judgement. The Company’s incremental borrowing rate was calculated based on the Company’s recent debt issuances and market conditions at the time of adoption or upon entering into a new lease, as applicable. The Company weights the rates appropriately depending on the term of the leases. Renewal and termination terms of the Company’s leases vary depending on the lease. The Company estimates the expected lease terms by assuming the exercise of renewal options and extensions where an economic penalty exists that would preclude the abandonment of the lease at the end of the initial non-cancelable term and the exercise of such renewal or extension is at the sole discretion of the Company. Certain lease agreements are secured by security deposits, which are reflected in Prepaid expenses and other assets on the Condensed Consolidated Statements of Financial Condition.</w:t>
      </w:r>
    </w:p>
    <w:p>
      <w:pPr>
        <w:spacing w:after="0" w:line="163" w:lineRule="exact"/>
        <w:rPr>
          <w:sz w:val="20"/>
          <w:szCs w:val="20"/>
          <w:color w:val="auto"/>
        </w:rPr>
      </w:pPr>
    </w:p>
    <w:p>
      <w:pPr>
        <w:jc w:val="both"/>
        <w:ind w:firstLine="464"/>
        <w:spacing w:after="0" w:line="314" w:lineRule="auto"/>
        <w:rPr>
          <w:sz w:val="20"/>
          <w:szCs w:val="20"/>
          <w:color w:val="auto"/>
        </w:rPr>
      </w:pPr>
      <w:r>
        <w:rPr>
          <w:rFonts w:ascii="Arial" w:cs="Arial" w:eastAsia="Arial" w:hAnsi="Arial"/>
          <w:sz w:val="16"/>
          <w:szCs w:val="16"/>
          <w:color w:val="auto"/>
        </w:rPr>
        <w:t>In conjunction with the Separation, the Company entered into sublease agreements for portions of its Houston and New York office spaces with the Asset Management business through 2027 and 2022, respectively. These subleases are considered operating leases. The subleases do not include renewal options and the Company has the right to terminate these subleases for any reason after giving 90 days prior written notice. Sublease income is recognized on a straight-line basis over the term of the lease. The Company elected the practical expedient not to separate lease components and non-lease components for these subleases. See additional information regarding these subleases in Note 17 – Related Party Transactions.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2" w:name="page23"/>
    <w:bookmarkEnd w:id="22"/>
    <w:p>
      <w:pPr>
        <w:ind w:left="4580"/>
        <w:spacing w:after="0"/>
        <w:rPr>
          <w:sz w:val="20"/>
          <w:szCs w:val="20"/>
          <w:color w:val="auto"/>
        </w:rPr>
      </w:pPr>
      <w:r>
        <w:rPr>
          <w:rFonts w:ascii="Arial" w:cs="Arial" w:eastAsia="Arial" w:hAnsi="Arial"/>
          <w:sz w:val="18"/>
          <w:szCs w:val="18"/>
          <w:b w:val="1"/>
          <w:bCs w:val="1"/>
          <w:color w:val="auto"/>
        </w:rPr>
        <w:t>Perella Weinberg Partners</w:t>
      </w:r>
    </w:p>
    <w:p>
      <w:pPr>
        <w:spacing w:after="0" w:line="7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313" w:lineRule="exact"/>
        <w:rPr>
          <w:sz w:val="20"/>
          <w:szCs w:val="20"/>
          <w:color w:val="auto"/>
        </w:rPr>
      </w:pPr>
    </w:p>
    <w:p>
      <w:pPr>
        <w:jc w:val="both"/>
        <w:ind w:firstLine="464"/>
        <w:spacing w:after="0" w:line="292" w:lineRule="auto"/>
        <w:rPr>
          <w:sz w:val="20"/>
          <w:szCs w:val="20"/>
          <w:color w:val="auto"/>
        </w:rPr>
      </w:pPr>
      <w:r>
        <w:rPr>
          <w:rFonts w:ascii="Arial" w:cs="Arial" w:eastAsia="Arial" w:hAnsi="Arial"/>
          <w:sz w:val="17"/>
          <w:szCs w:val="17"/>
          <w:color w:val="auto"/>
        </w:rPr>
        <w:t>In May 2021, the Company extended the term of its New York office lease by five months, which resulted in an increase to Lease liabilities and a corresponding increase to Right-of-use lease assets of $5.1 million. On July 26, 2021, the Company executed a lease amendment to vacate a portion of its Houston office space, which resulted in a $1.9 million decrease to Right-of-use lease assets, a $2.4 million decrease to Lease liabilities and a $0.5 million gain recorded in Other income (expense) in the Condensed Consolidated Statements of Operations. The Houston sublease agreement with the Asset Management business was terminated in conjunction with this lease amendment.</w:t>
      </w:r>
    </w:p>
    <w:p>
      <w:pPr>
        <w:spacing w:after="0" w:line="174" w:lineRule="exact"/>
        <w:rPr>
          <w:sz w:val="20"/>
          <w:szCs w:val="20"/>
          <w:color w:val="auto"/>
        </w:rPr>
      </w:pPr>
    </w:p>
    <w:p>
      <w:pPr>
        <w:jc w:val="both"/>
        <w:ind w:firstLine="464"/>
        <w:spacing w:after="0" w:line="293" w:lineRule="auto"/>
        <w:rPr>
          <w:sz w:val="20"/>
          <w:szCs w:val="20"/>
          <w:color w:val="auto"/>
        </w:rPr>
      </w:pPr>
      <w:r>
        <w:rPr>
          <w:rFonts w:ascii="Arial" w:cs="Arial" w:eastAsia="Arial" w:hAnsi="Arial"/>
          <w:sz w:val="18"/>
          <w:szCs w:val="18"/>
          <w:color w:val="auto"/>
        </w:rPr>
        <w:t>On August 3, 2021, the Company executed a lease amendment to expand the leased space in its Paris office, which resulted in an increase to Lease liabilities and a corresponding increase to Right-of-use lease assets of $0.5 million.</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Other information as it relates to the Company’s operating leases is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760" w:type="dxa"/>
            <w:vAlign w:val="bottom"/>
            <w:gridSpan w:val="8"/>
          </w:tcPr>
          <w:p>
            <w:pPr>
              <w:jc w:val="center"/>
              <w:ind w:right="480"/>
              <w:spacing w:after="0"/>
              <w:rPr>
                <w:sz w:val="20"/>
                <w:szCs w:val="20"/>
                <w:color w:val="auto"/>
              </w:rPr>
            </w:pPr>
            <w:r>
              <w:rPr>
                <w:rFonts w:ascii="Arial" w:cs="Arial" w:eastAsia="Arial" w:hAnsi="Arial"/>
                <w:sz w:val="18"/>
                <w:szCs w:val="18"/>
                <w:b w:val="1"/>
                <w:bCs w:val="1"/>
                <w:color w:val="auto"/>
                <w:w w:val="90"/>
              </w:rPr>
              <w:t>September 30, 2021</w:t>
            </w:r>
          </w:p>
        </w:tc>
        <w:tc>
          <w:tcPr>
            <w:tcW w:w="140" w:type="dxa"/>
            <w:vAlign w:val="bottom"/>
          </w:tcPr>
          <w:p>
            <w:pPr>
              <w:spacing w:after="0"/>
              <w:rPr>
                <w:sz w:val="20"/>
                <w:szCs w:val="20"/>
                <w:color w:val="auto"/>
              </w:rPr>
            </w:pPr>
          </w:p>
        </w:tc>
        <w:tc>
          <w:tcPr>
            <w:tcW w:w="1880" w:type="dxa"/>
            <w:vAlign w:val="bottom"/>
            <w:gridSpan w:val="4"/>
          </w:tcPr>
          <w:p>
            <w:pPr>
              <w:ind w:left="20"/>
              <w:spacing w:after="0"/>
              <w:rPr>
                <w:sz w:val="20"/>
                <w:szCs w:val="20"/>
                <w:color w:val="auto"/>
              </w:rPr>
            </w:pPr>
            <w:r>
              <w:rPr>
                <w:rFonts w:ascii="Arial" w:cs="Arial" w:eastAsia="Arial" w:hAnsi="Arial"/>
                <w:sz w:val="18"/>
                <w:szCs w:val="18"/>
                <w:b w:val="1"/>
                <w:bCs w:val="1"/>
                <w:color w:val="auto"/>
              </w:rPr>
              <w:t>December 31, 2020</w:t>
            </w:r>
          </w:p>
        </w:tc>
      </w:tr>
      <w:tr>
        <w:trPr>
          <w:trHeight w:val="257"/>
        </w:trPr>
        <w:tc>
          <w:tcPr>
            <w:tcW w:w="4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Weighted-average discount rate - operating leases</w:t>
            </w:r>
          </w:p>
        </w:tc>
        <w:tc>
          <w:tcPr>
            <w:tcW w:w="8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640" w:type="dxa"/>
            <w:vAlign w:val="bottom"/>
            <w:tcBorders>
              <w:top w:val="single" w:sz="8" w:color="auto"/>
            </w:tcBorders>
            <w:shd w:val="clear" w:color="auto" w:fill="CFF0FC"/>
          </w:tcPr>
          <w:p>
            <w:pPr>
              <w:spacing w:after="0"/>
              <w:rPr>
                <w:sz w:val="22"/>
                <w:szCs w:val="22"/>
                <w:color w:val="auto"/>
              </w:rPr>
            </w:pPr>
          </w:p>
        </w:tc>
        <w:tc>
          <w:tcPr>
            <w:tcW w:w="820" w:type="dxa"/>
            <w:vAlign w:val="bottom"/>
            <w:tcBorders>
              <w:top w:val="single" w:sz="8" w:color="auto"/>
            </w:tcBorders>
            <w:gridSpan w:val="3"/>
            <w:shd w:val="clear" w:color="auto" w:fill="CFF0FC"/>
          </w:tcPr>
          <w:p>
            <w:pPr>
              <w:jc w:val="center"/>
              <w:ind w:left="90"/>
              <w:spacing w:after="0"/>
              <w:rPr>
                <w:sz w:val="20"/>
                <w:szCs w:val="20"/>
                <w:color w:val="auto"/>
              </w:rPr>
            </w:pPr>
            <w:r>
              <w:rPr>
                <w:rFonts w:ascii="Arial" w:cs="Arial" w:eastAsia="Arial" w:hAnsi="Arial"/>
                <w:sz w:val="18"/>
                <w:szCs w:val="18"/>
                <w:color w:val="auto"/>
                <w:w w:val="93"/>
              </w:rPr>
              <w:t>2.46%</w:t>
            </w:r>
          </w:p>
        </w:tc>
        <w:tc>
          <w:tcPr>
            <w:tcW w:w="180" w:type="dxa"/>
            <w:vAlign w:val="bottom"/>
            <w:tcBorders>
              <w:top w:val="single" w:sz="8" w:color="auto"/>
            </w:tcBorders>
            <w:shd w:val="clear" w:color="auto" w:fill="CFF0FC"/>
          </w:tcPr>
          <w:p>
            <w:pPr>
              <w:spacing w:after="0"/>
              <w:rPr>
                <w:sz w:val="22"/>
                <w:szCs w:val="22"/>
                <w:color w:val="auto"/>
              </w:rPr>
            </w:pPr>
          </w:p>
        </w:tc>
        <w:tc>
          <w:tcPr>
            <w:tcW w:w="640" w:type="dxa"/>
            <w:vAlign w:val="bottom"/>
            <w:tcBorders>
              <w:top w:val="single" w:sz="8" w:color="auto"/>
            </w:tcBorders>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40" w:type="dxa"/>
            <w:vAlign w:val="bottom"/>
            <w:tcBorders>
              <w:top w:val="single" w:sz="8" w:color="auto"/>
            </w:tcBorders>
            <w:shd w:val="clear" w:color="auto" w:fill="CFF0FC"/>
          </w:tcPr>
          <w:p>
            <w:pPr>
              <w:spacing w:after="0"/>
              <w:rPr>
                <w:sz w:val="22"/>
                <w:szCs w:val="22"/>
                <w:color w:val="auto"/>
              </w:rPr>
            </w:pPr>
          </w:p>
        </w:tc>
        <w:tc>
          <w:tcPr>
            <w:tcW w:w="140" w:type="dxa"/>
            <w:vAlign w:val="bottom"/>
            <w:tcBorders>
              <w:top w:val="single" w:sz="8" w:color="auto"/>
            </w:tcBorders>
            <w:shd w:val="clear" w:color="auto" w:fill="CFF0FC"/>
          </w:tcPr>
          <w:p>
            <w:pPr>
              <w:spacing w:after="0"/>
              <w:rPr>
                <w:sz w:val="22"/>
                <w:szCs w:val="22"/>
                <w:color w:val="auto"/>
              </w:rPr>
            </w:pPr>
          </w:p>
        </w:tc>
        <w:tc>
          <w:tcPr>
            <w:tcW w:w="160" w:type="dxa"/>
            <w:vAlign w:val="bottom"/>
            <w:tcBorders>
              <w:top w:val="single" w:sz="8" w:color="auto"/>
            </w:tcBorders>
            <w:shd w:val="clear" w:color="auto" w:fill="CFF0FC"/>
          </w:tcPr>
          <w:p>
            <w:pPr>
              <w:spacing w:after="0"/>
              <w:rPr>
                <w:sz w:val="22"/>
                <w:szCs w:val="22"/>
                <w:color w:val="auto"/>
              </w:rPr>
            </w:pPr>
          </w:p>
        </w:tc>
        <w:tc>
          <w:tcPr>
            <w:tcW w:w="1100" w:type="dxa"/>
            <w:vAlign w:val="bottom"/>
            <w:tcBorders>
              <w:top w:val="single" w:sz="8" w:color="auto"/>
            </w:tcBorders>
            <w:gridSpan w:val="2"/>
            <w:shd w:val="clear" w:color="auto" w:fill="CFF0FC"/>
          </w:tcPr>
          <w:p>
            <w:pPr>
              <w:ind w:left="360"/>
              <w:spacing w:after="0"/>
              <w:rPr>
                <w:sz w:val="20"/>
                <w:szCs w:val="20"/>
                <w:color w:val="auto"/>
              </w:rPr>
            </w:pPr>
            <w:r>
              <w:rPr>
                <w:rFonts w:ascii="Arial" w:cs="Arial" w:eastAsia="Arial" w:hAnsi="Arial"/>
                <w:sz w:val="18"/>
                <w:szCs w:val="18"/>
                <w:color w:val="auto"/>
              </w:rPr>
              <w:t>4.07%</w:t>
            </w:r>
          </w:p>
        </w:tc>
        <w:tc>
          <w:tcPr>
            <w:tcW w:w="620" w:type="dxa"/>
            <w:vAlign w:val="bottom"/>
            <w:tcBorders>
              <w:top w:val="single" w:sz="8" w:color="auto"/>
            </w:tcBorders>
            <w:shd w:val="clear" w:color="auto" w:fill="CFF0FC"/>
          </w:tcPr>
          <w:p>
            <w:pPr>
              <w:spacing w:after="0"/>
              <w:rPr>
                <w:sz w:val="22"/>
                <w:szCs w:val="22"/>
                <w:color w:val="auto"/>
              </w:rPr>
            </w:pP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w w:val="92"/>
              </w:rPr>
              <w:t>Weighted-average remaining lease term - operating leases</w:t>
            </w: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0" w:type="dxa"/>
            <w:vAlign w:val="bottom"/>
            <w:gridSpan w:val="4"/>
          </w:tcPr>
          <w:p>
            <w:pPr>
              <w:jc w:val="center"/>
              <w:spacing w:after="0"/>
              <w:rPr>
                <w:sz w:val="20"/>
                <w:szCs w:val="20"/>
                <w:color w:val="auto"/>
              </w:rPr>
            </w:pPr>
            <w:r>
              <w:rPr>
                <w:rFonts w:ascii="Arial" w:cs="Arial" w:eastAsia="Arial" w:hAnsi="Arial"/>
                <w:sz w:val="18"/>
                <w:szCs w:val="18"/>
                <w:color w:val="auto"/>
                <w:w w:val="87"/>
              </w:rPr>
              <w:t>3.42 years</w:t>
            </w: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ind w:left="80"/>
              <w:spacing w:after="0"/>
              <w:rPr>
                <w:sz w:val="20"/>
                <w:szCs w:val="20"/>
                <w:color w:val="auto"/>
              </w:rPr>
            </w:pPr>
            <w:r>
              <w:rPr>
                <w:rFonts w:ascii="Arial" w:cs="Arial" w:eastAsia="Arial" w:hAnsi="Arial"/>
                <w:sz w:val="18"/>
                <w:szCs w:val="18"/>
                <w:color w:val="auto"/>
              </w:rPr>
              <w:t>3.99 years</w:t>
            </w:r>
          </w:p>
        </w:tc>
        <w:tc>
          <w:tcPr>
            <w:tcW w:w="620" w:type="dxa"/>
            <w:vAlign w:val="bottom"/>
          </w:tcPr>
          <w:p>
            <w:pPr>
              <w:spacing w:after="0"/>
              <w:rPr>
                <w:sz w:val="21"/>
                <w:szCs w:val="21"/>
                <w:color w:val="auto"/>
              </w:rPr>
            </w:pPr>
          </w:p>
        </w:tc>
      </w:tr>
      <w:tr>
        <w:trPr>
          <w:trHeight w:val="533"/>
        </w:trPr>
        <w:tc>
          <w:tcPr>
            <w:tcW w:w="4360" w:type="dxa"/>
            <w:vAlign w:val="bottom"/>
          </w:tcPr>
          <w:p>
            <w:pPr>
              <w:spacing w:after="0"/>
              <w:rPr>
                <w:sz w:val="24"/>
                <w:szCs w:val="24"/>
                <w:color w:val="auto"/>
              </w:rPr>
            </w:pPr>
          </w:p>
        </w:tc>
        <w:tc>
          <w:tcPr>
            <w:tcW w:w="3560" w:type="dxa"/>
            <w:vAlign w:val="bottom"/>
            <w:gridSpan w:val="9"/>
          </w:tcPr>
          <w:p>
            <w:pPr>
              <w:ind w:left="260"/>
              <w:spacing w:after="0"/>
              <w:rPr>
                <w:sz w:val="20"/>
                <w:szCs w:val="20"/>
                <w:color w:val="auto"/>
              </w:rPr>
            </w:pPr>
            <w:r>
              <w:rPr>
                <w:rFonts w:ascii="Arial" w:cs="Arial" w:eastAsia="Arial" w:hAnsi="Arial"/>
                <w:sz w:val="18"/>
                <w:szCs w:val="18"/>
                <w:b w:val="1"/>
                <w:bCs w:val="1"/>
                <w:color w:val="auto"/>
              </w:rPr>
              <w:t>Three Months Ended September 30,</w:t>
            </w:r>
          </w:p>
        </w:tc>
        <w:tc>
          <w:tcPr>
            <w:tcW w:w="180" w:type="dxa"/>
            <w:vAlign w:val="bottom"/>
          </w:tcPr>
          <w:p>
            <w:pPr>
              <w:spacing w:after="0"/>
              <w:rPr>
                <w:sz w:val="24"/>
                <w:szCs w:val="24"/>
                <w:color w:val="auto"/>
              </w:rPr>
            </w:pPr>
          </w:p>
        </w:tc>
        <w:tc>
          <w:tcPr>
            <w:tcW w:w="3140" w:type="dxa"/>
            <w:vAlign w:val="bottom"/>
            <w:gridSpan w:val="8"/>
          </w:tcPr>
          <w:p>
            <w:pPr>
              <w:jc w:val="right"/>
              <w:ind w:right="290"/>
              <w:spacing w:after="0"/>
              <w:rPr>
                <w:sz w:val="20"/>
                <w:szCs w:val="20"/>
                <w:color w:val="auto"/>
              </w:rPr>
            </w:pPr>
            <w:r>
              <w:rPr>
                <w:rFonts w:ascii="Arial" w:cs="Arial" w:eastAsia="Arial" w:hAnsi="Arial"/>
                <w:sz w:val="18"/>
                <w:szCs w:val="18"/>
                <w:b w:val="1"/>
                <w:bCs w:val="1"/>
                <w:color w:val="auto"/>
                <w:w w:val="92"/>
              </w:rPr>
              <w:t>Nine Months Ended September 30,</w:t>
            </w:r>
          </w:p>
        </w:tc>
      </w:tr>
      <w:tr>
        <w:trPr>
          <w:trHeight w:val="250"/>
        </w:trPr>
        <w:tc>
          <w:tcPr>
            <w:tcW w:w="4360" w:type="dxa"/>
            <w:vAlign w:val="bottom"/>
          </w:tcPr>
          <w:p>
            <w:pPr>
              <w:spacing w:after="0"/>
              <w:rPr>
                <w:sz w:val="21"/>
                <w:szCs w:val="21"/>
                <w:color w:val="auto"/>
              </w:rPr>
            </w:pPr>
          </w:p>
        </w:tc>
        <w:tc>
          <w:tcPr>
            <w:tcW w:w="100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2021</w:t>
            </w:r>
          </w:p>
        </w:tc>
        <w:tc>
          <w:tcPr>
            <w:tcW w:w="62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bottom w:val="single" w:sz="8" w:color="auto"/>
            </w:tcBorders>
          </w:tcPr>
          <w:p>
            <w:pPr>
              <w:spacing w:after="0"/>
              <w:rPr>
                <w:sz w:val="21"/>
                <w:szCs w:val="21"/>
                <w:color w:val="auto"/>
              </w:rPr>
            </w:pPr>
          </w:p>
        </w:tc>
        <w:tc>
          <w:tcPr>
            <w:tcW w:w="460" w:type="dxa"/>
            <w:vAlign w:val="bottom"/>
            <w:tcBorders>
              <w:top w:val="single" w:sz="8" w:color="auto"/>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20" w:type="dxa"/>
            <w:vAlign w:val="bottom"/>
            <w:tcBorders>
              <w:top w:val="single" w:sz="8" w:color="auto"/>
              <w:bottom w:val="single" w:sz="8" w:color="auto"/>
            </w:tcBorders>
          </w:tcPr>
          <w:p>
            <w:pPr>
              <w:spacing w:after="0"/>
              <w:rPr>
                <w:sz w:val="21"/>
                <w:szCs w:val="21"/>
                <w:color w:val="auto"/>
              </w:rPr>
            </w:pPr>
          </w:p>
        </w:tc>
      </w:tr>
      <w:tr>
        <w:trPr>
          <w:trHeight w:val="256"/>
        </w:trPr>
        <w:tc>
          <w:tcPr>
            <w:tcW w:w="4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cost</w:t>
            </w:r>
          </w:p>
        </w:tc>
        <w:tc>
          <w:tcPr>
            <w:tcW w:w="840" w:type="dxa"/>
            <w:vAlign w:val="bottom"/>
            <w:shd w:val="clear" w:color="auto" w:fill="CFF0FC"/>
          </w:tcPr>
          <w:p>
            <w:pPr>
              <w:jc w:val="right"/>
              <w:ind w:right="63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FF0FC"/>
          </w:tcPr>
          <w:p>
            <w:pPr>
              <w:spacing w:after="0"/>
              <w:rPr>
                <w:sz w:val="22"/>
                <w:szCs w:val="22"/>
                <w:color w:val="auto"/>
              </w:rPr>
            </w:pP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4,736</w:t>
            </w:r>
          </w:p>
        </w:tc>
        <w:tc>
          <w:tcPr>
            <w:tcW w:w="4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spacing w:after="0"/>
              <w:rPr>
                <w:sz w:val="22"/>
                <w:szCs w:val="22"/>
                <w:color w:val="auto"/>
              </w:rPr>
            </w:pPr>
          </w:p>
        </w:tc>
        <w:tc>
          <w:tcPr>
            <w:tcW w:w="6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4,914</w:t>
            </w:r>
          </w:p>
        </w:tc>
        <w:tc>
          <w:tcPr>
            <w:tcW w:w="14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5"/>
            <w:shd w:val="clear" w:color="auto" w:fill="CFF0FC"/>
          </w:tcPr>
          <w:p>
            <w:pPr>
              <w:jc w:val="right"/>
              <w:ind w:right="30"/>
              <w:spacing w:after="0"/>
              <w:rPr>
                <w:sz w:val="20"/>
                <w:szCs w:val="20"/>
                <w:color w:val="auto"/>
              </w:rPr>
            </w:pPr>
            <w:r>
              <w:rPr>
                <w:rFonts w:ascii="Arial" w:cs="Arial" w:eastAsia="Arial" w:hAnsi="Arial"/>
                <w:sz w:val="18"/>
                <w:szCs w:val="18"/>
                <w:color w:val="auto"/>
              </w:rPr>
              <w:t>14,425</w:t>
            </w:r>
          </w:p>
        </w:tc>
        <w:tc>
          <w:tcPr>
            <w:tcW w:w="110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87"/>
              </w:rPr>
              <w:t>14,568</w:t>
            </w:r>
          </w:p>
        </w:tc>
      </w:tr>
      <w:tr>
        <w:trPr>
          <w:trHeight w:val="250"/>
        </w:trPr>
        <w:tc>
          <w:tcPr>
            <w:tcW w:w="436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1,370</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gridSpan w:val="2"/>
          </w:tcPr>
          <w:p>
            <w:pPr>
              <w:jc w:val="right"/>
              <w:ind w:right="50"/>
              <w:spacing w:after="0"/>
              <w:rPr>
                <w:sz w:val="20"/>
                <w:szCs w:val="20"/>
                <w:color w:val="auto"/>
              </w:rPr>
            </w:pPr>
            <w:r>
              <w:rPr>
                <w:rFonts w:ascii="Arial" w:cs="Arial" w:eastAsia="Arial" w:hAnsi="Arial"/>
                <w:sz w:val="18"/>
                <w:szCs w:val="18"/>
                <w:color w:val="auto"/>
              </w:rPr>
              <w:t>1,427</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5"/>
          </w:tcPr>
          <w:p>
            <w:pPr>
              <w:jc w:val="right"/>
              <w:ind w:right="30"/>
              <w:spacing w:after="0"/>
              <w:rPr>
                <w:sz w:val="20"/>
                <w:szCs w:val="20"/>
                <w:color w:val="auto"/>
              </w:rPr>
            </w:pPr>
            <w:r>
              <w:rPr>
                <w:rFonts w:ascii="Arial" w:cs="Arial" w:eastAsia="Arial" w:hAnsi="Arial"/>
                <w:sz w:val="18"/>
                <w:szCs w:val="18"/>
                <w:color w:val="auto"/>
              </w:rPr>
              <w:t>3,753</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4,463</w:t>
            </w:r>
          </w:p>
        </w:tc>
      </w:tr>
      <w:tr>
        <w:trPr>
          <w:trHeight w:val="257"/>
        </w:trPr>
        <w:tc>
          <w:tcPr>
            <w:tcW w:w="4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Sublease income - operating leases</w:t>
            </w:r>
          </w:p>
        </w:tc>
        <w:tc>
          <w:tcPr>
            <w:tcW w:w="840" w:type="dxa"/>
            <w:vAlign w:val="bottom"/>
            <w:tcBorders>
              <w:bottom w:val="single" w:sz="8" w:color="auto"/>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(753 )</w:t>
            </w:r>
          </w:p>
        </w:tc>
        <w:tc>
          <w:tcPr>
            <w:tcW w:w="18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640" w:type="dxa"/>
            <w:vAlign w:val="bottom"/>
            <w:tcBorders>
              <w:bottom w:val="single" w:sz="8" w:color="auto"/>
            </w:tcBorders>
            <w:shd w:val="clear" w:color="auto" w:fill="CFF0FC"/>
          </w:tcPr>
          <w:p>
            <w:pPr>
              <w:spacing w:after="0"/>
              <w:rPr>
                <w:sz w:val="22"/>
                <w:szCs w:val="22"/>
                <w:color w:val="auto"/>
              </w:rPr>
            </w:pPr>
          </w:p>
        </w:tc>
        <w:tc>
          <w:tcPr>
            <w:tcW w:w="6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(996 )</w:t>
            </w:r>
          </w:p>
        </w:tc>
        <w:tc>
          <w:tcPr>
            <w:tcW w:w="1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1420" w:type="dxa"/>
            <w:vAlign w:val="bottom"/>
            <w:tcBorders>
              <w:bottom w:val="single" w:sz="8" w:color="auto"/>
            </w:tcBorders>
            <w:gridSpan w:val="5"/>
            <w:shd w:val="clear" w:color="auto" w:fill="CFF0FC"/>
          </w:tcPr>
          <w:p>
            <w:pPr>
              <w:jc w:val="right"/>
              <w:spacing w:after="0"/>
              <w:rPr>
                <w:sz w:val="20"/>
                <w:szCs w:val="20"/>
                <w:color w:val="auto"/>
              </w:rPr>
            </w:pPr>
            <w:r>
              <w:rPr>
                <w:rFonts w:ascii="Arial" w:cs="Arial" w:eastAsia="Arial" w:hAnsi="Arial"/>
                <w:sz w:val="18"/>
                <w:szCs w:val="18"/>
                <w:color w:val="auto"/>
              </w:rPr>
              <w:t>(2,366 )</w:t>
            </w:r>
          </w:p>
        </w:tc>
        <w:tc>
          <w:tcPr>
            <w:tcW w:w="140" w:type="dxa"/>
            <w:vAlign w:val="bottom"/>
            <w:tcBorders>
              <w:bottom w:val="single" w:sz="8" w:color="CFF0FC"/>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spacing w:after="0"/>
              <w:rPr>
                <w:sz w:val="22"/>
                <w:szCs w:val="2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(2,947 )</w:t>
            </w:r>
          </w:p>
        </w:tc>
      </w:tr>
      <w:tr>
        <w:trPr>
          <w:trHeight w:val="250"/>
        </w:trPr>
        <w:tc>
          <w:tcPr>
            <w:tcW w:w="4360" w:type="dxa"/>
            <w:vAlign w:val="bottom"/>
          </w:tcPr>
          <w:p>
            <w:pPr>
              <w:ind w:left="20"/>
              <w:spacing w:after="0"/>
              <w:rPr>
                <w:sz w:val="20"/>
                <w:szCs w:val="20"/>
                <w:color w:val="auto"/>
              </w:rPr>
            </w:pPr>
            <w:r>
              <w:rPr>
                <w:rFonts w:ascii="Arial" w:cs="Arial" w:eastAsia="Arial" w:hAnsi="Arial"/>
                <w:sz w:val="18"/>
                <w:szCs w:val="18"/>
                <w:color w:val="auto"/>
              </w:rPr>
              <w:t>Total net lease cost</w:t>
            </w:r>
          </w:p>
        </w:tc>
        <w:tc>
          <w:tcPr>
            <w:tcW w:w="8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5,353</w:t>
            </w:r>
          </w:p>
        </w:tc>
        <w:tc>
          <w:tcPr>
            <w:tcW w:w="18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5,345</w:t>
            </w:r>
          </w:p>
        </w:tc>
        <w:tc>
          <w:tcPr>
            <w:tcW w:w="14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gridSpan w:val="5"/>
          </w:tcPr>
          <w:p>
            <w:pPr>
              <w:jc w:val="right"/>
              <w:ind w:right="30"/>
              <w:spacing w:after="0"/>
              <w:rPr>
                <w:sz w:val="20"/>
                <w:szCs w:val="20"/>
                <w:color w:val="auto"/>
              </w:rPr>
            </w:pPr>
            <w:r>
              <w:rPr>
                <w:rFonts w:ascii="Arial" w:cs="Arial" w:eastAsia="Arial" w:hAnsi="Arial"/>
                <w:sz w:val="18"/>
                <w:szCs w:val="18"/>
                <w:color w:val="auto"/>
              </w:rPr>
              <w:t>15,812</w:t>
            </w:r>
          </w:p>
        </w:tc>
        <w:tc>
          <w:tcPr>
            <w:tcW w:w="140" w:type="dxa"/>
            <w:vAlign w:val="bottom"/>
          </w:tcPr>
          <w:p>
            <w:pPr>
              <w:spacing w:after="0"/>
              <w:rPr>
                <w:sz w:val="21"/>
                <w:szCs w:val="21"/>
                <w:color w:val="auto"/>
              </w:rPr>
            </w:pP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7"/>
              </w:rPr>
              <w:t>16,084</w:t>
            </w:r>
          </w:p>
        </w:tc>
      </w:tr>
      <w:tr>
        <w:trPr>
          <w:trHeight w:val="20"/>
        </w:trPr>
        <w:tc>
          <w:tcPr>
            <w:tcW w:w="43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4"/>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244"/>
        </w:trPr>
        <w:tc>
          <w:tcPr>
            <w:tcW w:w="43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60" w:type="dxa"/>
            <w:vAlign w:val="bottom"/>
            <w:gridSpan w:val="4"/>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Cash paid for lease obligation</w:t>
            </w: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5"/>
          </w:tcPr>
          <w:p>
            <w:pPr>
              <w:jc w:val="right"/>
              <w:ind w:right="30"/>
              <w:spacing w:after="0"/>
              <w:rPr>
                <w:sz w:val="20"/>
                <w:szCs w:val="20"/>
                <w:color w:val="auto"/>
              </w:rPr>
            </w:pPr>
            <w:r>
              <w:rPr>
                <w:rFonts w:ascii="Arial" w:cs="Arial" w:eastAsia="Arial" w:hAnsi="Arial"/>
                <w:sz w:val="18"/>
                <w:szCs w:val="18"/>
                <w:color w:val="auto"/>
              </w:rPr>
              <w:t>15,100</w:t>
            </w:r>
          </w:p>
        </w:tc>
        <w:tc>
          <w:tcPr>
            <w:tcW w:w="11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w w:val="87"/>
              </w:rPr>
              <w:t>16,250</w:t>
            </w:r>
          </w:p>
        </w:tc>
      </w:tr>
      <w:tr>
        <w:trPr>
          <w:trHeight w:val="459"/>
        </w:trPr>
        <w:tc>
          <w:tcPr>
            <w:tcW w:w="9220" w:type="dxa"/>
            <w:vAlign w:val="bottom"/>
            <w:gridSpan w:val="14"/>
          </w:tcPr>
          <w:p>
            <w:pPr>
              <w:ind w:left="480"/>
              <w:spacing w:after="0"/>
              <w:rPr>
                <w:sz w:val="20"/>
                <w:szCs w:val="20"/>
                <w:color w:val="auto"/>
              </w:rPr>
            </w:pPr>
            <w:r>
              <w:rPr>
                <w:rFonts w:ascii="Arial" w:cs="Arial" w:eastAsia="Arial" w:hAnsi="Arial"/>
                <w:sz w:val="18"/>
                <w:szCs w:val="18"/>
                <w:color w:val="auto"/>
                <w:w w:val="95"/>
              </w:rPr>
              <w:t>As of September 30, 2021, the maturities of undiscounted operating lease liabilities of the Company are as follows:</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68"/>
        </w:trPr>
        <w:tc>
          <w:tcPr>
            <w:tcW w:w="4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Minimum</w:t>
            </w:r>
          </w:p>
        </w:tc>
      </w:tr>
      <w:tr>
        <w:trPr>
          <w:trHeight w:val="248"/>
        </w:trPr>
        <w:tc>
          <w:tcPr>
            <w:tcW w:w="4360" w:type="dxa"/>
            <w:vAlign w:val="bottom"/>
          </w:tcPr>
          <w:p>
            <w:pPr>
              <w:ind w:left="20"/>
              <w:spacing w:after="0"/>
              <w:rPr>
                <w:sz w:val="20"/>
                <w:szCs w:val="20"/>
                <w:color w:val="auto"/>
              </w:rPr>
            </w:pPr>
            <w:r>
              <w:rPr>
                <w:rFonts w:ascii="Arial" w:cs="Arial" w:eastAsia="Arial" w:hAnsi="Arial"/>
                <w:sz w:val="18"/>
                <w:szCs w:val="18"/>
                <w:b w:val="1"/>
                <w:bCs w:val="1"/>
                <w:color w:val="auto"/>
              </w:rPr>
              <w:t>Years Ending:</w:t>
            </w:r>
          </w:p>
        </w:tc>
        <w:tc>
          <w:tcPr>
            <w:tcW w:w="8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8"/>
                <w:szCs w:val="18"/>
                <w:b w:val="1"/>
                <w:bCs w:val="1"/>
                <w:color w:val="auto"/>
                <w:w w:val="91"/>
              </w:rPr>
              <w:t>Operating Leases</w:t>
            </w:r>
          </w:p>
        </w:tc>
        <w:tc>
          <w:tcPr>
            <w:tcW w:w="220" w:type="dxa"/>
            <w:vAlign w:val="bottom"/>
          </w:tcPr>
          <w:p>
            <w:pPr>
              <w:spacing w:after="0"/>
              <w:rPr>
                <w:sz w:val="21"/>
                <w:szCs w:val="21"/>
                <w:color w:val="auto"/>
              </w:rPr>
            </w:pPr>
          </w:p>
        </w:tc>
        <w:tc>
          <w:tcPr>
            <w:tcW w:w="1900" w:type="dxa"/>
            <w:vAlign w:val="bottom"/>
            <w:tcBorders>
              <w:bottom w:val="single" w:sz="8" w:color="auto"/>
            </w:tcBorders>
            <w:gridSpan w:val="6"/>
          </w:tcPr>
          <w:p>
            <w:pPr>
              <w:jc w:val="right"/>
              <w:ind w:right="360"/>
              <w:spacing w:after="0"/>
              <w:rPr>
                <w:sz w:val="20"/>
                <w:szCs w:val="20"/>
                <w:color w:val="auto"/>
              </w:rPr>
            </w:pPr>
            <w:r>
              <w:rPr>
                <w:rFonts w:ascii="Arial" w:cs="Arial" w:eastAsia="Arial" w:hAnsi="Arial"/>
                <w:sz w:val="18"/>
                <w:szCs w:val="18"/>
                <w:b w:val="1"/>
                <w:bCs w:val="1"/>
                <w:color w:val="auto"/>
              </w:rPr>
              <w:t>Sublease Income</w:t>
            </w: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w w:val="84"/>
              </w:rPr>
              <w:t>Payments</w:t>
            </w:r>
          </w:p>
        </w:tc>
        <w:tc>
          <w:tcPr>
            <w:tcW w:w="620" w:type="dxa"/>
            <w:vAlign w:val="bottom"/>
            <w:tcBorders>
              <w:bottom w:val="single" w:sz="8" w:color="auto"/>
            </w:tcBorders>
          </w:tcPr>
          <w:p>
            <w:pPr>
              <w:spacing w:after="0"/>
              <w:rPr>
                <w:sz w:val="21"/>
                <w:szCs w:val="21"/>
                <w:color w:val="auto"/>
              </w:rPr>
            </w:pPr>
          </w:p>
        </w:tc>
      </w:tr>
      <w:tr>
        <w:trPr>
          <w:trHeight w:val="250"/>
        </w:trPr>
        <w:tc>
          <w:tcPr>
            <w:tcW w:w="4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Remainder of 2021</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spacing w:after="0"/>
              <w:rPr>
                <w:sz w:val="21"/>
                <w:szCs w:val="21"/>
                <w:color w:val="auto"/>
              </w:rPr>
            </w:pPr>
          </w:p>
        </w:tc>
        <w:tc>
          <w:tcPr>
            <w:tcW w:w="1120" w:type="dxa"/>
            <w:vAlign w:val="bottom"/>
            <w:gridSpan w:val="3"/>
            <w:shd w:val="clear" w:color="auto" w:fill="CFF0FC"/>
          </w:tcPr>
          <w:p>
            <w:pPr>
              <w:jc w:val="right"/>
              <w:ind w:right="30"/>
              <w:spacing w:after="0"/>
              <w:rPr>
                <w:sz w:val="20"/>
                <w:szCs w:val="20"/>
                <w:color w:val="auto"/>
              </w:rPr>
            </w:pPr>
            <w:r>
              <w:rPr>
                <w:rFonts w:ascii="Arial" w:cs="Arial" w:eastAsia="Arial" w:hAnsi="Arial"/>
                <w:sz w:val="18"/>
                <w:szCs w:val="18"/>
                <w:color w:val="auto"/>
              </w:rPr>
              <w:t>4,774</w:t>
            </w:r>
          </w:p>
        </w:tc>
        <w:tc>
          <w:tcPr>
            <w:tcW w:w="680" w:type="dxa"/>
            <w:vAlign w:val="bottom"/>
            <w:gridSpan w:val="2"/>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2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582</w:t>
            </w:r>
          </w:p>
        </w:tc>
        <w:tc>
          <w:tcPr>
            <w:tcW w:w="30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4,192</w:t>
            </w:r>
          </w:p>
        </w:tc>
      </w:tr>
      <w:tr>
        <w:trPr>
          <w:trHeight w:val="250"/>
        </w:trPr>
        <w:tc>
          <w:tcPr>
            <w:tcW w:w="4360" w:type="dxa"/>
            <w:vAlign w:val="bottom"/>
          </w:tcPr>
          <w:p>
            <w:pPr>
              <w:ind w:left="20"/>
              <w:spacing w:after="0"/>
              <w:rPr>
                <w:sz w:val="20"/>
                <w:szCs w:val="20"/>
                <w:color w:val="auto"/>
              </w:rPr>
            </w:pPr>
            <w:r>
              <w:rPr>
                <w:rFonts w:ascii="Arial" w:cs="Arial" w:eastAsia="Arial" w:hAnsi="Arial"/>
                <w:sz w:val="18"/>
                <w:szCs w:val="18"/>
                <w:color w:val="auto"/>
              </w:rPr>
              <w:t>2022</w:t>
            </w: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20" w:type="dxa"/>
            <w:vAlign w:val="bottom"/>
            <w:gridSpan w:val="3"/>
          </w:tcPr>
          <w:p>
            <w:pPr>
              <w:jc w:val="right"/>
              <w:ind w:right="30"/>
              <w:spacing w:after="0"/>
              <w:rPr>
                <w:sz w:val="20"/>
                <w:szCs w:val="20"/>
                <w:color w:val="auto"/>
              </w:rPr>
            </w:pPr>
            <w:r>
              <w:rPr>
                <w:rFonts w:ascii="Arial" w:cs="Arial" w:eastAsia="Arial" w:hAnsi="Arial"/>
                <w:sz w:val="18"/>
                <w:szCs w:val="18"/>
                <w:color w:val="auto"/>
              </w:rPr>
              <w:t>19,086</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194</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w w:val="87"/>
              </w:rPr>
              <w:t>18,892</w:t>
            </w:r>
          </w:p>
        </w:tc>
      </w:tr>
      <w:tr>
        <w:trPr>
          <w:trHeight w:val="263"/>
        </w:trPr>
        <w:tc>
          <w:tcPr>
            <w:tcW w:w="4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8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1120" w:type="dxa"/>
            <w:vAlign w:val="bottom"/>
            <w:gridSpan w:val="3"/>
            <w:shd w:val="clear" w:color="auto" w:fill="CFF0FC"/>
          </w:tcPr>
          <w:p>
            <w:pPr>
              <w:jc w:val="right"/>
              <w:ind w:right="30"/>
              <w:spacing w:after="0"/>
              <w:rPr>
                <w:sz w:val="20"/>
                <w:szCs w:val="20"/>
                <w:color w:val="auto"/>
              </w:rPr>
            </w:pPr>
            <w:r>
              <w:rPr>
                <w:rFonts w:ascii="Arial" w:cs="Arial" w:eastAsia="Arial" w:hAnsi="Arial"/>
                <w:sz w:val="18"/>
                <w:szCs w:val="18"/>
                <w:color w:val="auto"/>
              </w:rPr>
              <w:t>13,641</w:t>
            </w:r>
          </w:p>
        </w:tc>
        <w:tc>
          <w:tcPr>
            <w:tcW w:w="22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12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87"/>
              </w:rPr>
              <w:t>13,641</w:t>
            </w:r>
          </w:p>
        </w:tc>
      </w:tr>
      <w:tr>
        <w:trPr>
          <w:trHeight w:val="250"/>
        </w:trPr>
        <w:tc>
          <w:tcPr>
            <w:tcW w:w="4360" w:type="dxa"/>
            <w:vAlign w:val="bottom"/>
          </w:tcPr>
          <w:p>
            <w:pPr>
              <w:ind w:left="20"/>
              <w:spacing w:after="0"/>
              <w:rPr>
                <w:sz w:val="20"/>
                <w:szCs w:val="20"/>
                <w:color w:val="auto"/>
              </w:rPr>
            </w:pPr>
            <w:r>
              <w:rPr>
                <w:rFonts w:ascii="Arial" w:cs="Arial" w:eastAsia="Arial" w:hAnsi="Arial"/>
                <w:sz w:val="18"/>
                <w:szCs w:val="18"/>
                <w:color w:val="auto"/>
              </w:rPr>
              <w:t>2024</w:t>
            </w: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20" w:type="dxa"/>
            <w:vAlign w:val="bottom"/>
            <w:gridSpan w:val="3"/>
          </w:tcPr>
          <w:p>
            <w:pPr>
              <w:jc w:val="right"/>
              <w:ind w:right="30"/>
              <w:spacing w:after="0"/>
              <w:rPr>
                <w:sz w:val="20"/>
                <w:szCs w:val="20"/>
                <w:color w:val="auto"/>
              </w:rPr>
            </w:pPr>
            <w:r>
              <w:rPr>
                <w:rFonts w:ascii="Arial" w:cs="Arial" w:eastAsia="Arial" w:hAnsi="Arial"/>
                <w:sz w:val="18"/>
                <w:szCs w:val="18"/>
                <w:color w:val="auto"/>
              </w:rPr>
              <w:t>4,380</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4,380</w:t>
            </w:r>
          </w:p>
        </w:tc>
      </w:tr>
      <w:tr>
        <w:trPr>
          <w:trHeight w:val="263"/>
        </w:trPr>
        <w:tc>
          <w:tcPr>
            <w:tcW w:w="4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8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1120" w:type="dxa"/>
            <w:vAlign w:val="bottom"/>
            <w:gridSpan w:val="3"/>
            <w:shd w:val="clear" w:color="auto" w:fill="CFF0FC"/>
          </w:tcPr>
          <w:p>
            <w:pPr>
              <w:jc w:val="right"/>
              <w:ind w:right="30"/>
              <w:spacing w:after="0"/>
              <w:rPr>
                <w:sz w:val="20"/>
                <w:szCs w:val="20"/>
                <w:color w:val="auto"/>
              </w:rPr>
            </w:pPr>
            <w:r>
              <w:rPr>
                <w:rFonts w:ascii="Arial" w:cs="Arial" w:eastAsia="Arial" w:hAnsi="Arial"/>
                <w:sz w:val="18"/>
                <w:szCs w:val="18"/>
                <w:color w:val="auto"/>
              </w:rPr>
              <w:t>2,871</w:t>
            </w:r>
          </w:p>
        </w:tc>
        <w:tc>
          <w:tcPr>
            <w:tcW w:w="22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12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2,871</w:t>
            </w:r>
          </w:p>
        </w:tc>
      </w:tr>
      <w:tr>
        <w:trPr>
          <w:trHeight w:val="250"/>
        </w:trPr>
        <w:tc>
          <w:tcPr>
            <w:tcW w:w="43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8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5,015</w:t>
            </w:r>
          </w:p>
        </w:tc>
        <w:tc>
          <w:tcPr>
            <w:tcW w:w="22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5,015</w:t>
            </w:r>
          </w:p>
        </w:tc>
      </w:tr>
      <w:tr>
        <w:trPr>
          <w:trHeight w:val="297"/>
        </w:trPr>
        <w:tc>
          <w:tcPr>
            <w:tcW w:w="4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minimum lease payments</w:t>
            </w:r>
          </w:p>
        </w:tc>
        <w:tc>
          <w:tcPr>
            <w:tcW w:w="84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620" w:type="dxa"/>
            <w:vAlign w:val="bottom"/>
            <w:shd w:val="clear" w:color="auto" w:fill="CFF0FC"/>
          </w:tcPr>
          <w:p>
            <w:pPr>
              <w:spacing w:after="0"/>
              <w:rPr>
                <w:sz w:val="24"/>
                <w:szCs w:val="24"/>
                <w:color w:val="auto"/>
              </w:rPr>
            </w:pPr>
          </w:p>
        </w:tc>
        <w:tc>
          <w:tcPr>
            <w:tcW w:w="1120" w:type="dxa"/>
            <w:vAlign w:val="bottom"/>
            <w:gridSpan w:val="3"/>
            <w:shd w:val="clear" w:color="auto" w:fill="CFF0FC"/>
          </w:tcPr>
          <w:p>
            <w:pPr>
              <w:jc w:val="right"/>
              <w:ind w:right="30"/>
              <w:spacing w:after="0"/>
              <w:rPr>
                <w:sz w:val="20"/>
                <w:szCs w:val="20"/>
                <w:color w:val="auto"/>
              </w:rPr>
            </w:pPr>
            <w:r>
              <w:rPr>
                <w:rFonts w:ascii="Arial" w:cs="Arial" w:eastAsia="Arial" w:hAnsi="Arial"/>
                <w:sz w:val="18"/>
                <w:szCs w:val="18"/>
                <w:color w:val="auto"/>
              </w:rPr>
              <w:t>49,767</w:t>
            </w:r>
          </w:p>
        </w:tc>
        <w:tc>
          <w:tcPr>
            <w:tcW w:w="680" w:type="dxa"/>
            <w:vAlign w:val="bottom"/>
            <w:gridSpan w:val="2"/>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112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776</w:t>
            </w:r>
          </w:p>
        </w:tc>
        <w:tc>
          <w:tcPr>
            <w:tcW w:w="30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4"/>
                <w:szCs w:val="24"/>
                <w:color w:val="auto"/>
              </w:rPr>
            </w:pPr>
          </w:p>
        </w:tc>
        <w:tc>
          <w:tcPr>
            <w:tcW w:w="960" w:type="dxa"/>
            <w:vAlign w:val="bottom"/>
            <w:shd w:val="clear" w:color="auto" w:fill="CFF0FC"/>
          </w:tcPr>
          <w:p>
            <w:pPr>
              <w:spacing w:after="0"/>
              <w:rPr>
                <w:sz w:val="24"/>
                <w:szCs w:val="24"/>
                <w:color w:val="auto"/>
              </w:rPr>
            </w:pP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87"/>
              </w:rPr>
              <w:t>48,991</w:t>
            </w:r>
          </w:p>
        </w:tc>
      </w:tr>
      <w:tr>
        <w:trPr>
          <w:trHeight w:val="230"/>
        </w:trPr>
        <w:tc>
          <w:tcPr>
            <w:tcW w:w="436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Less: Imputed Interest</w:t>
            </w:r>
          </w:p>
        </w:tc>
        <w:tc>
          <w:tcPr>
            <w:tcW w:w="840" w:type="dxa"/>
            <w:vAlign w:val="bottom"/>
            <w:tcBorders>
              <w:top w:val="single" w:sz="8" w:color="CFF0FC"/>
            </w:tcBorders>
          </w:tcPr>
          <w:p>
            <w:pPr>
              <w:spacing w:after="0"/>
              <w:rPr>
                <w:sz w:val="20"/>
                <w:szCs w:val="20"/>
                <w:color w:val="auto"/>
              </w:rPr>
            </w:pPr>
          </w:p>
        </w:tc>
        <w:tc>
          <w:tcPr>
            <w:tcW w:w="160" w:type="dxa"/>
            <w:vAlign w:val="bottom"/>
            <w:tcBorders>
              <w:top w:val="single" w:sz="8" w:color="CFF0FC"/>
              <w:bottom w:val="single" w:sz="8" w:color="auto"/>
            </w:tcBorders>
          </w:tcPr>
          <w:p>
            <w:pPr>
              <w:spacing w:after="0"/>
              <w:rPr>
                <w:sz w:val="20"/>
                <w:szCs w:val="20"/>
                <w:color w:val="auto"/>
              </w:rPr>
            </w:pPr>
          </w:p>
        </w:tc>
        <w:tc>
          <w:tcPr>
            <w:tcW w:w="620" w:type="dxa"/>
            <w:vAlign w:val="bottom"/>
            <w:tcBorders>
              <w:top w:val="single" w:sz="8" w:color="CFF0FC"/>
              <w:bottom w:val="single" w:sz="8" w:color="auto"/>
            </w:tcBorders>
          </w:tcPr>
          <w:p>
            <w:pPr>
              <w:spacing w:after="0"/>
              <w:rPr>
                <w:sz w:val="20"/>
                <w:szCs w:val="20"/>
                <w:color w:val="auto"/>
              </w:rPr>
            </w:pPr>
          </w:p>
        </w:tc>
        <w:tc>
          <w:tcPr>
            <w:tcW w:w="1120" w:type="dxa"/>
            <w:vAlign w:val="bottom"/>
            <w:tcBorders>
              <w:top w:val="single" w:sz="8" w:color="CFF0FC"/>
              <w:bottom w:val="single" w:sz="8" w:color="auto"/>
            </w:tcBorders>
            <w:gridSpan w:val="3"/>
          </w:tcPr>
          <w:p>
            <w:pPr>
              <w:jc w:val="right"/>
              <w:spacing w:after="0"/>
              <w:rPr>
                <w:sz w:val="20"/>
                <w:szCs w:val="20"/>
                <w:color w:val="auto"/>
              </w:rPr>
            </w:pPr>
            <w:r>
              <w:rPr>
                <w:rFonts w:ascii="Arial" w:cs="Arial" w:eastAsia="Arial" w:hAnsi="Arial"/>
                <w:sz w:val="18"/>
                <w:szCs w:val="18"/>
                <w:color w:val="auto"/>
              </w:rPr>
              <w:t>(1,879 )</w:t>
            </w:r>
          </w:p>
        </w:tc>
        <w:tc>
          <w:tcPr>
            <w:tcW w:w="220" w:type="dxa"/>
            <w:vAlign w:val="bottom"/>
            <w:tcBorders>
              <w:top w:val="single" w:sz="8" w:color="CFF0FC"/>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r>
      <w:tr>
        <w:trPr>
          <w:trHeight w:val="290"/>
        </w:trPr>
        <w:tc>
          <w:tcPr>
            <w:tcW w:w="4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lease liabilities</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spacing w:after="0"/>
              <w:rPr>
                <w:sz w:val="24"/>
                <w:szCs w:val="24"/>
                <w:color w:val="auto"/>
              </w:rPr>
            </w:pPr>
          </w:p>
        </w:tc>
        <w:tc>
          <w:tcPr>
            <w:tcW w:w="1120" w:type="dxa"/>
            <w:vAlign w:val="bottom"/>
            <w:gridSpan w:val="3"/>
            <w:shd w:val="clear" w:color="auto" w:fill="CFF0FC"/>
          </w:tcPr>
          <w:p>
            <w:pPr>
              <w:jc w:val="right"/>
              <w:ind w:right="30"/>
              <w:spacing w:after="0"/>
              <w:rPr>
                <w:sz w:val="20"/>
                <w:szCs w:val="20"/>
                <w:color w:val="auto"/>
              </w:rPr>
            </w:pPr>
            <w:r>
              <w:rPr>
                <w:rFonts w:ascii="Arial" w:cs="Arial" w:eastAsia="Arial" w:hAnsi="Arial"/>
                <w:sz w:val="18"/>
                <w:szCs w:val="18"/>
                <w:color w:val="auto"/>
              </w:rPr>
              <w:t>47,888</w:t>
            </w:r>
          </w:p>
        </w:tc>
        <w:tc>
          <w:tcPr>
            <w:tcW w:w="220" w:type="dxa"/>
            <w:vAlign w:val="bottom"/>
            <w:shd w:val="clear" w:color="auto" w:fill="CFF0FC"/>
          </w:tcPr>
          <w:p>
            <w:pPr>
              <w:spacing w:after="0"/>
              <w:rPr>
                <w:sz w:val="24"/>
                <w:szCs w:val="24"/>
                <w:color w:val="auto"/>
              </w:rPr>
            </w:pPr>
          </w:p>
        </w:tc>
        <w:tc>
          <w:tcPr>
            <w:tcW w:w="46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64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960" w:type="dxa"/>
            <w:vAlign w:val="bottom"/>
            <w:shd w:val="clear" w:color="auto" w:fill="CFF0FC"/>
          </w:tcPr>
          <w:p>
            <w:pPr>
              <w:spacing w:after="0"/>
              <w:rPr>
                <w:sz w:val="24"/>
                <w:szCs w:val="24"/>
                <w:color w:val="auto"/>
              </w:rPr>
            </w:pPr>
          </w:p>
        </w:tc>
        <w:tc>
          <w:tcPr>
            <w:tcW w:w="620" w:type="dxa"/>
            <w:vAlign w:val="bottom"/>
            <w:shd w:val="clear" w:color="auto" w:fill="CFF0FC"/>
          </w:tcPr>
          <w:p>
            <w:pPr>
              <w:spacing w:after="0"/>
              <w:rPr>
                <w:sz w:val="24"/>
                <w:szCs w:val="24"/>
                <w:color w:val="auto"/>
              </w:rPr>
            </w:pPr>
          </w:p>
        </w:tc>
      </w:tr>
      <w:tr>
        <w:trPr>
          <w:trHeight w:val="662"/>
        </w:trPr>
        <w:tc>
          <w:tcPr>
            <w:tcW w:w="4360" w:type="dxa"/>
            <w:vAlign w:val="bottom"/>
            <w:tcBorders>
              <w:top w:val="single" w:sz="8" w:color="CFF0FC"/>
            </w:tcBorders>
          </w:tcPr>
          <w:p>
            <w:pPr>
              <w:spacing w:after="0"/>
              <w:rPr>
                <w:sz w:val="24"/>
                <w:szCs w:val="24"/>
                <w:color w:val="auto"/>
              </w:rPr>
            </w:pPr>
          </w:p>
        </w:tc>
        <w:tc>
          <w:tcPr>
            <w:tcW w:w="84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21</w:t>
            </w:r>
          </w:p>
        </w:tc>
        <w:tc>
          <w:tcPr>
            <w:tcW w:w="1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46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640" w:type="dxa"/>
            <w:vAlign w:val="bottom"/>
            <w:tcBorders>
              <w:top w:val="single" w:sz="8" w:color="CFF0FC"/>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960" w:type="dxa"/>
            <w:vAlign w:val="bottom"/>
            <w:tcBorders>
              <w:top w:val="single" w:sz="8" w:color="CFF0FC"/>
            </w:tcBorders>
          </w:tcPr>
          <w:p>
            <w:pPr>
              <w:spacing w:after="0"/>
              <w:rPr>
                <w:sz w:val="24"/>
                <w:szCs w:val="24"/>
                <w:color w:val="auto"/>
              </w:rPr>
            </w:pPr>
          </w:p>
        </w:tc>
        <w:tc>
          <w:tcPr>
            <w:tcW w:w="620" w:type="dxa"/>
            <w:vAlign w:val="bottom"/>
            <w:tcBorders>
              <w:top w:val="single" w:sz="8" w:color="CFF0FC"/>
            </w:tcBorders>
          </w:tcPr>
          <w:p>
            <w:pPr>
              <w:spacing w:after="0"/>
              <w:rPr>
                <w:sz w:val="24"/>
                <w:szCs w:val="24"/>
                <w:color w:val="auto"/>
              </w:rPr>
            </w:pPr>
          </w:p>
        </w:tc>
      </w:tr>
      <w:tr>
        <w:trPr>
          <w:trHeight w:val="115"/>
        </w:trPr>
        <w:tc>
          <w:tcPr>
            <w:tcW w:w="43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-3314065</wp:posOffset>
            </wp:positionV>
            <wp:extent cx="102870"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-3314065</wp:posOffset>
            </wp:positionV>
            <wp:extent cx="93980"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-3314065</wp:posOffset>
            </wp:positionV>
            <wp:extent cx="93980"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-899795</wp:posOffset>
            </wp:positionV>
            <wp:extent cx="9461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-882015</wp:posOffset>
            </wp:positionV>
            <wp:extent cx="9461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-539115</wp:posOffset>
            </wp:positionV>
            <wp:extent cx="12890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-521970</wp:posOffset>
            </wp:positionV>
            <wp:extent cx="12890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3" w:name="page24"/>
    <w:bookmarkEnd w:id="23"/>
    <w:p>
      <w:pPr>
        <w:ind w:left="4580"/>
        <w:spacing w:after="0"/>
        <w:rPr>
          <w:sz w:val="20"/>
          <w:szCs w:val="20"/>
          <w:color w:val="auto"/>
        </w:rPr>
      </w:pPr>
      <w:r>
        <w:rPr>
          <w:rFonts w:ascii="Arial" w:cs="Arial" w:eastAsia="Arial" w:hAnsi="Arial"/>
          <w:sz w:val="18"/>
          <w:szCs w:val="18"/>
          <w:b w:val="1"/>
          <w:bCs w:val="1"/>
          <w:color w:val="auto"/>
        </w:rPr>
        <w:t>Perella Weinberg Partners</w:t>
      </w:r>
    </w:p>
    <w:p>
      <w:pPr>
        <w:spacing w:after="0" w:line="7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Intangible Assets</w:t>
      </w:r>
    </w:p>
    <w:p>
      <w:pPr>
        <w:spacing w:after="0" w:line="243" w:lineRule="exact"/>
        <w:rPr>
          <w:sz w:val="20"/>
          <w:szCs w:val="20"/>
          <w:color w:val="auto"/>
        </w:rPr>
      </w:pPr>
    </w:p>
    <w:p>
      <w:pPr>
        <w:jc w:val="both"/>
        <w:ind w:right="20" w:firstLine="464"/>
        <w:spacing w:after="0" w:line="293" w:lineRule="auto"/>
        <w:rPr>
          <w:sz w:val="20"/>
          <w:szCs w:val="20"/>
          <w:color w:val="auto"/>
        </w:rPr>
      </w:pPr>
      <w:r>
        <w:rPr>
          <w:rFonts w:ascii="Arial" w:cs="Arial" w:eastAsia="Arial" w:hAnsi="Arial"/>
          <w:sz w:val="18"/>
          <w:szCs w:val="18"/>
          <w:color w:val="auto"/>
        </w:rPr>
        <w:t>The intangible assets were recognized at their estimated fair values, which was based on certain projected future revenues and involved the use of significant judgment. Below is the detail of the intangible assets acquired: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September 30, 2021</w:t>
            </w:r>
          </w:p>
        </w:tc>
        <w:tc>
          <w:tcPr>
            <w:tcW w:w="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r>
      <w:tr>
        <w:trPr>
          <w:trHeight w:val="238"/>
        </w:trPr>
        <w:tc>
          <w:tcPr>
            <w:tcW w:w="6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center"/>
              <w:ind w:right="270"/>
              <w:spacing w:after="0"/>
              <w:rPr>
                <w:sz w:val="20"/>
                <w:szCs w:val="20"/>
                <w:color w:val="auto"/>
              </w:rPr>
            </w:pPr>
            <w:r>
              <w:rPr>
                <w:rFonts w:ascii="Arial" w:cs="Arial" w:eastAsia="Arial" w:hAnsi="Arial"/>
                <w:sz w:val="18"/>
                <w:szCs w:val="18"/>
                <w:b w:val="1"/>
                <w:bCs w:val="1"/>
                <w:color w:val="auto"/>
                <w:w w:val="96"/>
              </w:rPr>
              <w:t>Net</w:t>
            </w:r>
          </w:p>
        </w:tc>
      </w:tr>
      <w:tr>
        <w:trPr>
          <w:trHeight w:val="230"/>
        </w:trPr>
        <w:tc>
          <w:tcPr>
            <w:tcW w:w="6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center"/>
              <w:ind w:right="230"/>
              <w:spacing w:after="0"/>
              <w:rPr>
                <w:sz w:val="20"/>
                <w:szCs w:val="20"/>
                <w:color w:val="auto"/>
              </w:rPr>
            </w:pPr>
            <w:r>
              <w:rPr>
                <w:rFonts w:ascii="Arial" w:cs="Arial" w:eastAsia="Arial" w:hAnsi="Arial"/>
                <w:sz w:val="18"/>
                <w:szCs w:val="18"/>
                <w:b w:val="1"/>
                <w:bCs w:val="1"/>
                <w:color w:val="auto"/>
                <w:w w:val="90"/>
              </w:rPr>
              <w:t>Accumulated</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center"/>
              <w:ind w:right="270"/>
              <w:spacing w:after="0"/>
              <w:rPr>
                <w:sz w:val="20"/>
                <w:szCs w:val="20"/>
                <w:color w:val="auto"/>
              </w:rPr>
            </w:pPr>
            <w:r>
              <w:rPr>
                <w:rFonts w:ascii="Arial" w:cs="Arial" w:eastAsia="Arial" w:hAnsi="Arial"/>
                <w:sz w:val="18"/>
                <w:szCs w:val="18"/>
                <w:b w:val="1"/>
                <w:bCs w:val="1"/>
                <w:color w:val="auto"/>
                <w:w w:val="97"/>
              </w:rPr>
              <w:t>Carrying</w:t>
            </w:r>
          </w:p>
        </w:tc>
      </w:tr>
      <w:tr>
        <w:trPr>
          <w:trHeight w:val="241"/>
        </w:trPr>
        <w:tc>
          <w:tcPr>
            <w:tcW w:w="6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1"/>
              </w:rPr>
              <w:t>Gross Amount</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2"/>
              </w:rPr>
              <w:t>Amortization</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94"/>
              </w:rPr>
              <w:t>Amount</w:t>
            </w:r>
          </w:p>
        </w:tc>
      </w:tr>
      <w:tr>
        <w:trPr>
          <w:trHeight w:val="257"/>
        </w:trPr>
        <w:tc>
          <w:tcPr>
            <w:tcW w:w="6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Customer relationships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47,400</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(22,910 )</w:t>
            </w:r>
          </w:p>
        </w:tc>
        <w:tc>
          <w:tcPr>
            <w:tcW w:w="3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24,490</w:t>
            </w:r>
          </w:p>
        </w:tc>
      </w:tr>
      <w:tr>
        <w:trPr>
          <w:trHeight w:val="250"/>
        </w:trPr>
        <w:tc>
          <w:tcPr>
            <w:tcW w:w="6220" w:type="dxa"/>
            <w:vAlign w:val="bottom"/>
          </w:tcPr>
          <w:p>
            <w:pPr>
              <w:ind w:left="20"/>
              <w:spacing w:after="0"/>
              <w:rPr>
                <w:sz w:val="20"/>
                <w:szCs w:val="20"/>
                <w:color w:val="auto"/>
              </w:rPr>
            </w:pPr>
            <w:r>
              <w:rPr>
                <w:rFonts w:ascii="Arial" w:cs="Arial" w:eastAsia="Arial" w:hAnsi="Arial"/>
                <w:sz w:val="18"/>
                <w:szCs w:val="18"/>
                <w:color w:val="auto"/>
              </w:rPr>
              <w:t>Trade names and trademarks</w:t>
            </w:r>
          </w:p>
        </w:tc>
        <w:tc>
          <w:tcPr>
            <w:tcW w:w="1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18,400</w:t>
            </w: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(8,893 )</w:t>
            </w:r>
          </w:p>
        </w:tc>
        <w:tc>
          <w:tcPr>
            <w:tcW w:w="1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9,507</w:t>
            </w:r>
          </w:p>
        </w:tc>
      </w:tr>
      <w:tr>
        <w:trPr>
          <w:trHeight w:val="290"/>
        </w:trPr>
        <w:tc>
          <w:tcPr>
            <w:tcW w:w="62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65,800</w:t>
            </w:r>
          </w:p>
        </w:tc>
        <w:tc>
          <w:tcPr>
            <w:tcW w:w="1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(31,803 )</w:t>
            </w:r>
          </w:p>
        </w:tc>
        <w:tc>
          <w:tcPr>
            <w:tcW w:w="1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33,997</w:t>
            </w:r>
          </w:p>
        </w:tc>
      </w:tr>
      <w:tr>
        <w:trPr>
          <w:trHeight w:val="507"/>
        </w:trPr>
        <w:tc>
          <w:tcPr>
            <w:tcW w:w="6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0"/>
              </w:rPr>
              <w:t>December 31, 2020</w:t>
            </w: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238"/>
        </w:trPr>
        <w:tc>
          <w:tcPr>
            <w:tcW w:w="6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center"/>
              <w:ind w:right="270"/>
              <w:spacing w:after="0"/>
              <w:rPr>
                <w:sz w:val="20"/>
                <w:szCs w:val="20"/>
                <w:color w:val="auto"/>
              </w:rPr>
            </w:pPr>
            <w:r>
              <w:rPr>
                <w:rFonts w:ascii="Arial" w:cs="Arial" w:eastAsia="Arial" w:hAnsi="Arial"/>
                <w:sz w:val="18"/>
                <w:szCs w:val="18"/>
                <w:b w:val="1"/>
                <w:bCs w:val="1"/>
                <w:color w:val="auto"/>
                <w:w w:val="96"/>
              </w:rPr>
              <w:t>Net</w:t>
            </w:r>
          </w:p>
        </w:tc>
      </w:tr>
      <w:tr>
        <w:trPr>
          <w:trHeight w:val="230"/>
        </w:trPr>
        <w:tc>
          <w:tcPr>
            <w:tcW w:w="6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center"/>
              <w:ind w:right="230"/>
              <w:spacing w:after="0"/>
              <w:rPr>
                <w:sz w:val="20"/>
                <w:szCs w:val="20"/>
                <w:color w:val="auto"/>
              </w:rPr>
            </w:pPr>
            <w:r>
              <w:rPr>
                <w:rFonts w:ascii="Arial" w:cs="Arial" w:eastAsia="Arial" w:hAnsi="Arial"/>
                <w:sz w:val="18"/>
                <w:szCs w:val="18"/>
                <w:b w:val="1"/>
                <w:bCs w:val="1"/>
                <w:color w:val="auto"/>
                <w:w w:val="90"/>
              </w:rPr>
              <w:t>Accumulated</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center"/>
              <w:ind w:right="270"/>
              <w:spacing w:after="0"/>
              <w:rPr>
                <w:sz w:val="20"/>
                <w:szCs w:val="20"/>
                <w:color w:val="auto"/>
              </w:rPr>
            </w:pPr>
            <w:r>
              <w:rPr>
                <w:rFonts w:ascii="Arial" w:cs="Arial" w:eastAsia="Arial" w:hAnsi="Arial"/>
                <w:sz w:val="18"/>
                <w:szCs w:val="18"/>
                <w:b w:val="1"/>
                <w:bCs w:val="1"/>
                <w:color w:val="auto"/>
                <w:w w:val="97"/>
              </w:rPr>
              <w:t>Carrying</w:t>
            </w:r>
          </w:p>
        </w:tc>
      </w:tr>
      <w:tr>
        <w:trPr>
          <w:trHeight w:val="241"/>
        </w:trPr>
        <w:tc>
          <w:tcPr>
            <w:tcW w:w="6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1"/>
              </w:rPr>
              <w:t>Gross Amount</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2"/>
              </w:rPr>
              <w:t>Amortization</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94"/>
              </w:rPr>
              <w:t>Amount</w:t>
            </w:r>
          </w:p>
        </w:tc>
      </w:tr>
      <w:tr>
        <w:trPr>
          <w:trHeight w:val="257"/>
        </w:trPr>
        <w:tc>
          <w:tcPr>
            <w:tcW w:w="6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Customer relationships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47,400</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(19,355 )</w:t>
            </w:r>
          </w:p>
        </w:tc>
        <w:tc>
          <w:tcPr>
            <w:tcW w:w="3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28,045</w:t>
            </w:r>
          </w:p>
        </w:tc>
      </w:tr>
      <w:tr>
        <w:trPr>
          <w:trHeight w:val="250"/>
        </w:trPr>
        <w:tc>
          <w:tcPr>
            <w:tcW w:w="6220" w:type="dxa"/>
            <w:vAlign w:val="bottom"/>
          </w:tcPr>
          <w:p>
            <w:pPr>
              <w:ind w:left="20"/>
              <w:spacing w:after="0"/>
              <w:rPr>
                <w:sz w:val="20"/>
                <w:szCs w:val="20"/>
                <w:color w:val="auto"/>
              </w:rPr>
            </w:pPr>
            <w:r>
              <w:rPr>
                <w:rFonts w:ascii="Arial" w:cs="Arial" w:eastAsia="Arial" w:hAnsi="Arial"/>
                <w:sz w:val="18"/>
                <w:szCs w:val="18"/>
                <w:color w:val="auto"/>
              </w:rPr>
              <w:t>Trade names and trademarks</w:t>
            </w:r>
          </w:p>
        </w:tc>
        <w:tc>
          <w:tcPr>
            <w:tcW w:w="1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18,400</w:t>
            </w: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(7,513 )</w:t>
            </w:r>
          </w:p>
        </w:tc>
        <w:tc>
          <w:tcPr>
            <w:tcW w:w="1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10,887</w:t>
            </w:r>
          </w:p>
        </w:tc>
      </w:tr>
      <w:tr>
        <w:trPr>
          <w:trHeight w:val="290"/>
        </w:trPr>
        <w:tc>
          <w:tcPr>
            <w:tcW w:w="62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65,800</w:t>
            </w:r>
          </w:p>
        </w:tc>
        <w:tc>
          <w:tcPr>
            <w:tcW w:w="1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(26,868 )</w:t>
            </w:r>
          </w:p>
        </w:tc>
        <w:tc>
          <w:tcPr>
            <w:tcW w:w="1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38,932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-1353820</wp:posOffset>
            </wp:positionV>
            <wp:extent cx="857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-1336675</wp:posOffset>
            </wp:positionV>
            <wp:extent cx="8572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-1353820</wp:posOffset>
            </wp:positionV>
            <wp:extent cx="857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-1336675</wp:posOffset>
            </wp:positionV>
            <wp:extent cx="8572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-24765</wp:posOffset>
            </wp:positionV>
            <wp:extent cx="857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-7620</wp:posOffset>
            </wp:positionV>
            <wp:extent cx="857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857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857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95" w:lineRule="exact"/>
        <w:rPr>
          <w:sz w:val="20"/>
          <w:szCs w:val="20"/>
          <w:color w:val="auto"/>
        </w:rPr>
      </w:pPr>
    </w:p>
    <w:p>
      <w:pPr>
        <w:jc w:val="both"/>
        <w:ind w:firstLine="464"/>
        <w:spacing w:after="0" w:line="272" w:lineRule="auto"/>
        <w:rPr>
          <w:sz w:val="20"/>
          <w:szCs w:val="20"/>
          <w:color w:val="auto"/>
        </w:rPr>
      </w:pPr>
      <w:r>
        <w:rPr>
          <w:rFonts w:ascii="Arial" w:cs="Arial" w:eastAsia="Arial" w:hAnsi="Arial"/>
          <w:sz w:val="18"/>
          <w:szCs w:val="18"/>
          <w:color w:val="auto"/>
        </w:rPr>
        <w:t>The intangible assets are amortized over an average useful life of 10 years. Intangible amortization expense was $1.6 million and $4.9 million for the three and nine months ended September 30, 2021, respectively, and $1.6 million and $4.9 million for the three and nine months ended September 30, 2020, respectively, which is included in Depreciation and amortization in the Condensed Consolidated Statements of Operations. Amortization of intangible assets held at September 30, 2021 is expected to be $6.6 million for each of the years ending December 31, 2021, 2022, 2023, 2024, and 2025. These intangible assets will be fully amortized by November 30, 2026.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Regulatory Requirements</w:t>
      </w:r>
    </w:p>
    <w:p>
      <w:pPr>
        <w:spacing w:after="0" w:line="243" w:lineRule="exact"/>
        <w:rPr>
          <w:sz w:val="20"/>
          <w:szCs w:val="20"/>
          <w:color w:val="auto"/>
        </w:rPr>
      </w:pPr>
    </w:p>
    <w:p>
      <w:pPr>
        <w:jc w:val="both"/>
        <w:ind w:firstLine="464"/>
        <w:spacing w:after="0" w:line="271" w:lineRule="auto"/>
        <w:rPr>
          <w:sz w:val="20"/>
          <w:szCs w:val="20"/>
          <w:color w:val="auto"/>
        </w:rPr>
      </w:pPr>
      <w:r>
        <w:rPr>
          <w:rFonts w:ascii="Arial" w:cs="Arial" w:eastAsia="Arial" w:hAnsi="Arial"/>
          <w:sz w:val="18"/>
          <w:szCs w:val="18"/>
          <w:color w:val="auto"/>
        </w:rPr>
        <w:t>The Company has a number of consolidated subsidiaries registered as broker-dealers with regulatory agencies in their respective countries, including the SEC, the Financial Industry Regulatory Authority (“FINRA”), the Investment Industry Regulatory Organization of Canada (“IIROC”), the Financial Conduct Authority (“FCA”) of the United Kingdom (the “UK”) and the Autorité de contrôle prudentiel et de resolution (“ACPR”) of France. These subsidiaries are subject to various minimum net capital requirements as outlined below. None of the SEC regulated subsidiaries hold funds or securities for, or owe money or securities to, customers or carry accounts of or for customers, and as such are all exempt from the SEC Customer Protection Rule (Rule 15c3-3).</w:t>
      </w:r>
    </w:p>
    <w:p>
      <w:pPr>
        <w:spacing w:after="0" w:line="191" w:lineRule="exact"/>
        <w:rPr>
          <w:sz w:val="20"/>
          <w:szCs w:val="20"/>
          <w:color w:val="auto"/>
        </w:rPr>
      </w:pPr>
    </w:p>
    <w:p>
      <w:pPr>
        <w:jc w:val="both"/>
        <w:ind w:firstLine="464"/>
        <w:spacing w:after="0" w:line="309" w:lineRule="auto"/>
        <w:rPr>
          <w:sz w:val="20"/>
          <w:szCs w:val="20"/>
          <w:color w:val="auto"/>
        </w:rPr>
      </w:pPr>
      <w:r>
        <w:rPr>
          <w:rFonts w:ascii="Arial" w:cs="Arial" w:eastAsia="Arial" w:hAnsi="Arial"/>
          <w:sz w:val="16"/>
          <w:szCs w:val="16"/>
          <w:color w:val="auto"/>
        </w:rPr>
        <w:t>Perella Weinberg Partners LP (“PWP LP”) and Tudor, Pickering, Holt &amp; Co. Securities, LLC (“TPH Securities”), subsidiaries of the Company, are subject to the SEC Uniform Net Capital Rule (SEC Rule 15c3-1). Effective January 1, 2021, Tudor Pickering Holt &amp; Co Advisors LP (“TPH Advisors”), another subsidiary of the Company subject to SEC Rule 15c3-1, merged with PWP LP and became one operating entity as part of an internal reorganization. There was no material impact to regulatory requirements as a result of this reorganization. Prior to this internal reorganization and as of December 31, 2020, PWP LP, TPH Securities and TPH Advisors had combined net capital of $54.8 million, which was $52.9 million in excess of their combined individual minimum capital requirements. Subsequent to this internal reorganization and as of September 30, 2021, PWP LP and TPH Securities had combined net capital of $96.5 million, which was $96.0 million in excess of their combined individual minimum capital requirements.</w:t>
      </w:r>
    </w:p>
    <w:p>
      <w:pPr>
        <w:spacing w:after="0" w:line="164" w:lineRule="exact"/>
        <w:rPr>
          <w:sz w:val="20"/>
          <w:szCs w:val="20"/>
          <w:color w:val="auto"/>
        </w:rPr>
      </w:pPr>
    </w:p>
    <w:p>
      <w:pPr>
        <w:jc w:val="both"/>
        <w:ind w:right="20" w:firstLine="464"/>
        <w:spacing w:after="0" w:line="293" w:lineRule="auto"/>
        <w:rPr>
          <w:sz w:val="20"/>
          <w:szCs w:val="20"/>
          <w:color w:val="auto"/>
        </w:rPr>
      </w:pPr>
      <w:r>
        <w:rPr>
          <w:rFonts w:ascii="Arial" w:cs="Arial" w:eastAsia="Arial" w:hAnsi="Arial"/>
          <w:sz w:val="18"/>
          <w:szCs w:val="18"/>
          <w:color w:val="auto"/>
        </w:rPr>
        <w:t>Perella Weinberg UK Limited is subject to FCA capital adequacy rules and TPH Canada is subject to IIROC capital adequacy rules. Both entities were in excess of the applicable capital requirements as of September 30, 2021 and December 31, 2020.</w:t>
      </w:r>
    </w:p>
    <w:p>
      <w:pPr>
        <w:spacing w:after="0" w:line="170" w:lineRule="exact"/>
        <w:rPr>
          <w:sz w:val="20"/>
          <w:szCs w:val="20"/>
          <w:color w:val="auto"/>
        </w:rPr>
      </w:pPr>
    </w:p>
    <w:p>
      <w:pPr>
        <w:jc w:val="both"/>
        <w:ind w:firstLine="464"/>
        <w:spacing w:after="0" w:line="293" w:lineRule="auto"/>
        <w:rPr>
          <w:sz w:val="20"/>
          <w:szCs w:val="20"/>
          <w:color w:val="auto"/>
        </w:rPr>
      </w:pPr>
      <w:r>
        <w:rPr>
          <w:rFonts w:ascii="Arial" w:cs="Arial" w:eastAsia="Arial" w:hAnsi="Arial"/>
          <w:sz w:val="18"/>
          <w:szCs w:val="18"/>
          <w:color w:val="auto"/>
        </w:rPr>
        <w:t>Perella Weinberg Partners France S.A.S was exempt from ACPR capital adequacy rules as of December 31, 2020 and was in excess of the applicable capital requirements as of September 30, 2021.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4" w:name="page25"/>
    <w:bookmarkEnd w:id="24"/>
    <w:p>
      <w:pPr>
        <w:ind w:left="4580"/>
        <w:spacing w:after="0"/>
        <w:rPr>
          <w:sz w:val="20"/>
          <w:szCs w:val="20"/>
          <w:color w:val="auto"/>
        </w:rPr>
      </w:pPr>
      <w:r>
        <w:rPr>
          <w:rFonts w:ascii="Arial" w:cs="Arial" w:eastAsia="Arial" w:hAnsi="Arial"/>
          <w:sz w:val="18"/>
          <w:szCs w:val="18"/>
          <w:b w:val="1"/>
          <w:bCs w:val="1"/>
          <w:color w:val="auto"/>
        </w:rPr>
        <w:t>Perella Weinberg Partners</w:t>
      </w:r>
    </w:p>
    <w:p>
      <w:pPr>
        <w:spacing w:after="0" w:line="7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313" w:lineRule="exact"/>
        <w:rPr>
          <w:sz w:val="20"/>
          <w:szCs w:val="20"/>
          <w:color w:val="auto"/>
        </w:rPr>
      </w:pPr>
    </w:p>
    <w:p>
      <w:pPr>
        <w:jc w:val="both"/>
        <w:ind w:right="20" w:firstLine="464"/>
        <w:spacing w:after="0" w:line="293" w:lineRule="auto"/>
        <w:rPr>
          <w:sz w:val="20"/>
          <w:szCs w:val="20"/>
          <w:color w:val="auto"/>
        </w:rPr>
      </w:pPr>
      <w:r>
        <w:rPr>
          <w:rFonts w:ascii="Arial" w:cs="Arial" w:eastAsia="Arial" w:hAnsi="Arial"/>
          <w:sz w:val="18"/>
          <w:szCs w:val="18"/>
          <w:color w:val="auto"/>
        </w:rPr>
        <w:t>As a result of the minimum capital requirements and various regulations on these broker dealers, the capital of each subsidiary of the Company is restricted and may be unavailable to pay its creditors.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Fixed Assets</w:t>
      </w:r>
    </w:p>
    <w:p>
      <w:pPr>
        <w:spacing w:after="0" w:line="24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Fixed assets are recorded at cost less accumulated depreciation and amortization and consist of the following as of September 30, 2021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ind w:right="230"/>
              <w:spacing w:after="0"/>
              <w:rPr>
                <w:sz w:val="20"/>
                <w:szCs w:val="20"/>
                <w:color w:val="auto"/>
              </w:rPr>
            </w:pPr>
            <w:r>
              <w:rPr>
                <w:rFonts w:ascii="Arial" w:cs="Arial" w:eastAsia="Arial" w:hAnsi="Arial"/>
                <w:sz w:val="18"/>
                <w:szCs w:val="18"/>
                <w:b w:val="1"/>
                <w:bCs w:val="1"/>
                <w:color w:val="auto"/>
                <w:w w:val="92"/>
              </w:rPr>
              <w:t>September 30,</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41"/>
        </w:trPr>
        <w:tc>
          <w:tcPr>
            <w:tcW w:w="78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0"/>
                <w:szCs w:val="20"/>
                <w:color w:val="auto"/>
              </w:rPr>
            </w:pPr>
          </w:p>
        </w:tc>
        <w:tc>
          <w:tcPr>
            <w:tcW w:w="16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7"/>
              </w:rPr>
              <w:t>December 31, 2020</w:t>
            </w:r>
          </w:p>
        </w:tc>
      </w:tr>
      <w:tr>
        <w:trPr>
          <w:trHeight w:val="257"/>
        </w:trPr>
        <w:tc>
          <w:tcPr>
            <w:tcW w:w="7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Leasehold improvements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48,996</w:t>
            </w:r>
          </w:p>
        </w:tc>
        <w:tc>
          <w:tcPr>
            <w:tcW w:w="68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49,718</w:t>
            </w:r>
          </w:p>
        </w:tc>
      </w:tr>
      <w:tr>
        <w:trPr>
          <w:trHeight w:val="250"/>
        </w:trPr>
        <w:tc>
          <w:tcPr>
            <w:tcW w:w="780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16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8,107</w:t>
            </w: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8,606</w:t>
            </w:r>
          </w:p>
        </w:tc>
      </w:tr>
      <w:tr>
        <w:trPr>
          <w:trHeight w:val="263"/>
        </w:trPr>
        <w:tc>
          <w:tcPr>
            <w:tcW w:w="7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Equipment</w:t>
            </w:r>
          </w:p>
        </w:tc>
        <w:tc>
          <w:tcPr>
            <w:tcW w:w="160" w:type="dxa"/>
            <w:vAlign w:val="bottom"/>
            <w:shd w:val="clear" w:color="auto" w:fill="CFF0FC"/>
          </w:tcPr>
          <w:p>
            <w:pPr>
              <w:spacing w:after="0"/>
              <w:rPr>
                <w:sz w:val="22"/>
                <w:szCs w:val="22"/>
                <w:color w:val="auto"/>
              </w:rPr>
            </w:pPr>
          </w:p>
        </w:tc>
        <w:tc>
          <w:tcPr>
            <w:tcW w:w="1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15,897</w:t>
            </w:r>
          </w:p>
        </w:tc>
        <w:tc>
          <w:tcPr>
            <w:tcW w:w="160" w:type="dxa"/>
            <w:vAlign w:val="bottom"/>
            <w:shd w:val="clear" w:color="auto" w:fill="CFF0FC"/>
          </w:tcPr>
          <w:p>
            <w:pPr>
              <w:spacing w:after="0"/>
              <w:rPr>
                <w:sz w:val="22"/>
                <w:szCs w:val="22"/>
                <w:color w:val="auto"/>
              </w:rPr>
            </w:pPr>
          </w:p>
        </w:tc>
        <w:tc>
          <w:tcPr>
            <w:tcW w:w="520" w:type="dxa"/>
            <w:vAlign w:val="bottom"/>
            <w:shd w:val="clear" w:color="auto" w:fill="CFF0FC"/>
          </w:tcPr>
          <w:p>
            <w:pPr>
              <w:spacing w:after="0"/>
              <w:rPr>
                <w:sz w:val="22"/>
                <w:szCs w:val="22"/>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35,293</w:t>
            </w:r>
          </w:p>
        </w:tc>
      </w:tr>
      <w:tr>
        <w:trPr>
          <w:trHeight w:val="250"/>
        </w:trPr>
        <w:tc>
          <w:tcPr>
            <w:tcW w:w="7800" w:type="dxa"/>
            <w:vAlign w:val="bottom"/>
          </w:tcPr>
          <w:p>
            <w:pPr>
              <w:ind w:left="20"/>
              <w:spacing w:after="0"/>
              <w:rPr>
                <w:sz w:val="20"/>
                <w:szCs w:val="20"/>
                <w:color w:val="auto"/>
              </w:rPr>
            </w:pPr>
            <w:r>
              <w:rPr>
                <w:rFonts w:ascii="Arial" w:cs="Arial" w:eastAsia="Arial" w:hAnsi="Arial"/>
                <w:sz w:val="18"/>
                <w:szCs w:val="18"/>
                <w:color w:val="auto"/>
              </w:rPr>
              <w:t>Software</w:t>
            </w:r>
          </w:p>
        </w:tc>
        <w:tc>
          <w:tcPr>
            <w:tcW w:w="1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8,577</w:t>
            </w:r>
          </w:p>
        </w:tc>
        <w:tc>
          <w:tcPr>
            <w:tcW w:w="16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14,395</w:t>
            </w:r>
          </w:p>
        </w:tc>
      </w:tr>
      <w:tr>
        <w:trPr>
          <w:trHeight w:val="257"/>
        </w:trPr>
        <w:tc>
          <w:tcPr>
            <w:tcW w:w="78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FF0FC"/>
          </w:tcPr>
          <w:p>
            <w:pPr>
              <w:spacing w:after="0"/>
              <w:rPr>
                <w:sz w:val="22"/>
                <w:szCs w:val="22"/>
                <w:color w:val="auto"/>
              </w:rPr>
            </w:pPr>
          </w:p>
        </w:tc>
        <w:tc>
          <w:tcPr>
            <w:tcW w:w="1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81,577</w:t>
            </w:r>
          </w:p>
        </w:tc>
        <w:tc>
          <w:tcPr>
            <w:tcW w:w="160" w:type="dxa"/>
            <w:vAlign w:val="bottom"/>
            <w:shd w:val="clear" w:color="auto" w:fill="CFF0FC"/>
          </w:tcPr>
          <w:p>
            <w:pPr>
              <w:spacing w:after="0"/>
              <w:rPr>
                <w:sz w:val="22"/>
                <w:szCs w:val="22"/>
                <w:color w:val="auto"/>
              </w:rPr>
            </w:pPr>
          </w:p>
        </w:tc>
        <w:tc>
          <w:tcPr>
            <w:tcW w:w="520" w:type="dxa"/>
            <w:vAlign w:val="bottom"/>
            <w:shd w:val="clear" w:color="auto" w:fill="CFF0FC"/>
          </w:tcPr>
          <w:p>
            <w:pPr>
              <w:spacing w:after="0"/>
              <w:rPr>
                <w:sz w:val="22"/>
                <w:szCs w:val="22"/>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108,012</w:t>
            </w:r>
          </w:p>
        </w:tc>
      </w:tr>
      <w:tr>
        <w:trPr>
          <w:trHeight w:val="250"/>
        </w:trPr>
        <w:tc>
          <w:tcPr>
            <w:tcW w:w="7800" w:type="dxa"/>
            <w:vAlign w:val="bottom"/>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(70,194 )</w:t>
            </w:r>
          </w:p>
        </w:tc>
        <w:tc>
          <w:tcPr>
            <w:tcW w:w="16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(90,823 )</w:t>
            </w:r>
          </w:p>
        </w:tc>
      </w:tr>
      <w:tr>
        <w:trPr>
          <w:trHeight w:val="290"/>
        </w:trPr>
        <w:tc>
          <w:tcPr>
            <w:tcW w:w="78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Fixed assets, net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11,383</w:t>
            </w:r>
          </w:p>
        </w:tc>
        <w:tc>
          <w:tcPr>
            <w:tcW w:w="160" w:type="dxa"/>
            <w:vAlign w:val="bottom"/>
            <w:tcBorders>
              <w:bottom w:val="single" w:sz="8" w:color="CFF0FC"/>
            </w:tcBorders>
            <w:shd w:val="clear" w:color="auto" w:fill="CFF0FC"/>
          </w:tcPr>
          <w:p>
            <w:pPr>
              <w:spacing w:after="0"/>
              <w:rPr>
                <w:sz w:val="24"/>
                <w:szCs w:val="24"/>
                <w:color w:val="auto"/>
              </w:rPr>
            </w:pPr>
          </w:p>
        </w:tc>
        <w:tc>
          <w:tcPr>
            <w:tcW w:w="5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17,189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-25400</wp:posOffset>
            </wp:positionV>
            <wp:extent cx="10287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-8255</wp:posOffset>
            </wp:positionV>
            <wp:extent cx="10287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95" w:lineRule="exact"/>
        <w:rPr>
          <w:sz w:val="20"/>
          <w:szCs w:val="20"/>
          <w:color w:val="auto"/>
        </w:rPr>
      </w:pPr>
    </w:p>
    <w:p>
      <w:pPr>
        <w:jc w:val="both"/>
        <w:ind w:firstLine="464"/>
        <w:spacing w:after="0" w:line="275" w:lineRule="auto"/>
        <w:rPr>
          <w:sz w:val="20"/>
          <w:szCs w:val="20"/>
          <w:color w:val="auto"/>
        </w:rPr>
      </w:pPr>
      <w:r>
        <w:rPr>
          <w:rFonts w:ascii="Arial" w:cs="Arial" w:eastAsia="Arial" w:hAnsi="Arial"/>
          <w:sz w:val="18"/>
          <w:szCs w:val="18"/>
          <w:color w:val="auto"/>
        </w:rPr>
        <w:t>Depreciation expense related to fixed assets was $1.6 million and $5.2 million for the three and nine months ended September 30, 2021, respectively, and $1.8 million and $5.5 million for the three and nine months ended September 30, 2020, respectively. Amortization expense related to software development costs was $0.2 million and $0.9 million for the three and nine months ended September 30, 2021, respectively, and $0.4 million and $1.2 million for the three and nine months ended September 30, 2020, respectively.</w:t>
      </w:r>
    </w:p>
    <w:p>
      <w:pPr>
        <w:spacing w:after="0" w:line="185" w:lineRule="exact"/>
        <w:rPr>
          <w:sz w:val="20"/>
          <w:szCs w:val="20"/>
          <w:color w:val="auto"/>
        </w:rPr>
      </w:pPr>
    </w:p>
    <w:p>
      <w:pPr>
        <w:jc w:val="both"/>
        <w:ind w:firstLine="464"/>
        <w:spacing w:after="0" w:line="293" w:lineRule="auto"/>
        <w:rPr>
          <w:sz w:val="20"/>
          <w:szCs w:val="20"/>
          <w:color w:val="auto"/>
        </w:rPr>
      </w:pPr>
      <w:r>
        <w:rPr>
          <w:rFonts w:ascii="Arial" w:cs="Arial" w:eastAsia="Arial" w:hAnsi="Arial"/>
          <w:sz w:val="18"/>
          <w:szCs w:val="18"/>
          <w:color w:val="auto"/>
        </w:rPr>
        <w:t>During the three and nine months ended September 30, 2021, the Company disposed of certain obsolete assets, substantially all of which were fully depreciated.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Income Taxes</w:t>
      </w:r>
    </w:p>
    <w:p>
      <w:pPr>
        <w:spacing w:after="0" w:line="24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summarizes the Company’s tax position for the periods presented:</w:t>
      </w:r>
    </w:p>
    <w:p>
      <w:pPr>
        <w:sectPr>
          <w:pgSz w:w="11900" w:h="16838" w:orient="portrait"/>
          <w:cols w:equalWidth="0" w:num="1">
            <w:col w:w="11240"/>
          </w:cols>
          <w:pgMar w:left="320" w:top="135" w:right="339" w:bottom="1440" w:gutter="0" w:footer="0" w:header="0"/>
        </w:sectPr>
      </w:pPr>
    </w:p>
    <w:p>
      <w:pPr>
        <w:spacing w:after="0" w:line="248" w:lineRule="exact"/>
        <w:rPr>
          <w:sz w:val="20"/>
          <w:szCs w:val="20"/>
          <w:color w:val="auto"/>
        </w:rPr>
      </w:pPr>
    </w:p>
    <w:p>
      <w:pPr>
        <w:ind w:left="6000"/>
        <w:spacing w:after="0"/>
        <w:rPr>
          <w:sz w:val="20"/>
          <w:szCs w:val="20"/>
          <w:color w:val="auto"/>
        </w:rPr>
      </w:pPr>
      <w:r>
        <w:rPr>
          <w:rFonts w:ascii="Arial" w:cs="Arial" w:eastAsia="Arial" w:hAnsi="Arial"/>
          <w:sz w:val="17"/>
          <w:szCs w:val="17"/>
          <w:b w:val="1"/>
          <w:bCs w:val="1"/>
          <w:color w:val="auto"/>
        </w:rPr>
        <w:t>Three Months Ended</w:t>
      </w:r>
    </w:p>
    <w:p>
      <w:pPr>
        <w:spacing w:after="0" w:line="39"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22860</wp:posOffset>
            </wp:positionV>
            <wp:extent cx="181737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38" w:lineRule="exact"/>
        <w:rPr>
          <w:sz w:val="20"/>
          <w:szCs w:val="20"/>
          <w:color w:val="auto"/>
        </w:rPr>
      </w:pPr>
    </w:p>
    <w:p>
      <w:pPr>
        <w:ind w:left="5900"/>
        <w:spacing w:after="0"/>
        <w:tabs>
          <w:tab w:leader="none" w:pos="7380" w:val="left"/>
        </w:tabs>
        <w:rPr>
          <w:sz w:val="20"/>
          <w:szCs w:val="20"/>
          <w:color w:val="auto"/>
        </w:rPr>
      </w:pPr>
      <w:r>
        <w:rPr>
          <w:rFonts w:ascii="Arial" w:cs="Arial" w:eastAsia="Arial" w:hAnsi="Arial"/>
          <w:sz w:val="16"/>
          <w:szCs w:val="16"/>
          <w:b w:val="1"/>
          <w:bCs w:val="1"/>
          <w:color w:val="auto"/>
        </w:rPr>
        <w:t>2021</w:t>
      </w:r>
      <w:r>
        <w:rPr>
          <w:sz w:val="20"/>
          <w:szCs w:val="20"/>
          <w:color w:val="auto"/>
        </w:rPr>
        <w:tab/>
      </w:r>
      <w:r>
        <w:rPr>
          <w:rFonts w:ascii="Arial" w:cs="Arial" w:eastAsia="Arial" w:hAnsi="Arial"/>
          <w:sz w:val="16"/>
          <w:szCs w:val="16"/>
          <w:b w:val="1"/>
          <w:bCs w:val="1"/>
          <w:color w:val="auto"/>
        </w:rPr>
        <w:t>2020</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Nine Months Ended</w:t>
      </w:r>
    </w:p>
    <w:p>
      <w:pPr>
        <w:spacing w:after="0" w:line="3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22860</wp:posOffset>
            </wp:positionV>
            <wp:extent cx="169735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1697355" cy="8890"/>
                    </a:xfrm>
                    <a:prstGeom prst="rect">
                      <a:avLst/>
                    </a:prstGeom>
                    <a:noFill/>
                  </pic:spPr>
                </pic:pic>
              </a:graphicData>
            </a:graphic>
          </wp:anchor>
        </w:drawing>
      </w:r>
    </w:p>
    <w:p>
      <w:pPr>
        <w:spacing w:after="0" w:line="38" w:lineRule="exact"/>
        <w:rPr>
          <w:sz w:val="20"/>
          <w:szCs w:val="20"/>
          <w:color w:val="auto"/>
        </w:rPr>
      </w:pPr>
    </w:p>
    <w:p>
      <w:pPr>
        <w:spacing w:after="0"/>
        <w:tabs>
          <w:tab w:leader="none" w:pos="1320" w:val="left"/>
        </w:tabs>
        <w:rPr>
          <w:sz w:val="20"/>
          <w:szCs w:val="20"/>
          <w:color w:val="auto"/>
        </w:rPr>
      </w:pPr>
      <w:r>
        <w:rPr>
          <w:rFonts w:ascii="Arial" w:cs="Arial" w:eastAsia="Arial" w:hAnsi="Arial"/>
          <w:sz w:val="16"/>
          <w:szCs w:val="16"/>
          <w:b w:val="1"/>
          <w:bCs w:val="1"/>
          <w:color w:val="auto"/>
        </w:rPr>
        <w:t>2021</w:t>
      </w:r>
      <w:r>
        <w:rPr>
          <w:sz w:val="20"/>
          <w:szCs w:val="20"/>
          <w:color w:val="auto"/>
        </w:rPr>
        <w:tab/>
      </w:r>
      <w:r>
        <w:rPr>
          <w:rFonts w:ascii="Arial" w:cs="Arial" w:eastAsia="Arial" w:hAnsi="Arial"/>
          <w:sz w:val="16"/>
          <w:szCs w:val="16"/>
          <w:b w:val="1"/>
          <w:bCs w:val="1"/>
          <w:color w:val="auto"/>
        </w:rPr>
        <w:t>2020</w:t>
      </w:r>
    </w:p>
    <w:p>
      <w:pPr>
        <w:spacing w:after="0" w:line="50" w:lineRule="exact"/>
        <w:rPr>
          <w:sz w:val="20"/>
          <w:szCs w:val="20"/>
          <w:color w:val="auto"/>
        </w:rPr>
      </w:pPr>
    </w:p>
    <w:p>
      <w:pPr>
        <w:sectPr>
          <w:pgSz w:w="11900" w:h="16838" w:orient="portrait"/>
          <w:cols w:equalWidth="0" w:num="2">
            <w:col w:w="8160" w:space="720"/>
            <w:col w:w="2360"/>
          </w:cols>
          <w:pgMar w:left="320" w:top="135" w:right="339" w:bottom="1440" w:gutter="0" w:footer="0" w:header="0"/>
          <w:type w:val="continuous"/>
        </w:sectPr>
      </w:pPr>
    </w:p>
    <w:tbl>
      <w:tblPr>
        <w:tblLayout w:type="fixed"/>
        <w:tblInd w:w="0" w:type="dxa"/>
        <w:tblCellMar>
          <w:top w:w="0" w:type="dxa"/>
          <w:left w:w="0" w:type="dxa"/>
          <w:bottom w:w="0" w:type="dxa"/>
          <w:right w:w="0" w:type="dxa"/>
        </w:tblCellMar>
      </w:tblPr>
      <w:tr>
        <w:trPr>
          <w:trHeight w:val="263"/>
        </w:trPr>
        <w:tc>
          <w:tcPr>
            <w:tcW w:w="5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(loss) before income taxes</w:t>
            </w: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rPr>
              <w:t>(9,312 )</w:t>
            </w:r>
          </w:p>
        </w:tc>
        <w:tc>
          <w:tcPr>
            <w:tcW w:w="34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rPr>
              <w:t>(95 )</w:t>
            </w:r>
          </w:p>
        </w:tc>
        <w:tc>
          <w:tcPr>
            <w:tcW w:w="120" w:type="dxa"/>
            <w:vAlign w:val="bottom"/>
            <w:shd w:val="clear" w:color="auto" w:fill="CFF0FC"/>
          </w:tcPr>
          <w:p>
            <w:pPr>
              <w:spacing w:after="0"/>
              <w:rPr>
                <w:sz w:val="22"/>
                <w:szCs w:val="22"/>
                <w:color w:val="auto"/>
              </w:rPr>
            </w:pPr>
          </w:p>
        </w:tc>
        <w:tc>
          <w:tcPr>
            <w:tcW w:w="30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rPr>
              <w:t>24,740</w:t>
            </w:r>
          </w:p>
        </w:tc>
        <w:tc>
          <w:tcPr>
            <w:tcW w:w="120" w:type="dxa"/>
            <w:vAlign w:val="bottom"/>
            <w:shd w:val="clear" w:color="auto" w:fill="CFF0FC"/>
          </w:tcPr>
          <w:p>
            <w:pPr>
              <w:spacing w:after="0"/>
              <w:rPr>
                <w:sz w:val="22"/>
                <w:szCs w:val="22"/>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rPr>
              <w:t>(24,740 )</w:t>
            </w:r>
          </w:p>
        </w:tc>
      </w:tr>
      <w:tr>
        <w:trPr>
          <w:trHeight w:val="250"/>
        </w:trPr>
        <w:tc>
          <w:tcPr>
            <w:tcW w:w="5580" w:type="dxa"/>
            <w:vAlign w:val="bottom"/>
          </w:tcPr>
          <w:p>
            <w:pPr>
              <w:ind w:left="20"/>
              <w:spacing w:after="0"/>
              <w:rPr>
                <w:sz w:val="20"/>
                <w:szCs w:val="20"/>
                <w:color w:val="auto"/>
              </w:rPr>
            </w:pPr>
            <w:r>
              <w:rPr>
                <w:rFonts w:ascii="Arial" w:cs="Arial" w:eastAsia="Arial" w:hAnsi="Arial"/>
                <w:sz w:val="18"/>
                <w:szCs w:val="18"/>
                <w:color w:val="auto"/>
              </w:rPr>
              <w:t>Income tax benefit (expense)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90"/>
              <w:spacing w:after="0"/>
              <w:rPr>
                <w:sz w:val="20"/>
                <w:szCs w:val="20"/>
                <w:color w:val="auto"/>
              </w:rPr>
            </w:pPr>
            <w:r>
              <w:rPr>
                <w:rFonts w:ascii="Arial" w:cs="Arial" w:eastAsia="Arial" w:hAnsi="Arial"/>
                <w:sz w:val="18"/>
                <w:szCs w:val="18"/>
                <w:color w:val="auto"/>
              </w:rPr>
              <w:t>(150 )</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90"/>
              <w:spacing w:after="0"/>
              <w:rPr>
                <w:sz w:val="20"/>
                <w:szCs w:val="20"/>
                <w:color w:val="auto"/>
              </w:rPr>
            </w:pPr>
            <w:r>
              <w:rPr>
                <w:rFonts w:ascii="Arial" w:cs="Arial" w:eastAsia="Arial" w:hAnsi="Arial"/>
                <w:sz w:val="18"/>
                <w:szCs w:val="18"/>
                <w:color w:val="auto"/>
              </w:rPr>
              <w:t>(974 )</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(2,695 )</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(2,518 )</w:t>
            </w:r>
          </w:p>
        </w:tc>
      </w:tr>
      <w:tr>
        <w:trPr>
          <w:trHeight w:val="263"/>
        </w:trPr>
        <w:tc>
          <w:tcPr>
            <w:tcW w:w="5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Effective income tax rate</w:t>
            </w:r>
          </w:p>
        </w:tc>
        <w:tc>
          <w:tcPr>
            <w:tcW w:w="320" w:type="dxa"/>
            <w:vAlign w:val="bottom"/>
            <w:shd w:val="clear" w:color="auto" w:fill="CFF0FC"/>
          </w:tcPr>
          <w:p>
            <w:pPr>
              <w:spacing w:after="0"/>
              <w:rPr>
                <w:sz w:val="22"/>
                <w:szCs w:val="22"/>
                <w:color w:val="auto"/>
              </w:rPr>
            </w:pPr>
          </w:p>
        </w:tc>
        <w:tc>
          <w:tcPr>
            <w:tcW w:w="10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(1.61 %)</w:t>
            </w:r>
          </w:p>
        </w:tc>
        <w:tc>
          <w:tcPr>
            <w:tcW w:w="340" w:type="dxa"/>
            <w:vAlign w:val="bottom"/>
            <w:shd w:val="clear" w:color="auto" w:fill="CFF0FC"/>
          </w:tcPr>
          <w:p>
            <w:pPr>
              <w:spacing w:after="0"/>
              <w:rPr>
                <w:sz w:val="22"/>
                <w:szCs w:val="22"/>
                <w:color w:val="auto"/>
              </w:rPr>
            </w:pPr>
          </w:p>
        </w:tc>
        <w:tc>
          <w:tcPr>
            <w:tcW w:w="11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6"/>
              </w:rPr>
              <w:t>(1,025.26 %)</w:t>
            </w:r>
          </w:p>
        </w:tc>
        <w:tc>
          <w:tcPr>
            <w:tcW w:w="1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10.89 %</w:t>
            </w:r>
          </w:p>
        </w:tc>
        <w:tc>
          <w:tcPr>
            <w:tcW w:w="1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(10.18 %)</w:t>
            </w:r>
          </w:p>
        </w:tc>
      </w:tr>
    </w:tbl>
    <w:p>
      <w:pPr>
        <w:spacing w:after="0" w:line="215" w:lineRule="exact"/>
        <w:rPr>
          <w:sz w:val="20"/>
          <w:szCs w:val="20"/>
          <w:color w:val="auto"/>
        </w:rPr>
      </w:pPr>
    </w:p>
    <w:p>
      <w:pPr>
        <w:jc w:val="both"/>
        <w:ind w:firstLine="464"/>
        <w:spacing w:after="0" w:line="329" w:lineRule="auto"/>
        <w:rPr>
          <w:sz w:val="20"/>
          <w:szCs w:val="20"/>
          <w:color w:val="auto"/>
        </w:rPr>
      </w:pPr>
      <w:r>
        <w:rPr>
          <w:rFonts w:ascii="Arial" w:cs="Arial" w:eastAsia="Arial" w:hAnsi="Arial"/>
          <w:sz w:val="16"/>
          <w:szCs w:val="16"/>
          <w:color w:val="auto"/>
        </w:rPr>
        <w:t>The Company’s income tax provision and the corresponding annual effective tax rate are based on projected U.S. GAAP income and the currently enacted statutory tax rates in the various jurisdictions in which the Company operates. For interim reporting, the Company estimates the annual effective tax rate based on projected income for the full year and records a quarterly tax provision in accordance with the annual effective tax rate.</w:t>
      </w:r>
    </w:p>
    <w:p>
      <w:pPr>
        <w:spacing w:after="0" w:line="148" w:lineRule="exact"/>
        <w:rPr>
          <w:sz w:val="20"/>
          <w:szCs w:val="20"/>
          <w:color w:val="auto"/>
        </w:rPr>
      </w:pPr>
    </w:p>
    <w:p>
      <w:pPr>
        <w:jc w:val="both"/>
        <w:ind w:firstLine="464"/>
        <w:spacing w:after="0" w:line="290" w:lineRule="auto"/>
        <w:rPr>
          <w:sz w:val="20"/>
          <w:szCs w:val="20"/>
          <w:color w:val="auto"/>
        </w:rPr>
      </w:pPr>
      <w:r>
        <w:rPr>
          <w:rFonts w:ascii="Arial" w:cs="Arial" w:eastAsia="Arial" w:hAnsi="Arial"/>
          <w:sz w:val="17"/>
          <w:szCs w:val="17"/>
          <w:color w:val="auto"/>
        </w:rPr>
        <w:t>The Company’s effective tax rate is dependent on many factors, including the estimated amount of income subject to tax. Consequently, the effective tax rate can vary from period to period. The Company’s overall effective tax rate in each of the periods described above varies from the U.S. federal statutory rate primarily because (i) the Company was not subject to U.S. federal corporate income taxes prior to the Business Combination, (ii) a portion of equity-based compensation expense is non-deductible, both prior to the Business Combination and for the subsequent period and (iii) a portion of the Company’s income is allocated to non-controlling interests held in PWP OpCo in which the majority of any tax liability on such income is borne by the holders of such non-controlling interests and reported outside of the condensed consolidated financial statements.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25" w:name="page26"/>
    <w:bookmarkEnd w:id="25"/>
    <w:p>
      <w:pPr>
        <w:ind w:left="4580"/>
        <w:spacing w:after="0"/>
        <w:rPr>
          <w:sz w:val="20"/>
          <w:szCs w:val="20"/>
          <w:color w:val="auto"/>
        </w:rPr>
      </w:pPr>
      <w:r>
        <w:rPr>
          <w:rFonts w:ascii="Arial" w:cs="Arial" w:eastAsia="Arial" w:hAnsi="Arial"/>
          <w:sz w:val="18"/>
          <w:szCs w:val="18"/>
          <w:b w:val="1"/>
          <w:bCs w:val="1"/>
          <w:color w:val="auto"/>
        </w:rPr>
        <w:t>Perella Weinberg Partners</w:t>
      </w:r>
    </w:p>
    <w:p>
      <w:pPr>
        <w:spacing w:after="0" w:line="7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313" w:lineRule="exact"/>
        <w:rPr>
          <w:sz w:val="20"/>
          <w:szCs w:val="20"/>
          <w:color w:val="auto"/>
        </w:rPr>
      </w:pPr>
    </w:p>
    <w:p>
      <w:pPr>
        <w:jc w:val="both"/>
        <w:ind w:firstLine="464"/>
        <w:spacing w:after="0" w:line="287" w:lineRule="auto"/>
        <w:rPr>
          <w:sz w:val="20"/>
          <w:szCs w:val="20"/>
          <w:color w:val="auto"/>
        </w:rPr>
      </w:pPr>
      <w:r>
        <w:rPr>
          <w:rFonts w:ascii="Arial" w:cs="Arial" w:eastAsia="Arial" w:hAnsi="Arial"/>
          <w:sz w:val="17"/>
          <w:szCs w:val="17"/>
          <w:color w:val="auto"/>
        </w:rPr>
        <w:t>The Business Combination resulted in a $16.1 million increase to the Company’s deferred tax asset primarily related to a step-up in the tax basis of certain assets that will be recovered as those assets are amortized. The remaining $2.3 million of the deferred tax asset balance as of September 30, 2021 is related to local and foreign income taxes in addition to the corporate income taxes resulting from the Business Combination. The Company evaluates the realizability of its deferred tax asset on a quarterly basis and adjusts the valuation allowance when it is more-likely-than-not that all or a portion of the deferred tax asset may not be realized. Management has recorded a partial valuation allowance related to the outside partnership basis of its investment in PWP OpCo for the amount of the deferred tax asset that is not expected to be realized. The Company believes it is more-likely-than-not that the remaining net deferred tax asset recorded as of September 30, 2021 will be recovered in the future based on all available positive and negative evidence. In connection with the step-up in tax basis generated on the day of the Business Combination, the Company has recorded a payable of $14.1 million pursuant to the terms of the tax receivable agreement.</w:t>
      </w:r>
    </w:p>
    <w:p>
      <w:pPr>
        <w:spacing w:after="0" w:line="178" w:lineRule="exact"/>
        <w:rPr>
          <w:sz w:val="20"/>
          <w:szCs w:val="20"/>
          <w:color w:val="auto"/>
        </w:rPr>
      </w:pPr>
    </w:p>
    <w:p>
      <w:pPr>
        <w:jc w:val="both"/>
        <w:ind w:firstLine="464"/>
        <w:spacing w:after="0" w:line="293" w:lineRule="auto"/>
        <w:rPr>
          <w:sz w:val="20"/>
          <w:szCs w:val="20"/>
          <w:color w:val="auto"/>
        </w:rPr>
      </w:pPr>
      <w:r>
        <w:rPr>
          <w:rFonts w:ascii="Arial" w:cs="Arial" w:eastAsia="Arial" w:hAnsi="Arial"/>
          <w:sz w:val="18"/>
          <w:szCs w:val="18"/>
          <w:color w:val="auto"/>
        </w:rPr>
        <w:t>As of September 30, 2021, the Company has not recorded any unrecognized tax benefits associated with uncertain tax positions. The Company does not expect there to be any material changes to uncertain tax positions within 12 months of the reporting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Debt</w:t>
      </w:r>
    </w:p>
    <w:p>
      <w:pPr>
        <w:spacing w:after="0" w:line="24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is a summary of the Company’s debt as of September 30, 2021 and December 31, 2020:</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800" w:type="dxa"/>
            <w:vAlign w:val="bottom"/>
          </w:tcPr>
          <w:p>
            <w:pPr>
              <w:spacing w:after="0"/>
              <w:rPr>
                <w:sz w:val="20"/>
                <w:szCs w:val="20"/>
                <w:color w:val="auto"/>
              </w:rPr>
            </w:pPr>
          </w:p>
        </w:tc>
        <w:tc>
          <w:tcPr>
            <w:tcW w:w="16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5"/>
              </w:rPr>
              <w:t>September 30, 2021</w:t>
            </w:r>
          </w:p>
        </w:tc>
        <w:tc>
          <w:tcPr>
            <w:tcW w:w="1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7"/>
              </w:rPr>
              <w:t>December 31, 2020</w:t>
            </w:r>
          </w:p>
        </w:tc>
      </w:tr>
      <w:tr>
        <w:trPr>
          <w:trHeight w:val="257"/>
        </w:trPr>
        <w:tc>
          <w:tcPr>
            <w:tcW w:w="7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Convertible Notes</w:t>
            </w:r>
          </w:p>
        </w:tc>
        <w:tc>
          <w:tcPr>
            <w:tcW w:w="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150,000</w:t>
            </w:r>
          </w:p>
        </w:tc>
      </w:tr>
      <w:tr>
        <w:trPr>
          <w:trHeight w:val="250"/>
        </w:trPr>
        <w:tc>
          <w:tcPr>
            <w:tcW w:w="7800" w:type="dxa"/>
            <w:vAlign w:val="bottom"/>
          </w:tcPr>
          <w:p>
            <w:pPr>
              <w:ind w:left="20"/>
              <w:spacing w:after="0"/>
              <w:rPr>
                <w:sz w:val="20"/>
                <w:szCs w:val="20"/>
                <w:color w:val="auto"/>
              </w:rPr>
            </w:pPr>
            <w:r>
              <w:rPr>
                <w:rFonts w:ascii="Arial" w:cs="Arial" w:eastAsia="Arial" w:hAnsi="Arial"/>
                <w:sz w:val="18"/>
                <w:szCs w:val="18"/>
                <w:color w:val="auto"/>
              </w:rPr>
              <w:t>Revolving Credit Facility</w:t>
            </w:r>
          </w:p>
        </w:tc>
        <w:tc>
          <w:tcPr>
            <w:tcW w:w="6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27,690</w:t>
            </w:r>
          </w:p>
        </w:tc>
      </w:tr>
      <w:tr>
        <w:trPr>
          <w:trHeight w:val="256"/>
        </w:trPr>
        <w:tc>
          <w:tcPr>
            <w:tcW w:w="78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Total debt facilities</w:t>
            </w:r>
          </w:p>
        </w:tc>
        <w:tc>
          <w:tcPr>
            <w:tcW w:w="640" w:type="dxa"/>
            <w:vAlign w:val="bottom"/>
            <w:shd w:val="clear" w:color="auto" w:fill="CFF0FC"/>
          </w:tcPr>
          <w:p>
            <w:pPr>
              <w:spacing w:after="0"/>
              <w:rPr>
                <w:sz w:val="22"/>
                <w:szCs w:val="22"/>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2"/>
                <w:szCs w:val="22"/>
                <w:color w:val="auto"/>
              </w:rPr>
            </w:pPr>
          </w:p>
        </w:tc>
        <w:tc>
          <w:tcPr>
            <w:tcW w:w="520" w:type="dxa"/>
            <w:vAlign w:val="bottom"/>
            <w:shd w:val="clear" w:color="auto" w:fill="CFF0FC"/>
          </w:tcPr>
          <w:p>
            <w:pPr>
              <w:spacing w:after="0"/>
              <w:rPr>
                <w:sz w:val="22"/>
                <w:szCs w:val="22"/>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177,690</w:t>
            </w:r>
          </w:p>
        </w:tc>
      </w:tr>
      <w:tr>
        <w:trPr>
          <w:trHeight w:val="250"/>
        </w:trPr>
        <w:tc>
          <w:tcPr>
            <w:tcW w:w="7800" w:type="dxa"/>
            <w:vAlign w:val="bottom"/>
          </w:tcPr>
          <w:p>
            <w:pPr>
              <w:ind w:left="20"/>
              <w:spacing w:after="0"/>
              <w:rPr>
                <w:sz w:val="20"/>
                <w:szCs w:val="20"/>
                <w:color w:val="auto"/>
              </w:rPr>
            </w:pPr>
            <w:r>
              <w:rPr>
                <w:rFonts w:ascii="Arial" w:cs="Arial" w:eastAsia="Arial" w:hAnsi="Arial"/>
                <w:sz w:val="18"/>
                <w:szCs w:val="18"/>
                <w:color w:val="auto"/>
              </w:rPr>
              <w:t>Unamortized debt discount and issuance costs (1)</w:t>
            </w:r>
          </w:p>
        </w:tc>
        <w:tc>
          <w:tcPr>
            <w:tcW w:w="6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(559 )</w:t>
            </w:r>
          </w:p>
        </w:tc>
        <w:tc>
          <w:tcPr>
            <w:tcW w:w="16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(30,725 )</w:t>
            </w:r>
          </w:p>
        </w:tc>
      </w:tr>
      <w:tr>
        <w:trPr>
          <w:trHeight w:val="290"/>
        </w:trPr>
        <w:tc>
          <w:tcPr>
            <w:tcW w:w="78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debt, net</w:t>
            </w:r>
          </w:p>
        </w:tc>
        <w:tc>
          <w:tcPr>
            <w:tcW w:w="6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(559 )</w:t>
            </w:r>
          </w:p>
        </w:tc>
        <w:tc>
          <w:tcPr>
            <w:tcW w:w="160" w:type="dxa"/>
            <w:vAlign w:val="bottom"/>
            <w:tcBorders>
              <w:bottom w:val="single" w:sz="8" w:color="CFF0FC"/>
            </w:tcBorders>
            <w:shd w:val="clear" w:color="auto" w:fill="CFF0FC"/>
          </w:tcPr>
          <w:p>
            <w:pPr>
              <w:spacing w:after="0"/>
              <w:rPr>
                <w:sz w:val="24"/>
                <w:szCs w:val="24"/>
                <w:color w:val="auto"/>
              </w:rPr>
            </w:pPr>
          </w:p>
        </w:tc>
        <w:tc>
          <w:tcPr>
            <w:tcW w:w="5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146,965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-25400</wp:posOffset>
            </wp:positionV>
            <wp:extent cx="10287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-8255</wp:posOffset>
            </wp:positionV>
            <wp:extent cx="10287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87" w:lineRule="exact"/>
        <w:rPr>
          <w:sz w:val="20"/>
          <w:szCs w:val="20"/>
          <w:color w:val="auto"/>
        </w:rPr>
      </w:pPr>
    </w:p>
    <w:p>
      <w:pPr>
        <w:ind w:left="340" w:right="20" w:hanging="332"/>
        <w:spacing w:after="0" w:line="324" w:lineRule="auto"/>
        <w:tabs>
          <w:tab w:leader="none" w:pos="340" w:val="left"/>
        </w:tabs>
        <w:numPr>
          <w:ilvl w:val="0"/>
          <w:numId w:val="9"/>
        </w:numPr>
        <w:rPr>
          <w:rFonts w:ascii="Arial" w:cs="Arial" w:eastAsia="Arial" w:hAnsi="Arial"/>
          <w:sz w:val="17"/>
          <w:szCs w:val="17"/>
          <w:color w:val="auto"/>
        </w:rPr>
      </w:pPr>
      <w:r>
        <w:rPr>
          <w:rFonts w:ascii="Arial" w:cs="Arial" w:eastAsia="Arial" w:hAnsi="Arial"/>
          <w:sz w:val="17"/>
          <w:szCs w:val="17"/>
          <w:color w:val="auto"/>
        </w:rPr>
        <w:t>As of September 30, 2021, the Company included unamortized debt issuance costs within Prepaid expenses and other assets on the Condensed Consolidated Statements of Financial Position since there were no outstanding borrowings under the Revolving Credit Facility.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239" w:lineRule="exact"/>
        <w:rPr>
          <w:sz w:val="20"/>
          <w:szCs w:val="20"/>
          <w:color w:val="auto"/>
        </w:rPr>
      </w:pPr>
    </w:p>
    <w:p>
      <w:pPr>
        <w:jc w:val="both"/>
        <w:ind w:firstLine="464"/>
        <w:spacing w:after="0" w:line="314" w:lineRule="auto"/>
        <w:rPr>
          <w:sz w:val="20"/>
          <w:szCs w:val="20"/>
          <w:color w:val="auto"/>
        </w:rPr>
      </w:pPr>
      <w:r>
        <w:rPr>
          <w:rFonts w:ascii="Arial" w:cs="Arial" w:eastAsia="Arial" w:hAnsi="Arial"/>
          <w:sz w:val="16"/>
          <w:szCs w:val="16"/>
          <w:color w:val="auto"/>
        </w:rPr>
        <w:t>The Company issued 7.0% subordinated unsecured convertible notes with an aggregate principal amount of $150.0 million (the “Convertible Notes”) under a Note Purchase Agreement (as amended, the “NPA”) executed on November 30, 2016. The Convertible Notes were due to mature on November 30, 2026 (the “Maturity Date”) unless earlier converted or repaid pursuant to the terms of the NPA. The estimated intrinsic value of the Beneficial Conversion Feature (“BCF”) as of issuance was $32.7 million, which was recognized as a discount on the Convertible Notes with an offsetting increase to Partners’ capital. The BCF discount was amortized to interest expense using the effective interest method based on the Maturity Date.</w:t>
      </w:r>
    </w:p>
    <w:p>
      <w:pPr>
        <w:spacing w:after="0" w:line="160" w:lineRule="exact"/>
        <w:rPr>
          <w:sz w:val="20"/>
          <w:szCs w:val="20"/>
          <w:color w:val="auto"/>
        </w:rPr>
      </w:pPr>
    </w:p>
    <w:p>
      <w:pPr>
        <w:jc w:val="both"/>
        <w:ind w:firstLine="464"/>
        <w:spacing w:after="0" w:line="293" w:lineRule="auto"/>
        <w:rPr>
          <w:sz w:val="20"/>
          <w:szCs w:val="20"/>
          <w:color w:val="auto"/>
        </w:rPr>
      </w:pPr>
      <w:r>
        <w:rPr>
          <w:rFonts w:ascii="Arial" w:cs="Arial" w:eastAsia="Arial" w:hAnsi="Arial"/>
          <w:sz w:val="18"/>
          <w:szCs w:val="18"/>
          <w:color w:val="auto"/>
        </w:rPr>
        <w:t>Certain of the persons who held Convertible Notes (each herein referred to as a “Holder”) are partners. Refer to Note 17 – Related Party Transactions for further information.</w:t>
      </w:r>
    </w:p>
    <w:p>
      <w:pPr>
        <w:spacing w:after="0" w:line="170" w:lineRule="exact"/>
        <w:rPr>
          <w:sz w:val="20"/>
          <w:szCs w:val="20"/>
          <w:color w:val="auto"/>
        </w:rPr>
      </w:pPr>
    </w:p>
    <w:p>
      <w:pPr>
        <w:jc w:val="both"/>
        <w:ind w:firstLine="464"/>
        <w:spacing w:after="0" w:line="296" w:lineRule="auto"/>
        <w:rPr>
          <w:sz w:val="20"/>
          <w:szCs w:val="20"/>
          <w:color w:val="auto"/>
        </w:rPr>
      </w:pPr>
      <w:r>
        <w:rPr>
          <w:rFonts w:ascii="Arial" w:cs="Arial" w:eastAsia="Arial" w:hAnsi="Arial"/>
          <w:sz w:val="17"/>
          <w:szCs w:val="17"/>
          <w:color w:val="auto"/>
        </w:rPr>
        <w:t>In December 2020, the Company entered into letter agreements (the “2020 Letter Agreements”) with all Holders, which amended and restated any existing letter agreements, pursuant to which all of the holders (the “Redeeming Holders”) agreed to collectively tender for redemption $150.0 million aggregate principal amount of their Convertible Notes (such Convertible Notes, the “Redeemed Notes”) for cash. Pursuant to the terms of the 2020 Letter Agreements, the Redeeming Holders agreed not to convert their Convertible Notes in connection with the Business Combination.</w:t>
      </w:r>
    </w:p>
    <w:p>
      <w:pPr>
        <w:spacing w:after="0" w:line="170" w:lineRule="exact"/>
        <w:rPr>
          <w:sz w:val="20"/>
          <w:szCs w:val="20"/>
          <w:color w:val="auto"/>
        </w:rPr>
      </w:pPr>
    </w:p>
    <w:p>
      <w:pPr>
        <w:jc w:val="both"/>
        <w:ind w:firstLine="464"/>
        <w:spacing w:after="0" w:line="275" w:lineRule="auto"/>
        <w:rPr>
          <w:sz w:val="20"/>
          <w:szCs w:val="20"/>
          <w:color w:val="auto"/>
        </w:rPr>
      </w:pPr>
      <w:r>
        <w:rPr>
          <w:rFonts w:ascii="Arial" w:cs="Arial" w:eastAsia="Arial" w:hAnsi="Arial"/>
          <w:sz w:val="18"/>
          <w:szCs w:val="18"/>
          <w:color w:val="auto"/>
        </w:rPr>
        <w:t>Upon consummation of the Business Combination, the Company redeemed the Convertible Notes for $161.6 million, which included the total outstanding $150.0 million aggregate principal, an applicable premium for Redeeming Holders owning at least $5.0 million of principal, and accrued and unpaid interest. The Company recognized a $39.4 million loss on extinguishment of the Convertible Notes composed of the $10.9 million premium and $28.5 million of unamortized debt discount and issuance costs.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6" w:name="page27"/>
    <w:bookmarkEnd w:id="26"/>
    <w:p>
      <w:pPr>
        <w:ind w:left="4580"/>
        <w:spacing w:after="0"/>
        <w:rPr>
          <w:sz w:val="20"/>
          <w:szCs w:val="20"/>
          <w:color w:val="auto"/>
        </w:rPr>
      </w:pPr>
      <w:r>
        <w:rPr>
          <w:rFonts w:ascii="Arial" w:cs="Arial" w:eastAsia="Arial" w:hAnsi="Arial"/>
          <w:sz w:val="18"/>
          <w:szCs w:val="18"/>
          <w:b w:val="1"/>
          <w:bCs w:val="1"/>
          <w:color w:val="auto"/>
        </w:rPr>
        <w:t>Perella Weinberg Partners</w:t>
      </w:r>
    </w:p>
    <w:p>
      <w:pPr>
        <w:spacing w:after="0" w:line="7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313" w:lineRule="exact"/>
        <w:rPr>
          <w:sz w:val="20"/>
          <w:szCs w:val="20"/>
          <w:color w:val="auto"/>
        </w:rPr>
      </w:pPr>
    </w:p>
    <w:p>
      <w:pPr>
        <w:jc w:val="both"/>
        <w:ind w:firstLine="464"/>
        <w:spacing w:after="0" w:line="275" w:lineRule="auto"/>
        <w:rPr>
          <w:sz w:val="20"/>
          <w:szCs w:val="20"/>
          <w:color w:val="auto"/>
        </w:rPr>
      </w:pPr>
      <w:r>
        <w:rPr>
          <w:rFonts w:ascii="Arial" w:cs="Arial" w:eastAsia="Arial" w:hAnsi="Arial"/>
          <w:sz w:val="18"/>
          <w:szCs w:val="18"/>
          <w:i w:val="1"/>
          <w:iCs w:val="1"/>
          <w:color w:val="auto"/>
        </w:rPr>
        <w:t xml:space="preserve">Debt Discount and Issuance Costs </w:t>
      </w:r>
      <w:r>
        <w:rPr>
          <w:rFonts w:ascii="Arial" w:cs="Arial" w:eastAsia="Arial" w:hAnsi="Arial"/>
          <w:sz w:val="18"/>
          <w:szCs w:val="18"/>
          <w:color w:val="auto"/>
        </w:rPr>
        <w:t>– A portion of the Convertible Notes was issued at a 5.0% original issue discount in the amount of $5.8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coupled with a 3.0% commitment fee in the amount of $3.5 million. In addition to the discount and commitment fees, the Company incurred debt issuance costs of approximately $1.1 million. The debt discounts and original issuance costs were amortized using the effective interest method over the term of the Convertible Notes.</w:t>
      </w:r>
    </w:p>
    <w:p>
      <w:pPr>
        <w:spacing w:after="0" w:line="185" w:lineRule="exact"/>
        <w:rPr>
          <w:sz w:val="20"/>
          <w:szCs w:val="20"/>
          <w:color w:val="auto"/>
        </w:rPr>
      </w:pPr>
    </w:p>
    <w:p>
      <w:pPr>
        <w:jc w:val="both"/>
        <w:ind w:firstLine="525"/>
        <w:spacing w:after="0" w:line="272" w:lineRule="auto"/>
        <w:rPr>
          <w:sz w:val="20"/>
          <w:szCs w:val="20"/>
          <w:color w:val="auto"/>
        </w:rPr>
      </w:pPr>
      <w:r>
        <w:rPr>
          <w:rFonts w:ascii="Arial" w:cs="Arial" w:eastAsia="Arial" w:hAnsi="Arial"/>
          <w:sz w:val="18"/>
          <w:szCs w:val="18"/>
          <w:color w:val="auto"/>
        </w:rPr>
        <w:t>The effective interest rate of the Convertible Notes, considering the cash coupon rate of 7.0% as well as amortization of the BCF discount, debt discount and issuance costs, was 11.95% for the period from January 1, 2021 through June 24, 2021 (the date such Convertible Notes were redeemed) as well as for the three and nine months ended September 30, 2020. The aggregate interest expense related to the Convertible Notes was $6.9 million for the period from January 1, 2021 through June 24, 2021 and $3.5 million and $10.5 million during the three and nine months ended September 30, 2020,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239" w:lineRule="exact"/>
        <w:rPr>
          <w:sz w:val="20"/>
          <w:szCs w:val="20"/>
          <w:color w:val="auto"/>
        </w:rPr>
      </w:pPr>
    </w:p>
    <w:p>
      <w:pPr>
        <w:jc w:val="both"/>
        <w:ind w:firstLine="464"/>
        <w:spacing w:after="0" w:line="311" w:lineRule="auto"/>
        <w:rPr>
          <w:sz w:val="20"/>
          <w:szCs w:val="20"/>
          <w:color w:val="auto"/>
        </w:rPr>
      </w:pPr>
      <w:r>
        <w:rPr>
          <w:rFonts w:ascii="Arial" w:cs="Arial" w:eastAsia="Arial" w:hAnsi="Arial"/>
          <w:sz w:val="16"/>
          <w:szCs w:val="16"/>
          <w:color w:val="auto"/>
        </w:rPr>
        <w:t>On November 30, 2016, the Company entered into a credit agreement (as amended, the “Credit Agreement”) with Cadence Bank, N.A. (“Cadence Bank”). In December 2018, the Company amended the Credit Agreement to modify a term loan to a revolving credit facility with a line of credit of $50.0 million (the “Revolving Credit Facility”). During the nine months ended September 30, 2020, the Company made principal payments on the Revolving Credit Facility of $32.0 million as well as drawdowns of $22.0 million. Applicable only to the period after the Separation and before the Business Combination, the Credit Agreement named PWP Capital Holdings LP as a guarantor of the Revolving Credit Facility and required that financial covenants be determined on a combined basis with the results of both the Company and PWP Capital Holdings LP for the applicable periods ended.</w:t>
      </w:r>
    </w:p>
    <w:p>
      <w:pPr>
        <w:spacing w:after="0" w:line="163" w:lineRule="exact"/>
        <w:rPr>
          <w:sz w:val="20"/>
          <w:szCs w:val="20"/>
          <w:color w:val="auto"/>
        </w:rPr>
      </w:pPr>
    </w:p>
    <w:p>
      <w:pPr>
        <w:jc w:val="both"/>
        <w:ind w:firstLine="360"/>
        <w:spacing w:after="0" w:line="309" w:lineRule="auto"/>
        <w:rPr>
          <w:sz w:val="20"/>
          <w:szCs w:val="20"/>
          <w:color w:val="auto"/>
        </w:rPr>
      </w:pPr>
      <w:r>
        <w:rPr>
          <w:rFonts w:ascii="Arial" w:cs="Arial" w:eastAsia="Arial" w:hAnsi="Arial"/>
          <w:sz w:val="16"/>
          <w:szCs w:val="16"/>
          <w:color w:val="auto"/>
        </w:rPr>
        <w:t>Upon consummation of the Business Combination, the Company repaid all of the outstanding borrowings under the Credit Agreement, which included $27.7 million principal amount plus accrued and unpaid interest. In anticipation of the Closing, on June 15, 2021, the Credit Agreement was amended such that as of the Closing Date, (i) the maturity was extended from April 1, 2022 to July 1, 2025, (ii) interest accrues at LIBOR plus a fixed rate of 2.00% per annum (with a 0.25% LIBOR floor) with an alternate base rate option equal to Cadence Bank’s prime rate minus 1.00% (with a 3.25% floor), (iii) up to $15.0 million of the Revolving Credit Facility may be used for the issuance of letters of credit, (iv) up to $20.0 million of incremental revolving commitments may be incurred under the Credit Agreement, and (v) certain financial covenants were amended. As of September 30, 2021, the Company had no outstanding balance related to the Revolving Credit Facility and no incremental revolving commitments were incurred.</w:t>
      </w:r>
    </w:p>
    <w:p>
      <w:pPr>
        <w:spacing w:after="0" w:line="164" w:lineRule="exact"/>
        <w:rPr>
          <w:sz w:val="20"/>
          <w:szCs w:val="20"/>
          <w:color w:val="auto"/>
        </w:rPr>
      </w:pPr>
    </w:p>
    <w:p>
      <w:pPr>
        <w:ind w:right="20" w:firstLine="360"/>
        <w:spacing w:after="0" w:line="293" w:lineRule="auto"/>
        <w:rPr>
          <w:sz w:val="20"/>
          <w:szCs w:val="20"/>
          <w:color w:val="auto"/>
        </w:rPr>
      </w:pPr>
      <w:r>
        <w:rPr>
          <w:rFonts w:ascii="Arial" w:cs="Arial" w:eastAsia="Arial" w:hAnsi="Arial"/>
          <w:sz w:val="18"/>
          <w:szCs w:val="18"/>
          <w:color w:val="auto"/>
        </w:rPr>
        <w:t>The weighted average interest rate for the Revolving Credit Facility was 2.62% for the period from January 1, 2021 through June 24, 2021 (the Closing Date) and 2.72% and 3.10% for the three and nine months ended September 30, 2020, respectively.</w:t>
      </w:r>
    </w:p>
    <w:p>
      <w:pPr>
        <w:spacing w:after="0" w:line="170" w:lineRule="exact"/>
        <w:rPr>
          <w:sz w:val="20"/>
          <w:szCs w:val="20"/>
          <w:color w:val="auto"/>
        </w:rPr>
      </w:pPr>
    </w:p>
    <w:p>
      <w:pPr>
        <w:jc w:val="both"/>
        <w:ind w:firstLine="464"/>
        <w:spacing w:after="0" w:line="269" w:lineRule="auto"/>
        <w:rPr>
          <w:sz w:val="20"/>
          <w:szCs w:val="20"/>
          <w:color w:val="auto"/>
        </w:rPr>
      </w:pPr>
      <w:r>
        <w:rPr>
          <w:rFonts w:ascii="Arial" w:cs="Arial" w:eastAsia="Arial" w:hAnsi="Arial"/>
          <w:sz w:val="18"/>
          <w:szCs w:val="18"/>
          <w:i w:val="1"/>
          <w:iCs w:val="1"/>
          <w:color w:val="auto"/>
        </w:rPr>
        <w:t xml:space="preserve">Debt Issuance Costs </w:t>
      </w:r>
      <w:r>
        <w:rPr>
          <w:rFonts w:ascii="Arial" w:cs="Arial" w:eastAsia="Arial" w:hAnsi="Arial"/>
          <w:sz w:val="18"/>
          <w:szCs w:val="18"/>
          <w:color w:val="auto"/>
        </w:rPr>
        <w:t>– Prior to the Business Combination, the Company incurred $1.8 million in issuance costs related to the Credit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which were amortized to Interest expense using the effective interest method over the life of the Revolving Credit Facility. The effective interest rate of the Revolving Credit Facility, taking into account these issuance costs, was 3.73% for the period from January 1, 2021 through June 24, 2021 and 3.67% and 3.95% for the three and nine months ended September 30, 2020, respectively. The amendments described above were accounted for as modifications as opposed to a debt extinguishment in accordance with U.S. GAAP. As such, the unamortized original debt issuance costs as well as the additional $0.4 million in fees incurred to amend the facility are being amortized using the effective interest method to Interest expense over the amended remaining term of the Revolving Credit Facility. Interest expense related to the Revolving Credit Facility was $0.1 million and $0.6 million during the three and nine months ended September 30, 2021, respectively, and $0.4 million and $1.3 million during the three and nine months ended September 30, 2020, respectively.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7" w:name="page28"/>
    <w:bookmarkEnd w:id="27"/>
    <w:p>
      <w:pPr>
        <w:ind w:left="4580"/>
        <w:spacing w:after="0"/>
        <w:rPr>
          <w:sz w:val="20"/>
          <w:szCs w:val="20"/>
          <w:color w:val="auto"/>
        </w:rPr>
      </w:pPr>
      <w:r>
        <w:rPr>
          <w:rFonts w:ascii="Arial" w:cs="Arial" w:eastAsia="Arial" w:hAnsi="Arial"/>
          <w:sz w:val="18"/>
          <w:szCs w:val="18"/>
          <w:b w:val="1"/>
          <w:bCs w:val="1"/>
          <w:color w:val="auto"/>
        </w:rPr>
        <w:t>Perella Weinberg Partners</w:t>
      </w:r>
    </w:p>
    <w:p>
      <w:pPr>
        <w:spacing w:after="0" w:line="7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Stockholders’ Equity</w:t>
      </w:r>
    </w:p>
    <w:p>
      <w:pPr>
        <w:spacing w:after="0" w:line="243" w:lineRule="exact"/>
        <w:rPr>
          <w:sz w:val="20"/>
          <w:szCs w:val="20"/>
          <w:color w:val="auto"/>
        </w:rPr>
      </w:pPr>
    </w:p>
    <w:p>
      <w:pPr>
        <w:jc w:val="both"/>
        <w:ind w:firstLine="464"/>
        <w:spacing w:after="0" w:line="287" w:lineRule="auto"/>
        <w:rPr>
          <w:sz w:val="20"/>
          <w:szCs w:val="20"/>
          <w:color w:val="auto"/>
        </w:rPr>
      </w:pPr>
      <w:r>
        <w:rPr>
          <w:rFonts w:ascii="Arial" w:cs="Arial" w:eastAsia="Arial" w:hAnsi="Arial"/>
          <w:sz w:val="17"/>
          <w:szCs w:val="17"/>
          <w:color w:val="auto"/>
        </w:rPr>
        <w:t xml:space="preserve">Subsequent to the Business Combination as described in Note 3 – Business Combination, the Company’s authorized capital stock consists of 2,200,000,000 shares including (i) 1,500,000,000 shares of Class A common stock, par value $0.0001 per share (the “Class A common stock”), (ii) 300,000,000 shares of Class B-1 common stock, par value $0.0001 per share (the “Class B-1 common stock”), and (iii) 300,000,000 shares of Class B-2 common stock, par value $0.0001 per share (the “Class B-2 common stock” and together with the Class B-1 common stock, the “Class B common stock”), and (b) 100,000,000 shares of preferred stock, par value $0.0001 per share (the “Preferred Stock”). Holders of Class A common stock and Class B common stock vote together as a single class on all matters submitted to the stockholders for their vote or approval, except as required by applicable law. </w:t>
      </w:r>
      <w:r>
        <w:rPr>
          <w:rFonts w:ascii="Arial" w:cs="Arial" w:eastAsia="Arial" w:hAnsi="Arial"/>
          <w:sz w:val="17"/>
          <w:szCs w:val="17"/>
          <w:b w:val="1"/>
          <w:bCs w:val="1"/>
          <w:color w:val="auto"/>
        </w:rPr>
        <w:t>S</w:t>
      </w:r>
      <w:r>
        <w:rPr>
          <w:rFonts w:ascii="Arial" w:cs="Arial" w:eastAsia="Arial" w:hAnsi="Arial"/>
          <w:sz w:val="17"/>
          <w:szCs w:val="17"/>
          <w:color w:val="auto"/>
        </w:rPr>
        <w:t>hares of Class A common stock and Class B common stock are not subject to any conversion right and holders of the Class A common stock and Class B common stock do not have preemptive or subscription rights. Additionally, the Company has 7,869,975 warrants outstanding as of September 30, 2021. See Note 12 – Warrants for additional information.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Common Stock</w:t>
      </w:r>
    </w:p>
    <w:p>
      <w:pPr>
        <w:spacing w:after="0" w:line="239" w:lineRule="exact"/>
        <w:rPr>
          <w:sz w:val="20"/>
          <w:szCs w:val="20"/>
          <w:color w:val="auto"/>
        </w:rPr>
      </w:pPr>
    </w:p>
    <w:p>
      <w:pPr>
        <w:jc w:val="both"/>
        <w:ind w:firstLine="464"/>
        <w:spacing w:after="0" w:line="329" w:lineRule="auto"/>
        <w:rPr>
          <w:sz w:val="20"/>
          <w:szCs w:val="20"/>
          <w:color w:val="auto"/>
        </w:rPr>
      </w:pPr>
      <w:r>
        <w:rPr>
          <w:rFonts w:ascii="Arial" w:cs="Arial" w:eastAsia="Arial" w:hAnsi="Arial"/>
          <w:sz w:val="16"/>
          <w:szCs w:val="16"/>
          <w:color w:val="auto"/>
        </w:rPr>
        <w:t>Holders of Class A common stock are entitled to one vote for each share on all matters submitted to the stockholders for their vote or approval. Additionally, holders of shares of Class A common stock are entitled to receive ratably, in proportion to the number of shares held by them, dividends and other distributions in cash, stock or property of PWP when, as, and if declared by the Board of Directors out of our assets or legally available funds.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B Common Stock</w:t>
      </w:r>
    </w:p>
    <w:p>
      <w:pPr>
        <w:spacing w:after="0" w:line="239" w:lineRule="exact"/>
        <w:rPr>
          <w:sz w:val="20"/>
          <w:szCs w:val="20"/>
          <w:color w:val="auto"/>
        </w:rPr>
      </w:pPr>
    </w:p>
    <w:p>
      <w:pPr>
        <w:jc w:val="both"/>
        <w:ind w:firstLine="464"/>
        <w:spacing w:after="0" w:line="286" w:lineRule="auto"/>
        <w:rPr>
          <w:sz w:val="20"/>
          <w:szCs w:val="20"/>
          <w:color w:val="auto"/>
        </w:rPr>
      </w:pPr>
      <w:r>
        <w:rPr>
          <w:rFonts w:ascii="Arial" w:cs="Arial" w:eastAsia="Arial" w:hAnsi="Arial"/>
          <w:sz w:val="17"/>
          <w:szCs w:val="17"/>
          <w:color w:val="auto"/>
        </w:rPr>
        <w:t>The Company has two classes of Class B common stock: Class B-1 common stock and Class B-2 common stock. Holders of Class B common stock are entitled to receive ratably, in proportion to the number of shares held, dividends of the same type as any dividends and other distributions in cash, stock or property of PWP payable or to be made on outstanding shares of Class A common stock in an amount per share of Class B common stock equal to the amount of such dividends or other distributions as would be made on 0.001 shares of Class A common stock. Additionally, the holders of shares of Class B common stock are entitled to receive on a pari passu basis with the holders of the Class A common stock, such dividend or other distribution on the Class A common stock when, as, and if declared by the Board of Directors out of our assets or legally available funds. Each holder of Class B-1 common stock shall be entitled to ten votes for each share of Class B-1 common stock held of record by such holder for so long as the Professional Partners directly or indirectly maintain units that represent at least ten percent of issued and outstanding Class A common stock (the “10% Condition”). After the 10% Condition ceases to be satisfied, each share of Class B-1 common stock shall be entitled to one vote. Each holder of Class B-2 common stock shall be entitled to one vote for each share of Class B-2 common stock held of record by such holder.</w:t>
      </w:r>
    </w:p>
    <w:p>
      <w:pPr>
        <w:spacing w:after="0" w:line="182"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8"/>
          <w:szCs w:val="18"/>
          <w:color w:val="auto"/>
        </w:rPr>
        <w:t>The Class B-1 common stock was distributed to and owned by Professional Partners and the Class B-2 common stock was distributed to and owned by ILPs, with the number of shares of such Class B common stock issued equal to the number of PWP OpCo Units held by Professional Partners and ILPs, respectively, at the Business Combination Closing.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39"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8"/>
          <w:szCs w:val="18"/>
          <w:color w:val="auto"/>
        </w:rPr>
        <w:t>The Board of Directors may establish one or more classes or series of preferred stock (including convertible preferred stock). Our board of directors may determine, with respect to any class or series of preferred stock, the terms and rights of such class or series. We currently do not have any preferred stock issued and outstanding.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39" w:lineRule="exact"/>
        <w:rPr>
          <w:sz w:val="20"/>
          <w:szCs w:val="20"/>
          <w:color w:val="auto"/>
        </w:rPr>
      </w:pPr>
    </w:p>
    <w:p>
      <w:pPr>
        <w:jc w:val="both"/>
        <w:ind w:firstLine="464"/>
        <w:spacing w:after="0" w:line="303" w:lineRule="auto"/>
        <w:rPr>
          <w:sz w:val="20"/>
          <w:szCs w:val="20"/>
          <w:color w:val="auto"/>
        </w:rPr>
      </w:pPr>
      <w:r>
        <w:rPr>
          <w:rFonts w:ascii="Arial" w:cs="Arial" w:eastAsia="Arial" w:hAnsi="Arial"/>
          <w:sz w:val="17"/>
          <w:szCs w:val="17"/>
          <w:color w:val="auto"/>
        </w:rPr>
        <w:t>On August 3, 2021, the Company’s Board of Directors declared a cash dividend of $0.07 per outstanding share of Class A common stock that was paid on September 21, 2021 to each of the holders of Class A common stock of record as of the close of business on September 3, 2021. Holders of Class B common stock also received dividends equal to the amount of dividends made on 0.001 shares of Class A common stock.</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8" w:name="page29"/>
    <w:bookmarkEnd w:id="28"/>
    <w:p>
      <w:pPr>
        <w:ind w:left="4580"/>
        <w:spacing w:after="0"/>
        <w:rPr>
          <w:sz w:val="20"/>
          <w:szCs w:val="20"/>
          <w:color w:val="auto"/>
        </w:rPr>
      </w:pPr>
      <w:r>
        <w:rPr>
          <w:rFonts w:ascii="Arial" w:cs="Arial" w:eastAsia="Arial" w:hAnsi="Arial"/>
          <w:sz w:val="18"/>
          <w:szCs w:val="18"/>
          <w:b w:val="1"/>
          <w:bCs w:val="1"/>
          <w:color w:val="auto"/>
        </w:rPr>
        <w:t>Perella Weinberg Partners</w:t>
      </w:r>
    </w:p>
    <w:p>
      <w:pPr>
        <w:spacing w:after="0" w:line="7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upon Liquidation</w:t>
      </w:r>
    </w:p>
    <w:p>
      <w:pPr>
        <w:spacing w:after="0" w:line="239" w:lineRule="exact"/>
        <w:rPr>
          <w:sz w:val="20"/>
          <w:szCs w:val="20"/>
          <w:color w:val="auto"/>
        </w:rPr>
      </w:pPr>
    </w:p>
    <w:p>
      <w:pPr>
        <w:jc w:val="both"/>
        <w:ind w:firstLine="464"/>
        <w:spacing w:after="0" w:line="272" w:lineRule="auto"/>
        <w:rPr>
          <w:sz w:val="20"/>
          <w:szCs w:val="20"/>
          <w:color w:val="auto"/>
        </w:rPr>
      </w:pPr>
      <w:r>
        <w:rPr>
          <w:rFonts w:ascii="Arial" w:cs="Arial" w:eastAsia="Arial" w:hAnsi="Arial"/>
          <w:sz w:val="18"/>
          <w:szCs w:val="18"/>
          <w:color w:val="auto"/>
        </w:rPr>
        <w:t>In the event of any liquidation, dissolution or winding up of PWP, after payments to creditors of the corporation that may at the time be outstanding and subject to the rights of any holders of Preferred Stock that may then be outstanding, holders of shares of Class A common stock and Class B common stock shall be entitled to receive ratably, in proportion to the number of shares held by them, all remaining assets and funds of PWP available for distribution. For purposes of any such distribution, each share of Class B common stock shall be entitled to receive the same distribution as 0.001 shares of Class A common stock.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239" w:lineRule="exact"/>
        <w:rPr>
          <w:sz w:val="20"/>
          <w:szCs w:val="20"/>
          <w:color w:val="auto"/>
        </w:rPr>
      </w:pPr>
    </w:p>
    <w:p>
      <w:pPr>
        <w:jc w:val="both"/>
        <w:ind w:firstLine="464"/>
        <w:spacing w:after="0" w:line="275" w:lineRule="auto"/>
        <w:rPr>
          <w:sz w:val="20"/>
          <w:szCs w:val="20"/>
          <w:color w:val="auto"/>
        </w:rPr>
      </w:pPr>
      <w:r>
        <w:rPr>
          <w:rFonts w:ascii="Arial" w:cs="Arial" w:eastAsia="Arial" w:hAnsi="Arial"/>
          <w:sz w:val="18"/>
          <w:szCs w:val="18"/>
          <w:color w:val="auto"/>
        </w:rPr>
        <w:t>Non-controlling interests represents the ownership interests in PWP OpCo held by holders other than Perella Weinberg Partners. Professional Partners and the ILPs own 50,154,199 PWP OpCo Units as of September 30, 2021, which represent a 54.11% non-controlling ownership interest in PWP OpCo. These PWP OpCo Units are exchangeable into PWP Class A common stock on a one-for-one basis. Class B-1 and Class B-2 common stock have de minimis economic rights.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239" w:lineRule="exact"/>
        <w:rPr>
          <w:sz w:val="20"/>
          <w:szCs w:val="20"/>
          <w:color w:val="auto"/>
        </w:rPr>
      </w:pPr>
    </w:p>
    <w:p>
      <w:pPr>
        <w:jc w:val="both"/>
        <w:ind w:firstLine="464"/>
        <w:spacing w:after="0" w:line="271" w:lineRule="auto"/>
        <w:rPr>
          <w:sz w:val="20"/>
          <w:szCs w:val="20"/>
          <w:color w:val="auto"/>
        </w:rPr>
      </w:pPr>
      <w:r>
        <w:rPr>
          <w:rFonts w:ascii="Arial" w:cs="Arial" w:eastAsia="Arial" w:hAnsi="Arial"/>
          <w:sz w:val="18"/>
          <w:szCs w:val="18"/>
          <w:color w:val="auto"/>
        </w:rPr>
        <w:t>In connection with the Closing, the Company entered into a registration rights agreement with the Sponsor, Professional Partners and the ILPs pursuant to which the Company is required to file with the SEC a registration statement pursuant to Rule 415 under the Securities Act of 1933, as amended (the “Securities Act”) registering the resale of certain shares of its Class A common stock and certain of its other equity securities. The Company will bear the expenses incurred in connection with the filing of any registration statements filed pursuant to the registration rights agreement. The registration rights agreement does not contain any penalties associated with failure to file or to maintain the effectiveness of a registration statement covering the shares owned by individuals covered by such agreement.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Sponsor Share Surrender and Share Restriction Agreement</w:t>
      </w:r>
    </w:p>
    <w:p>
      <w:pPr>
        <w:spacing w:after="0" w:line="239" w:lineRule="exact"/>
        <w:rPr>
          <w:sz w:val="20"/>
          <w:szCs w:val="20"/>
          <w:color w:val="auto"/>
        </w:rPr>
      </w:pPr>
    </w:p>
    <w:p>
      <w:pPr>
        <w:jc w:val="both"/>
        <w:ind w:firstLine="464"/>
        <w:spacing w:after="0" w:line="270" w:lineRule="auto"/>
        <w:rPr>
          <w:sz w:val="20"/>
          <w:szCs w:val="20"/>
          <w:color w:val="auto"/>
        </w:rPr>
      </w:pPr>
      <w:r>
        <w:rPr>
          <w:rFonts w:ascii="Arial" w:cs="Arial" w:eastAsia="Arial" w:hAnsi="Arial"/>
          <w:sz w:val="18"/>
          <w:szCs w:val="18"/>
          <w:color w:val="auto"/>
        </w:rPr>
        <w:t>Concurrent with the Business Combination Agreement, FTIV, PWP OpCo and certain other parties entered into the Surrender Agreement with the Sponsor, which was amended on May 4, 2021, under which the founder shares and Placement Shares owned by the Sponsor are subject to transfer restrictions that lapse in tranches based on share price targets or the 10 year anniversary, whichever occurs first. Additionally, if, prior to the fourth anniversary of the Closing, the closing share price is greater than $12.00 per share or $15.00 per share for any 20 trading days out of 30 consecutive trading days (each a “Trigger Date”), then, during the 15 day period following such Trigger Date, the Company shall have the right to purchase from the Sponsor up to an aggregate of 1,000,000 founder shares per Trigger Date for a purchase price of $12.00 per share or $15.00 per share, respectively, by providing written notice of such repurchase election to the Sponsor.</w:t>
      </w:r>
    </w:p>
    <w:p>
      <w:pPr>
        <w:spacing w:after="0" w:line="193"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8"/>
          <w:szCs w:val="18"/>
          <w:color w:val="auto"/>
        </w:rPr>
        <w:t>On August 9, 2021, the Company repurchased 1,000,000 founder shares from the Sponsor at a purchase price of $12.00 per share for a total purchase price of $12.0 million. The share repurchase was recorded to Treasury stock, at cost, on our Condensed Consolidated Statements of Financial Condition as of September 30, 2021.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Agreement</w:t>
      </w:r>
    </w:p>
    <w:p>
      <w:pPr>
        <w:spacing w:after="0" w:line="239" w:lineRule="exact"/>
        <w:rPr>
          <w:sz w:val="20"/>
          <w:szCs w:val="20"/>
          <w:color w:val="auto"/>
        </w:rPr>
      </w:pPr>
    </w:p>
    <w:p>
      <w:pPr>
        <w:jc w:val="both"/>
        <w:ind w:firstLine="464"/>
        <w:spacing w:after="0" w:line="311" w:lineRule="auto"/>
        <w:rPr>
          <w:sz w:val="20"/>
          <w:szCs w:val="20"/>
          <w:color w:val="auto"/>
        </w:rPr>
      </w:pPr>
      <w:r>
        <w:rPr>
          <w:rFonts w:ascii="Arial" w:cs="Arial" w:eastAsia="Arial" w:hAnsi="Arial"/>
          <w:sz w:val="16"/>
          <w:szCs w:val="16"/>
          <w:color w:val="auto"/>
        </w:rPr>
        <w:t>On the date of the Closing, PWP and Professional Partners entered into a Stockholders Agreement (the “Stockholders Agreement”), providing for certain approval and director nomination rights in favor of Professional Partners. The Stockholders Agreement provides that for so long as Professional Partners or its limited partners as of the date of the Closing (or their permitted successors or assigns) continue to hold securities representing at least five percent of the Company’s outstanding Class A common stock on an as-exchanged basis (the “5% Condition”), the Board may not approve, absent the prior consent of Professional Partners, any amendment to the certificate of incorporation or bylaws of the Company, or the limited partnership agreement of PWP OpCo, in each case, that would materially and adversely affect in a disproportionate manner the rights of Professional Partners or its limited partners.</w:t>
      </w:r>
    </w:p>
    <w:p>
      <w:pPr>
        <w:spacing w:after="0" w:line="163" w:lineRule="exact"/>
        <w:rPr>
          <w:sz w:val="20"/>
          <w:szCs w:val="20"/>
          <w:color w:val="auto"/>
        </w:rPr>
      </w:pPr>
    </w:p>
    <w:p>
      <w:pPr>
        <w:jc w:val="both"/>
        <w:ind w:firstLine="464"/>
        <w:spacing w:after="0" w:line="293" w:lineRule="auto"/>
        <w:rPr>
          <w:sz w:val="20"/>
          <w:szCs w:val="20"/>
          <w:color w:val="auto"/>
        </w:rPr>
      </w:pPr>
      <w:r>
        <w:rPr>
          <w:rFonts w:ascii="Arial" w:cs="Arial" w:eastAsia="Arial" w:hAnsi="Arial"/>
          <w:sz w:val="18"/>
          <w:szCs w:val="18"/>
          <w:color w:val="auto"/>
        </w:rPr>
        <w:t>In addition, for so long as the 10% Condition is met, the Board may not approve, absent the prior consent of Professional Partners, a number of ordinary course operating activities in respect of the Company, PWP OpCo and PWP OpCo’s subsidiaries.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9" w:name="page30"/>
    <w:bookmarkEnd w:id="29"/>
    <w:p>
      <w:pPr>
        <w:ind w:left="4580"/>
        <w:spacing w:after="0"/>
        <w:rPr>
          <w:sz w:val="20"/>
          <w:szCs w:val="20"/>
          <w:color w:val="auto"/>
        </w:rPr>
      </w:pPr>
      <w:r>
        <w:rPr>
          <w:rFonts w:ascii="Arial" w:cs="Arial" w:eastAsia="Arial" w:hAnsi="Arial"/>
          <w:sz w:val="18"/>
          <w:szCs w:val="18"/>
          <w:b w:val="1"/>
          <w:bCs w:val="1"/>
          <w:color w:val="auto"/>
        </w:rPr>
        <w:t>Perella Weinberg Partners</w:t>
      </w:r>
    </w:p>
    <w:p>
      <w:pPr>
        <w:spacing w:after="0" w:line="7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313"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8"/>
          <w:szCs w:val="18"/>
          <w:color w:val="auto"/>
        </w:rPr>
        <w:t>The effect of the agreement is that Professional Partners may maintain control over the Company’s significant corporate transactions even if it holds less than a majority of the combined total voting power of the Class A and Class B common stock. The Stockholders Agreement will terminate once the 5% Condition is no longer satisfied.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PWP OpCo Limited Partnership Agreement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Governance and Voting and Economic Rights</w:t>
      </w:r>
    </w:p>
    <w:p>
      <w:pPr>
        <w:spacing w:after="0" w:line="239" w:lineRule="exact"/>
        <w:rPr>
          <w:sz w:val="20"/>
          <w:szCs w:val="20"/>
          <w:color w:val="auto"/>
        </w:rPr>
      </w:pPr>
    </w:p>
    <w:p>
      <w:pPr>
        <w:jc w:val="both"/>
        <w:ind w:firstLine="539"/>
        <w:spacing w:after="0" w:line="306" w:lineRule="auto"/>
        <w:rPr>
          <w:sz w:val="20"/>
          <w:szCs w:val="20"/>
          <w:color w:val="auto"/>
        </w:rPr>
      </w:pPr>
      <w:r>
        <w:rPr>
          <w:rFonts w:ascii="Arial" w:cs="Arial" w:eastAsia="Arial" w:hAnsi="Arial"/>
          <w:sz w:val="16"/>
          <w:szCs w:val="16"/>
          <w:color w:val="auto"/>
        </w:rPr>
        <w:t>On the date of the Closing, PWP OpCo adopted an Amended and Restated Agreement of Limited Partnership of PWP OpCo (as amended, restated, modified or supplemented from time to time, the “PWP OpCo LPA”). Through the Company’s control of PWP GP, the general partner of PWP OpCo, the Company will have unilateral control (subject to the consent of PWP OpCo’s partners on certain limited matters) over the affairs and decisions of PWP OpCo, including the appointment of officers of PWP OpCo. As such, including through such officers and directors, the Company will be responsible for all operational and administrative decisions of PWP OpCo and the day-to-day management of PWP OpCo’s business. Furthermore, PWP GP cannot be removed as the general partner without the Company’s approval. No holders of PWP OpCo Units (the “PWP OpCo Unitholders”), in their capacity as such, will have any authority or right to control the management of PWP OpCo or to bind it in connection with any matter. However, Professional Partners, which is ultimately managed by a committee of limited partners that manages Professionals GP, the general partner of Professional Partners, will have the ability to exercise majority voting control over the Company by virtue of its ownership of all outstanding shares of Class B-1 common stock.</w:t>
      </w:r>
    </w:p>
    <w:p>
      <w:pPr>
        <w:spacing w:after="0" w:line="170" w:lineRule="exact"/>
        <w:rPr>
          <w:sz w:val="20"/>
          <w:szCs w:val="20"/>
          <w:color w:val="auto"/>
        </w:rPr>
      </w:pPr>
    </w:p>
    <w:p>
      <w:pPr>
        <w:jc w:val="both"/>
        <w:ind w:firstLine="539"/>
        <w:spacing w:after="0" w:line="292" w:lineRule="auto"/>
        <w:rPr>
          <w:sz w:val="20"/>
          <w:szCs w:val="20"/>
          <w:color w:val="auto"/>
        </w:rPr>
      </w:pPr>
      <w:r>
        <w:rPr>
          <w:rFonts w:ascii="Arial" w:cs="Arial" w:eastAsia="Arial" w:hAnsi="Arial"/>
          <w:sz w:val="17"/>
          <w:szCs w:val="17"/>
          <w:color w:val="auto"/>
        </w:rPr>
        <w:t>In accordance with the PWP OpCo LPA, the Company intends to use best efforts to cause PWP OpCo to make sufficient cash distributions to the PWP OpCo Unitholders to fund their tax obligations in respect of the income of PWP OpCo that is allocated to them. Generally, these tax distributions will be computed based on the Company’s estimate of the net taxable income of PWP OpCo allocable to such holder of partnership units multiplied by an assumed tax rate equal to the highest effective marginal combined U.S. federal, state and local income tax rate prescribed for an individual or corporation (taking into account the non-deductibility of certain expenses and the character of PWP OpCo’s income).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Exchange Rights</w:t>
      </w:r>
    </w:p>
    <w:p>
      <w:pPr>
        <w:spacing w:after="0" w:line="239" w:lineRule="exact"/>
        <w:rPr>
          <w:sz w:val="20"/>
          <w:szCs w:val="20"/>
          <w:color w:val="auto"/>
        </w:rPr>
      </w:pPr>
    </w:p>
    <w:p>
      <w:pPr>
        <w:jc w:val="both"/>
        <w:ind w:firstLine="599"/>
        <w:spacing w:after="0" w:line="290" w:lineRule="auto"/>
        <w:rPr>
          <w:sz w:val="20"/>
          <w:szCs w:val="20"/>
          <w:color w:val="auto"/>
        </w:rPr>
      </w:pPr>
      <w:r>
        <w:rPr>
          <w:rFonts w:ascii="Arial" w:cs="Arial" w:eastAsia="Arial" w:hAnsi="Arial"/>
          <w:sz w:val="17"/>
          <w:szCs w:val="17"/>
          <w:color w:val="auto"/>
        </w:rPr>
        <w:t>In accordance with the PWP OpCo LPA, PWP OpCo Unitholders (other than the Company) may exchange these units for (i) shares of Class A common stock on a one-for-one basis or (ii) cash from an offering of shares of Class A common stock with the form of consideration determined by the Company. Concurrently with an exchange of PWP OpCo Units for shares of Class A common stock or cash by a PWP OpCo Unitholder who also holds shares of Class B common stock, such PWP OpCo Unitholder will be required to surrender to us a number of shares of Class B common stock equal to the number of PWP OpCo Units exchanged, and such shares will be converted into shares of Class A common stock or cash (at our option) which will be delivered to such PWP OpCo Unitholder (at our option) at a conversion rate of 0.001.</w:t>
      </w:r>
    </w:p>
    <w:p>
      <w:pPr>
        <w:spacing w:after="0" w:line="176" w:lineRule="exact"/>
        <w:rPr>
          <w:sz w:val="20"/>
          <w:szCs w:val="20"/>
          <w:color w:val="auto"/>
        </w:rPr>
      </w:pPr>
    </w:p>
    <w:p>
      <w:pPr>
        <w:jc w:val="both"/>
        <w:ind w:firstLine="539"/>
        <w:spacing w:after="0" w:line="269" w:lineRule="auto"/>
        <w:rPr>
          <w:sz w:val="20"/>
          <w:szCs w:val="20"/>
          <w:color w:val="auto"/>
        </w:rPr>
      </w:pPr>
      <w:r>
        <w:rPr>
          <w:rFonts w:ascii="Arial" w:cs="Arial" w:eastAsia="Arial" w:hAnsi="Arial"/>
          <w:sz w:val="18"/>
          <w:szCs w:val="18"/>
          <w:color w:val="auto"/>
        </w:rPr>
        <w:t>The PWP OpCo LPA contains restrictions on the ability to exchange PWP OpCo Units for shares of Class A common stock or cash from an offering of shares of Class A common stock, for the following periods: (i) PWP OpCo Units held by Professional Partners will be subject to a restriction for time periods that are fully back-to-back with the lock-up periods contemplated in the amended and restated limited partnership agreement of Professional Partners (generally speaking, such lock-up periods (a) for former working partners, will be 180 days after Closing; and (b) for working partners, will be between three to five years after the Closing), (ii) PWP OpCo Units held by ILPs existing at the time of the Business Combination will be subject to such restriction for 180 days after the Closing, and (iii) any other outstanding PWP OpCo Units not previously covered by clauses (i) and (ii) above will be subject to such restriction for a period of twelve months following the date on which such PWP OpCo Units were acquired. PWP GP may waive, and in certain cases has waived, the foregoing restrictions for any holder with respect to all or a portion of such holder’s units, with no obligation to do so for any other holder.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0" w:name="page31"/>
    <w:bookmarkEnd w:id="30"/>
    <w:p>
      <w:pPr>
        <w:ind w:left="4580"/>
        <w:spacing w:after="0"/>
        <w:rPr>
          <w:sz w:val="20"/>
          <w:szCs w:val="20"/>
          <w:color w:val="auto"/>
        </w:rPr>
      </w:pPr>
      <w:r>
        <w:rPr>
          <w:rFonts w:ascii="Arial" w:cs="Arial" w:eastAsia="Arial" w:hAnsi="Arial"/>
          <w:sz w:val="18"/>
          <w:szCs w:val="18"/>
          <w:b w:val="1"/>
          <w:bCs w:val="1"/>
          <w:color w:val="auto"/>
        </w:rPr>
        <w:t>Perella Weinberg Partners</w:t>
      </w:r>
    </w:p>
    <w:p>
      <w:pPr>
        <w:spacing w:after="0" w:line="7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Warrants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Warrants</w:t>
      </w:r>
    </w:p>
    <w:p>
      <w:pPr>
        <w:spacing w:after="0" w:line="239" w:lineRule="exact"/>
        <w:rPr>
          <w:sz w:val="20"/>
          <w:szCs w:val="20"/>
          <w:color w:val="auto"/>
        </w:rPr>
      </w:pPr>
    </w:p>
    <w:p>
      <w:pPr>
        <w:jc w:val="both"/>
        <w:ind w:firstLine="464"/>
        <w:spacing w:after="0" w:line="272" w:lineRule="auto"/>
        <w:rPr>
          <w:sz w:val="20"/>
          <w:szCs w:val="20"/>
          <w:color w:val="auto"/>
        </w:rPr>
      </w:pPr>
      <w:r>
        <w:rPr>
          <w:rFonts w:ascii="Arial" w:cs="Arial" w:eastAsia="Arial" w:hAnsi="Arial"/>
          <w:sz w:val="18"/>
          <w:szCs w:val="18"/>
          <w:color w:val="auto"/>
        </w:rPr>
        <w:t>Each public warrant entitles the registered holder to purchase one share of Class A common stock at an exercise price of $11.50 per share, subject to adjustment, and are exercisable on the later of 30 days after the Business Combination or 12 months from the closing of FTIV’s initial public offering. A warrant holder may exercise its warrants only for a whole number of shares of Class A common stock. This means that only a whole warrant may be exercised at any given time by a warrant holder. The warrants will expire five years after the Business Combination, or earlier upon redemption or liquidation.</w:t>
      </w:r>
    </w:p>
    <w:p>
      <w:pPr>
        <w:spacing w:after="0" w:line="191" w:lineRule="exact"/>
        <w:rPr>
          <w:sz w:val="20"/>
          <w:szCs w:val="20"/>
          <w:color w:val="auto"/>
        </w:rPr>
      </w:pPr>
    </w:p>
    <w:p>
      <w:pPr>
        <w:jc w:val="both"/>
        <w:ind w:firstLine="464"/>
        <w:spacing w:after="0" w:line="271" w:lineRule="auto"/>
        <w:rPr>
          <w:sz w:val="20"/>
          <w:szCs w:val="20"/>
          <w:color w:val="auto"/>
        </w:rPr>
      </w:pPr>
      <w:r>
        <w:rPr>
          <w:rFonts w:ascii="Arial" w:cs="Arial" w:eastAsia="Arial" w:hAnsi="Arial"/>
          <w:sz w:val="18"/>
          <w:szCs w:val="18"/>
          <w:color w:val="auto"/>
        </w:rPr>
        <w:t>The Company will not be obligated to deliver any Class A common stock pursuant to the exercise of a public warrant and will have no obligation to settle such public warrant exercise unless a registration statement under the Securities Act with respect to the shares of Class A common stock underlying the public warrants is then effective and a current prospectus relating thereto is available, subject to the Company satisfying its obligations described below with respect to registration. No public warrant will be exercisable and the Company will not be obligated to issue any shares to holders seeking to exercise their Public Warrants, unless the issuance of the shares upon such exercise has been registered, qualified or deemed exempt under the securities laws of the state of residence of the exercising holder.</w:t>
      </w:r>
    </w:p>
    <w:p>
      <w:pPr>
        <w:spacing w:after="0" w:line="191" w:lineRule="exact"/>
        <w:rPr>
          <w:sz w:val="20"/>
          <w:szCs w:val="20"/>
          <w:color w:val="auto"/>
        </w:rPr>
      </w:pPr>
    </w:p>
    <w:p>
      <w:pPr>
        <w:jc w:val="both"/>
        <w:ind w:firstLine="464"/>
        <w:spacing w:after="0" w:line="269" w:lineRule="auto"/>
        <w:rPr>
          <w:sz w:val="20"/>
          <w:szCs w:val="20"/>
          <w:color w:val="auto"/>
        </w:rPr>
      </w:pPr>
      <w:r>
        <w:rPr>
          <w:rFonts w:ascii="Arial" w:cs="Arial" w:eastAsia="Arial" w:hAnsi="Arial"/>
          <w:sz w:val="18"/>
          <w:szCs w:val="18"/>
          <w:color w:val="auto"/>
        </w:rPr>
        <w:t>The Company filed a registration statement under the Securities Act with the SEC on July 15, 2021 which was declared effective July 26, 2021. It is the Company’s responsibility to maintain the effectiveness of such registration statement and a current prospectus related thereto, until the expiration of the public warrants in accordance with the provisions of the warrant agreement. Notwithstanding the above, if the shares of Class A common stock are, at the time of any exercise of a public warrant, not listed on a national securities exchange such that they satisfy the definition of a “covered security” under Section 18(b)(1) of the Securities Act, the Company may, at its option, require holders of public warrants who exercise their public warrants to do so on a “cashless basis” in accordance with Section 3(a)(9) of the Securities Act and, in the event the Company so elects, the Company will not be required to file or maintain in effect a registration statement, but will use its best efforts to register or qualify the shares under applicable blue sky laws to the extent an exemption is not available.</w:t>
      </w:r>
    </w:p>
    <w:p>
      <w:pPr>
        <w:spacing w:after="0" w:line="196" w:lineRule="exact"/>
        <w:rPr>
          <w:sz w:val="20"/>
          <w:szCs w:val="20"/>
          <w:color w:val="auto"/>
        </w:rPr>
      </w:pPr>
    </w:p>
    <w:p>
      <w:pPr>
        <w:jc w:val="both"/>
        <w:ind w:firstLine="464"/>
        <w:spacing w:after="0" w:line="272" w:lineRule="auto"/>
        <w:rPr>
          <w:sz w:val="20"/>
          <w:szCs w:val="20"/>
          <w:color w:val="auto"/>
        </w:rPr>
      </w:pPr>
      <w:r>
        <w:rPr>
          <w:rFonts w:ascii="Arial" w:cs="Arial" w:eastAsia="Arial" w:hAnsi="Arial"/>
          <w:sz w:val="18"/>
          <w:szCs w:val="18"/>
          <w:color w:val="auto"/>
        </w:rPr>
        <w:t>Once the warrants become exercisable, the Company may call the warrants for redemption as follows: (i) in whole and not in part; (ii) at a price of $0.01 per warrant; (iii) upon a minimum of 30 days’ prior written notice of redemption to each warrant holder; and (iv) if, and only if, the last reported sale price of the Class A common stock equals or exceeds $18.00 per share (as adjusted for stock splits, stock dividends, reorganizations, recapitalizations and the like) for any 20 trading days within a 30-trading day period ending on the third day prior to the date on which the Company sends the notice of redemption to the warrant holders.</w:t>
      </w:r>
    </w:p>
    <w:p>
      <w:pPr>
        <w:spacing w:after="0" w:line="191" w:lineRule="exact"/>
        <w:rPr>
          <w:sz w:val="20"/>
          <w:szCs w:val="20"/>
          <w:color w:val="auto"/>
        </w:rPr>
      </w:pPr>
    </w:p>
    <w:p>
      <w:pPr>
        <w:jc w:val="both"/>
        <w:ind w:firstLine="464"/>
        <w:spacing w:after="0" w:line="296" w:lineRule="auto"/>
        <w:rPr>
          <w:sz w:val="20"/>
          <w:szCs w:val="20"/>
          <w:color w:val="auto"/>
        </w:rPr>
      </w:pPr>
      <w:r>
        <w:rPr>
          <w:rFonts w:ascii="Arial" w:cs="Arial" w:eastAsia="Arial" w:hAnsi="Arial"/>
          <w:sz w:val="17"/>
          <w:szCs w:val="17"/>
          <w:color w:val="auto"/>
        </w:rPr>
        <w:t>If the Company calls the public warrants for redemption for cash, management will have the option to require any holder that wishes to exercise the public warrants to do so on a “cashless basis” as described in the warrant agreement. The exercise price and number of shares of Class A common stock issuable upon exercise of the warrants may be adjusted in certain circumstances including in the event of a stock dividend, or recapitalization, reorganization, merger or consolidation. Additionally, in no event will the Company be required to net cash settle the warrants.</w:t>
      </w:r>
    </w:p>
    <w:p>
      <w:pPr>
        <w:spacing w:after="0" w:line="170" w:lineRule="exact"/>
        <w:rPr>
          <w:sz w:val="20"/>
          <w:szCs w:val="20"/>
          <w:color w:val="auto"/>
        </w:rPr>
      </w:pPr>
    </w:p>
    <w:p>
      <w:pPr>
        <w:jc w:val="both"/>
        <w:ind w:firstLine="464"/>
        <w:spacing w:after="0" w:line="275" w:lineRule="auto"/>
        <w:rPr>
          <w:sz w:val="20"/>
          <w:szCs w:val="20"/>
          <w:color w:val="auto"/>
        </w:rPr>
      </w:pPr>
      <w:r>
        <w:rPr>
          <w:rFonts w:ascii="Arial" w:cs="Arial" w:eastAsia="Arial" w:hAnsi="Arial"/>
          <w:sz w:val="18"/>
          <w:szCs w:val="18"/>
          <w:color w:val="auto"/>
        </w:rPr>
        <w:t>Warrant holders do not have the rights or privileges of holders of Class A common stock and any voting rights until they exercise their warrants and receive shares of Class A common stock. After the issuance of shares of Class A common stock upon exercise of the warrants, each holder will be entitled to one vote for each share held of record on all matters to be voted on by stockholders. As of September 30, 2021, the Company had 7,666,642 public warrants outstanding.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Warrants</w:t>
      </w:r>
    </w:p>
    <w:p>
      <w:pPr>
        <w:spacing w:after="0" w:line="239" w:lineRule="exact"/>
        <w:rPr>
          <w:sz w:val="20"/>
          <w:szCs w:val="20"/>
          <w:color w:val="auto"/>
        </w:rPr>
      </w:pPr>
    </w:p>
    <w:p>
      <w:pPr>
        <w:jc w:val="both"/>
        <w:ind w:firstLine="464"/>
        <w:spacing w:after="0" w:line="314" w:lineRule="auto"/>
        <w:rPr>
          <w:sz w:val="20"/>
          <w:szCs w:val="20"/>
          <w:color w:val="auto"/>
        </w:rPr>
      </w:pPr>
      <w:r>
        <w:rPr>
          <w:rFonts w:ascii="Arial" w:cs="Arial" w:eastAsia="Arial" w:hAnsi="Arial"/>
          <w:sz w:val="16"/>
          <w:szCs w:val="16"/>
          <w:color w:val="auto"/>
        </w:rPr>
        <w:t>The private warrants are identical to the public warrants, except that the private warrants and the Class A common stock issuable upon the exercise of the private warrants will not be transferable, assignable or saleable until 30 days after the completion of the Business Combination, subject to certain limited exceptions. Additionally, the private warrants will be non-redeemable so long as they are held by the Sponsor or its permitted transferees. If the private warrants are held by someone other than the Sponsor or its permitted transferees, the private warrants will be redeemable by the Company and exercisable by such holders on the same basis as the public warrants. As of September 30, 2021, the Company had 203,333 private warrants outstanding.</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1" w:name="page32"/>
    <w:bookmarkEnd w:id="31"/>
    <w:p>
      <w:pPr>
        <w:ind w:left="4580"/>
        <w:spacing w:after="0"/>
        <w:rPr>
          <w:sz w:val="20"/>
          <w:szCs w:val="20"/>
          <w:color w:val="auto"/>
        </w:rPr>
      </w:pPr>
      <w:r>
        <w:rPr>
          <w:rFonts w:ascii="Arial" w:cs="Arial" w:eastAsia="Arial" w:hAnsi="Arial"/>
          <w:sz w:val="18"/>
          <w:szCs w:val="18"/>
          <w:b w:val="1"/>
          <w:bCs w:val="1"/>
          <w:color w:val="auto"/>
        </w:rPr>
        <w:t>Perella Weinberg Partners</w:t>
      </w:r>
    </w:p>
    <w:p>
      <w:pPr>
        <w:spacing w:after="0" w:line="7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Warrants</w:t>
      </w:r>
    </w:p>
    <w:p>
      <w:pPr>
        <w:spacing w:after="0" w:line="239" w:lineRule="exact"/>
        <w:rPr>
          <w:sz w:val="20"/>
          <w:szCs w:val="20"/>
          <w:color w:val="auto"/>
        </w:rPr>
      </w:pPr>
    </w:p>
    <w:p>
      <w:pPr>
        <w:jc w:val="both"/>
        <w:ind w:firstLine="464"/>
        <w:spacing w:after="0" w:line="275" w:lineRule="auto"/>
        <w:rPr>
          <w:sz w:val="20"/>
          <w:szCs w:val="20"/>
          <w:color w:val="auto"/>
        </w:rPr>
      </w:pPr>
      <w:r>
        <w:rPr>
          <w:rFonts w:ascii="Arial" w:cs="Arial" w:eastAsia="Arial" w:hAnsi="Arial"/>
          <w:sz w:val="18"/>
          <w:szCs w:val="18"/>
          <w:color w:val="auto"/>
        </w:rPr>
        <w:t>The public and private warrants meet the definition of a derivative under ASC 815 and as such, the Company recorded these warrants as liabilities at fair value upon the closing of the Business Combination in accordance with ASC 820 with subsequent changes in their respective fair values recorded in Change in fair value of warrant liabilities on the Condensed Consolidated Statements of Operations. See Note 16 – Fair Value Measurements and Investments for description of the valuation methodology and further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Exercise of Warrants</w:t>
      </w:r>
    </w:p>
    <w:p>
      <w:pPr>
        <w:spacing w:after="0" w:line="239" w:lineRule="exact"/>
        <w:rPr>
          <w:sz w:val="20"/>
          <w:szCs w:val="20"/>
          <w:color w:val="auto"/>
        </w:rPr>
      </w:pPr>
    </w:p>
    <w:p>
      <w:pPr>
        <w:ind w:left="480"/>
        <w:spacing w:after="0"/>
        <w:rPr>
          <w:sz w:val="20"/>
          <w:szCs w:val="20"/>
          <w:color w:val="auto"/>
        </w:rPr>
      </w:pPr>
      <w:r>
        <w:rPr>
          <w:rFonts w:ascii="Arial" w:cs="Arial" w:eastAsia="Arial" w:hAnsi="Arial"/>
          <w:sz w:val="16"/>
          <w:szCs w:val="16"/>
          <w:color w:val="auto"/>
        </w:rPr>
        <w:t>On September 29, 2021, all of the public and private warrants became exercisable. As of September 30, 2021, none of the warrants were exercised.</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Equity-Based Compensation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PWP Omnibus Incentive Plan Awards</w:t>
      </w:r>
    </w:p>
    <w:p>
      <w:pPr>
        <w:spacing w:after="0" w:line="239" w:lineRule="exact"/>
        <w:rPr>
          <w:sz w:val="20"/>
          <w:szCs w:val="20"/>
          <w:color w:val="auto"/>
        </w:rPr>
      </w:pPr>
    </w:p>
    <w:p>
      <w:pPr>
        <w:jc w:val="both"/>
        <w:ind w:firstLine="464"/>
        <w:spacing w:after="0" w:line="302" w:lineRule="auto"/>
        <w:rPr>
          <w:sz w:val="20"/>
          <w:szCs w:val="20"/>
          <w:color w:val="auto"/>
        </w:rPr>
      </w:pPr>
      <w:r>
        <w:rPr>
          <w:rFonts w:ascii="Arial" w:cs="Arial" w:eastAsia="Arial" w:hAnsi="Arial"/>
          <w:sz w:val="16"/>
          <w:szCs w:val="16"/>
          <w:color w:val="auto"/>
        </w:rPr>
        <w:t>Concurrent with the Business Combination, the Company adopted the Perella Weinberg Partners 2021 Omnibus Incentive Plan (the “PWP Incentive Plan”), which establishes a plan for the granting of incentive compensation awards measured by reference to PWP Class A common stock. Under the PWP Incentive Plan, the Company may grant options, stock appreciation rights, restricted stock, restricted stock units (“RSUs”), performance restricted stock units (“PSUs”), stock bonuses, other stock-based awards, cash awards or any combination of the foregoing. The maximum aggregate number of shares of Class A common stock reserved for issuance under the PWP Incentive Plan for general purposes (the “General Share Reserve”) is 13,980,000 shares and will be increased on the first day of each fiscal year of the Company beginning in calendar year 2022 by the number of shares of Class A common stock equal to the excess, if any, of (i) 15% of the number of outstanding shares of Class A common stock and the outstanding PWP OpCo Units that are exchangeable for shares of Class A common stock, in each case, on last day of the immediately preceding fiscal year, over (ii) the number of shares of Class A common stock reserved and available for issuance in respect to future grants of awards under the PWP Incentive Plan as of the last day of the immediately preceding fiscal year. In addition to the General Share Reserve, 10,200,000 shares of Class A common stock (the “Transaction Pool Share Reserve”) are reserved for issuance under the plan through the one-year anniversary of the Business Combination, of which (i) up to 7,000,000 shares are reserved for Transaction Pool RSUs (defined below) and (ii) 3,200,000 shares are reserved for Transaction Pool PSUs (defined below). The Company intends to use newly issued shares of PWP Class A common stock to satisfy vested awards under the PWP Incentive Plan. Certain employees in France and Canada receive dividend equivalents in the form of additional awards that have the same vesting terms as the original underlying awards. These additional dividend equivalent awards are granted from the General Share Reserve. Awards granted from the General Share Reserve that are subsequently forfeited, cancelled, exchanged, surrendered, terminated or expired are available for future grant. However, awards granted from the Transaction Pool Share Reserve that are subsequently forfeited, cancelled, exchanged, surrendered, terminated or expired are not available for future grant. As of September 30, 2021, 3,965,271 total shares remained reserved and available for future issuance under the PWP Incentive Plan.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Combination Awards</w:t>
      </w:r>
    </w:p>
    <w:p>
      <w:pPr>
        <w:spacing w:after="0" w:line="252" w:lineRule="exact"/>
        <w:rPr>
          <w:sz w:val="20"/>
          <w:szCs w:val="20"/>
          <w:color w:val="auto"/>
        </w:rPr>
      </w:pPr>
    </w:p>
    <w:p>
      <w:pPr>
        <w:jc w:val="both"/>
        <w:ind w:firstLine="464"/>
        <w:spacing w:after="0" w:line="272" w:lineRule="auto"/>
        <w:rPr>
          <w:sz w:val="20"/>
          <w:szCs w:val="20"/>
          <w:color w:val="auto"/>
        </w:rPr>
      </w:pPr>
      <w:r>
        <w:rPr>
          <w:rFonts w:ascii="Arial" w:cs="Arial" w:eastAsia="Arial" w:hAnsi="Arial"/>
          <w:sz w:val="18"/>
          <w:szCs w:val="18"/>
          <w:color w:val="auto"/>
        </w:rPr>
        <w:t>During the third quarter of 2021, in connection with the Business Combination, the Company granted awards in the form of (i) restricted stock units out of the Transaction Pool Reserve consisting of (a) PSUs that only vest upon the achievement of both service and market conditions out of the Transaction Pool Share Reserve (“Transaction Pool PSUs”) and (b) RSUs that vest upon the achievement of service conditions out of the Transaction Pool Share Reserve (“Transaction Pool RSUs”) as well as (ii) PSUs out of the General Share Reserve to certain executives that vest upon the achievement of both service and market conditions (“Management PSUs”).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2" w:name="page33"/>
    <w:bookmarkEnd w:id="32"/>
    <w:p>
      <w:pPr>
        <w:ind w:left="4580"/>
        <w:spacing w:after="0"/>
        <w:rPr>
          <w:sz w:val="20"/>
          <w:szCs w:val="20"/>
          <w:color w:val="auto"/>
        </w:rPr>
      </w:pPr>
      <w:r>
        <w:rPr>
          <w:rFonts w:ascii="Arial" w:cs="Arial" w:eastAsia="Arial" w:hAnsi="Arial"/>
          <w:sz w:val="18"/>
          <w:szCs w:val="18"/>
          <w:b w:val="1"/>
          <w:bCs w:val="1"/>
          <w:color w:val="auto"/>
        </w:rPr>
        <w:t>Perella Weinberg Partners</w:t>
      </w:r>
    </w:p>
    <w:p>
      <w:pPr>
        <w:spacing w:after="0" w:line="7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97" w:lineRule="exact"/>
        <w:rPr>
          <w:sz w:val="20"/>
          <w:szCs w:val="20"/>
          <w:color w:val="auto"/>
        </w:rPr>
      </w:pPr>
    </w:p>
    <w:p>
      <w:pPr>
        <w:jc w:val="both"/>
        <w:ind w:firstLine="464"/>
        <w:spacing w:after="0" w:line="272" w:lineRule="auto"/>
        <w:rPr>
          <w:sz w:val="20"/>
          <w:szCs w:val="20"/>
          <w:color w:val="auto"/>
        </w:rPr>
      </w:pPr>
      <w:r>
        <w:rPr>
          <w:rFonts w:ascii="Arial" w:cs="Arial" w:eastAsia="Arial" w:hAnsi="Arial"/>
          <w:sz w:val="18"/>
          <w:szCs w:val="18"/>
          <w:i w:val="1"/>
          <w:iCs w:val="1"/>
          <w:color w:val="auto"/>
        </w:rPr>
        <w:t xml:space="preserve">Transaction Pool PSUs </w:t>
      </w:r>
      <w:r>
        <w:rPr>
          <w:rFonts w:ascii="Arial" w:cs="Arial" w:eastAsia="Arial" w:hAnsi="Arial"/>
          <w:sz w:val="18"/>
          <w:szCs w:val="18"/>
          <w:color w:val="auto"/>
        </w:rPr>
        <w:t>— The service condition requirement with respect to the Transaction Pool Performance RSUs is generally satisfied over</w:t>
      </w:r>
      <w:r>
        <w:rPr>
          <w:rFonts w:ascii="Arial" w:cs="Arial" w:eastAsia="Arial" w:hAnsi="Arial"/>
          <w:sz w:val="18"/>
          <w:szCs w:val="18"/>
          <w:i w:val="1"/>
          <w:iCs w:val="1"/>
          <w:color w:val="auto"/>
        </w:rPr>
        <w:t xml:space="preserve"> </w:t>
      </w:r>
      <w:r>
        <w:rPr>
          <w:rFonts w:ascii="Arial" w:cs="Arial" w:eastAsia="Arial" w:hAnsi="Arial"/>
          <w:sz w:val="18"/>
          <w:szCs w:val="18"/>
          <w:color w:val="auto"/>
        </w:rPr>
        <w:t>three to five years, with 20% of the awards vesting on each of the 36, 42, 48, 54 and 60 month anniversaries of the grant date. The market condition requirement will be satisfied in 25% increments upon the publicly traded shares of Class A common stock achieving closing share prices equal to $12, $13.50, $15 and $17 for any 20 trading days out of any 30 consecutive trading days ending prior to the sixth anniversary of the grant date. As of September 30, 2021, the $12 and $13.50 market condition requirements were satisfied.</w:t>
      </w:r>
    </w:p>
    <w:p>
      <w:pPr>
        <w:spacing w:after="0" w:line="20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summarizes activity related to unvested Transaction Pool PSUs for the nine months ended September 30, 2021:</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2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ind w:right="210"/>
              <w:spacing w:after="0"/>
              <w:rPr>
                <w:sz w:val="20"/>
                <w:szCs w:val="20"/>
                <w:color w:val="auto"/>
              </w:rPr>
            </w:pPr>
            <w:r>
              <w:rPr>
                <w:rFonts w:ascii="Arial" w:cs="Arial" w:eastAsia="Arial" w:hAnsi="Arial"/>
                <w:sz w:val="18"/>
                <w:szCs w:val="18"/>
                <w:b w:val="1"/>
                <w:bCs w:val="1"/>
                <w:color w:val="auto"/>
                <w:w w:val="90"/>
              </w:rPr>
              <w:t>Weighted Average</w:t>
            </w:r>
          </w:p>
        </w:tc>
      </w:tr>
      <w:tr>
        <w:trPr>
          <w:trHeight w:val="230"/>
        </w:trPr>
        <w:tc>
          <w:tcPr>
            <w:tcW w:w="72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00" w:type="dxa"/>
            <w:vAlign w:val="bottom"/>
            <w:gridSpan w:val="2"/>
          </w:tcPr>
          <w:p>
            <w:pPr>
              <w:ind w:left="20"/>
              <w:spacing w:after="0"/>
              <w:rPr>
                <w:sz w:val="20"/>
                <w:szCs w:val="20"/>
                <w:color w:val="auto"/>
              </w:rPr>
            </w:pPr>
            <w:r>
              <w:rPr>
                <w:rFonts w:ascii="Arial" w:cs="Arial" w:eastAsia="Arial" w:hAnsi="Arial"/>
                <w:sz w:val="18"/>
                <w:szCs w:val="18"/>
                <w:b w:val="1"/>
                <w:bCs w:val="1"/>
                <w:color w:val="auto"/>
              </w:rPr>
              <w:t>Grant Date Fair Value</w:t>
            </w:r>
          </w:p>
        </w:tc>
      </w:tr>
      <w:tr>
        <w:trPr>
          <w:trHeight w:val="241"/>
        </w:trPr>
        <w:tc>
          <w:tcPr>
            <w:tcW w:w="7280" w:type="dxa"/>
            <w:vAlign w:val="bottom"/>
          </w:tcPr>
          <w:p>
            <w:pPr>
              <w:spacing w:after="0"/>
              <w:rPr>
                <w:sz w:val="20"/>
                <w:szCs w:val="20"/>
                <w:color w:val="auto"/>
              </w:rPr>
            </w:pPr>
          </w:p>
        </w:tc>
        <w:tc>
          <w:tcPr>
            <w:tcW w:w="1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8"/>
              </w:rPr>
              <w:t>Transaction Pool PSUs</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Per Share</w:t>
            </w:r>
          </w:p>
        </w:tc>
      </w:tr>
      <w:tr>
        <w:trPr>
          <w:trHeight w:val="257"/>
        </w:trPr>
        <w:tc>
          <w:tcPr>
            <w:tcW w:w="7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January 1, 2021</w:t>
            </w:r>
          </w:p>
        </w:tc>
        <w:tc>
          <w:tcPr>
            <w:tcW w:w="18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7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7280" w:type="dxa"/>
            <w:vAlign w:val="bottom"/>
          </w:tcPr>
          <w:p>
            <w:pPr>
              <w:ind w:left="20"/>
              <w:spacing w:after="0"/>
              <w:rPr>
                <w:sz w:val="20"/>
                <w:szCs w:val="20"/>
                <w:color w:val="auto"/>
              </w:rPr>
            </w:pPr>
            <w:r>
              <w:rPr>
                <w:rFonts w:ascii="Arial" w:cs="Arial" w:eastAsia="Arial" w:hAnsi="Arial"/>
                <w:sz w:val="18"/>
                <w:szCs w:val="18"/>
                <w:color w:val="auto"/>
              </w:rPr>
              <w:t>Granted (1)</w:t>
            </w: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3,202,616</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12.74</w:t>
            </w:r>
          </w:p>
        </w:tc>
      </w:tr>
      <w:tr>
        <w:trPr>
          <w:trHeight w:val="263"/>
        </w:trPr>
        <w:tc>
          <w:tcPr>
            <w:tcW w:w="7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Vested</w:t>
            </w:r>
          </w:p>
        </w:tc>
        <w:tc>
          <w:tcPr>
            <w:tcW w:w="18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7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728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90"/>
        </w:trPr>
        <w:tc>
          <w:tcPr>
            <w:tcW w:w="7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at September 30, 2021</w:t>
            </w:r>
          </w:p>
        </w:tc>
        <w:tc>
          <w:tcPr>
            <w:tcW w:w="18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3,202,616</w:t>
            </w:r>
          </w:p>
        </w:tc>
        <w:tc>
          <w:tcPr>
            <w:tcW w:w="34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12.74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-25400</wp:posOffset>
            </wp:positionV>
            <wp:extent cx="12001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-7620</wp:posOffset>
            </wp:positionV>
            <wp:extent cx="12001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87" w:lineRule="exact"/>
        <w:rPr>
          <w:sz w:val="20"/>
          <w:szCs w:val="20"/>
          <w:color w:val="auto"/>
        </w:rPr>
      </w:pPr>
    </w:p>
    <w:p>
      <w:pPr>
        <w:ind w:left="340" w:hanging="332"/>
        <w:spacing w:after="0" w:line="293"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dividend equivalents that have been awarded in the form of additional Transaction Pool PSUs that were granted from the General Share Reserve.</w:t>
      </w:r>
    </w:p>
    <w:p>
      <w:pPr>
        <w:spacing w:after="0" w:line="183"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8"/>
          <w:szCs w:val="18"/>
          <w:color w:val="auto"/>
        </w:rPr>
        <w:t>The grant date fair value of the Transaction Pool PSUs granted during both the three and nine months ended September 30, 2021 was $40.8 million. As of September 30, 2021, total unrecognized compensation expense related to unvested Transaction Pool PSUs was $39.8 million, which is expected to be recognized over a weighted average period of 3.92 years.</w:t>
      </w:r>
    </w:p>
    <w:p>
      <w:pPr>
        <w:spacing w:after="0" w:line="196" w:lineRule="exact"/>
        <w:rPr>
          <w:sz w:val="20"/>
          <w:szCs w:val="20"/>
          <w:color w:val="auto"/>
        </w:rPr>
      </w:pPr>
    </w:p>
    <w:p>
      <w:pPr>
        <w:jc w:val="both"/>
        <w:ind w:firstLine="464"/>
        <w:spacing w:after="0" w:line="293" w:lineRule="auto"/>
        <w:rPr>
          <w:sz w:val="20"/>
          <w:szCs w:val="20"/>
          <w:color w:val="auto"/>
        </w:rPr>
      </w:pPr>
      <w:r>
        <w:rPr>
          <w:rFonts w:ascii="Arial" w:cs="Arial" w:eastAsia="Arial" w:hAnsi="Arial"/>
          <w:sz w:val="18"/>
          <w:szCs w:val="18"/>
          <w:color w:val="auto"/>
        </w:rPr>
        <w:t>The Company estimated the fair value of the Transaction Pool PSUs on the grant date using a Monte-Carlo simulation valuation model. The following table presents the assumptions used for the Transaction Pool PSUs for the nine months ended September 30, 2021:</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20" w:type="dxa"/>
            <w:vAlign w:val="bottom"/>
          </w:tcPr>
          <w:p>
            <w:pPr>
              <w:spacing w:after="0"/>
              <w:rPr>
                <w:sz w:val="19"/>
                <w:szCs w:val="19"/>
                <w:color w:val="auto"/>
              </w:rPr>
            </w:pPr>
          </w:p>
        </w:tc>
        <w:tc>
          <w:tcPr>
            <w:tcW w:w="2320" w:type="dxa"/>
            <w:vAlign w:val="bottom"/>
          </w:tcPr>
          <w:p>
            <w:pPr>
              <w:jc w:val="right"/>
              <w:ind w:right="450"/>
              <w:spacing w:after="0"/>
              <w:rPr>
                <w:sz w:val="20"/>
                <w:szCs w:val="20"/>
                <w:color w:val="auto"/>
              </w:rPr>
            </w:pPr>
            <w:r>
              <w:rPr>
                <w:rFonts w:ascii="Arial" w:cs="Arial" w:eastAsia="Arial" w:hAnsi="Arial"/>
                <w:sz w:val="18"/>
                <w:szCs w:val="18"/>
                <w:b w:val="1"/>
                <w:bCs w:val="1"/>
                <w:color w:val="auto"/>
              </w:rPr>
              <w:t>Nine Months Ended</w:t>
            </w:r>
          </w:p>
        </w:tc>
      </w:tr>
      <w:tr>
        <w:trPr>
          <w:trHeight w:val="241"/>
        </w:trPr>
        <w:tc>
          <w:tcPr>
            <w:tcW w:w="8920" w:type="dxa"/>
            <w:vAlign w:val="bottom"/>
          </w:tcPr>
          <w:p>
            <w:pPr>
              <w:spacing w:after="0"/>
              <w:rPr>
                <w:sz w:val="20"/>
                <w:szCs w:val="20"/>
                <w:color w:val="auto"/>
              </w:rPr>
            </w:pPr>
          </w:p>
        </w:tc>
        <w:tc>
          <w:tcPr>
            <w:tcW w:w="23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September 30, 2021</w:t>
            </w:r>
          </w:p>
        </w:tc>
      </w:tr>
      <w:tr>
        <w:trPr>
          <w:trHeight w:val="257"/>
        </w:trPr>
        <w:tc>
          <w:tcPr>
            <w:tcW w:w="8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Risk-free interest rate</w:t>
            </w:r>
          </w:p>
        </w:tc>
        <w:tc>
          <w:tcPr>
            <w:tcW w:w="23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0.93 %</w:t>
            </w:r>
          </w:p>
        </w:tc>
      </w:tr>
      <w:tr>
        <w:trPr>
          <w:trHeight w:val="250"/>
        </w:trPr>
        <w:tc>
          <w:tcPr>
            <w:tcW w:w="892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2320" w:type="dxa"/>
            <w:vAlign w:val="bottom"/>
          </w:tcPr>
          <w:p>
            <w:pPr>
              <w:jc w:val="right"/>
              <w:ind w:right="10"/>
              <w:spacing w:after="0"/>
              <w:rPr>
                <w:sz w:val="20"/>
                <w:szCs w:val="20"/>
                <w:color w:val="auto"/>
              </w:rPr>
            </w:pPr>
            <w:r>
              <w:rPr>
                <w:rFonts w:ascii="Arial" w:cs="Arial" w:eastAsia="Arial" w:hAnsi="Arial"/>
                <w:sz w:val="18"/>
                <w:szCs w:val="18"/>
                <w:color w:val="auto"/>
              </w:rPr>
              <w:t>2.00 %</w:t>
            </w:r>
          </w:p>
        </w:tc>
      </w:tr>
      <w:tr>
        <w:trPr>
          <w:trHeight w:val="263"/>
        </w:trPr>
        <w:tc>
          <w:tcPr>
            <w:tcW w:w="8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Volatility factor</w:t>
            </w:r>
          </w:p>
        </w:tc>
        <w:tc>
          <w:tcPr>
            <w:tcW w:w="23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32.90 %</w:t>
            </w:r>
          </w:p>
        </w:tc>
      </w:tr>
    </w:tbl>
    <w:p>
      <w:pPr>
        <w:spacing w:after="0" w:line="229" w:lineRule="exact"/>
        <w:rPr>
          <w:sz w:val="20"/>
          <w:szCs w:val="20"/>
          <w:color w:val="auto"/>
        </w:rPr>
      </w:pPr>
    </w:p>
    <w:p>
      <w:pPr>
        <w:jc w:val="both"/>
        <w:ind w:firstLine="464"/>
        <w:spacing w:after="0" w:line="275" w:lineRule="auto"/>
        <w:rPr>
          <w:sz w:val="20"/>
          <w:szCs w:val="20"/>
          <w:color w:val="auto"/>
        </w:rPr>
      </w:pPr>
      <w:r>
        <w:rPr>
          <w:rFonts w:ascii="Arial" w:cs="Arial" w:eastAsia="Arial" w:hAnsi="Arial"/>
          <w:sz w:val="18"/>
          <w:szCs w:val="18"/>
          <w:i w:val="1"/>
          <w:iCs w:val="1"/>
          <w:color w:val="auto"/>
        </w:rPr>
        <w:t xml:space="preserve">Transaction Pool RSUs </w:t>
      </w:r>
      <w:r>
        <w:rPr>
          <w:rFonts w:ascii="Arial" w:cs="Arial" w:eastAsia="Arial" w:hAnsi="Arial"/>
          <w:sz w:val="18"/>
          <w:szCs w:val="18"/>
          <w:color w:val="auto"/>
        </w:rPr>
        <w:t>— The Transaction Pool RSUs generally vest in equal annual installments over the requisite service period of three years.</w:t>
      </w:r>
      <w:r>
        <w:rPr>
          <w:rFonts w:ascii="Arial" w:cs="Arial" w:eastAsia="Arial" w:hAnsi="Arial"/>
          <w:sz w:val="18"/>
          <w:szCs w:val="18"/>
          <w:i w:val="1"/>
          <w:iCs w:val="1"/>
          <w:color w:val="auto"/>
        </w:rPr>
        <w:t xml:space="preserve"> </w:t>
      </w:r>
      <w:r>
        <w:rPr>
          <w:rFonts w:ascii="Arial" w:cs="Arial" w:eastAsia="Arial" w:hAnsi="Arial"/>
          <w:sz w:val="18"/>
          <w:szCs w:val="18"/>
          <w:color w:val="auto"/>
        </w:rPr>
        <w:t>The grant date fair value of the Transaction Pool RSUs granted during both the three and nine months ended September 30, 2021 was $97.6 million. As of September 30, 2021, total unrecognized compensation expense related to unvested Transaction Pool RSUs was $75.4 million, which is expected to be recognized over a weighted average period of 2.48 years.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3" w:name="page34"/>
    <w:bookmarkEnd w:id="33"/>
    <w:p>
      <w:pPr>
        <w:ind w:left="4580"/>
        <w:spacing w:after="0"/>
        <w:rPr>
          <w:sz w:val="20"/>
          <w:szCs w:val="20"/>
          <w:color w:val="auto"/>
        </w:rPr>
      </w:pPr>
      <w:r>
        <w:rPr>
          <w:rFonts w:ascii="Arial" w:cs="Arial" w:eastAsia="Arial" w:hAnsi="Arial"/>
          <w:sz w:val="18"/>
          <w:szCs w:val="18"/>
          <w:b w:val="1"/>
          <w:bCs w:val="1"/>
          <w:color w:val="auto"/>
        </w:rPr>
        <w:t>Perella Weinberg Partners</w:t>
      </w:r>
    </w:p>
    <w:p>
      <w:pPr>
        <w:spacing w:after="0" w:line="7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9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summarizes activity related to unvested Transaction Pool RSUs for the nine months ended September 30, 2021:</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2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ind w:right="210"/>
              <w:spacing w:after="0"/>
              <w:rPr>
                <w:sz w:val="20"/>
                <w:szCs w:val="20"/>
                <w:color w:val="auto"/>
              </w:rPr>
            </w:pPr>
            <w:r>
              <w:rPr>
                <w:rFonts w:ascii="Arial" w:cs="Arial" w:eastAsia="Arial" w:hAnsi="Arial"/>
                <w:sz w:val="18"/>
                <w:szCs w:val="18"/>
                <w:b w:val="1"/>
                <w:bCs w:val="1"/>
                <w:color w:val="auto"/>
                <w:w w:val="90"/>
              </w:rPr>
              <w:t>Weighted Average</w:t>
            </w:r>
          </w:p>
        </w:tc>
      </w:tr>
      <w:tr>
        <w:trPr>
          <w:trHeight w:val="229"/>
        </w:trPr>
        <w:tc>
          <w:tcPr>
            <w:tcW w:w="72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00" w:type="dxa"/>
            <w:vAlign w:val="bottom"/>
            <w:gridSpan w:val="2"/>
          </w:tcPr>
          <w:p>
            <w:pPr>
              <w:ind w:left="20"/>
              <w:spacing w:after="0"/>
              <w:rPr>
                <w:sz w:val="20"/>
                <w:szCs w:val="20"/>
                <w:color w:val="auto"/>
              </w:rPr>
            </w:pPr>
            <w:r>
              <w:rPr>
                <w:rFonts w:ascii="Arial" w:cs="Arial" w:eastAsia="Arial" w:hAnsi="Arial"/>
                <w:sz w:val="18"/>
                <w:szCs w:val="18"/>
                <w:b w:val="1"/>
                <w:bCs w:val="1"/>
                <w:color w:val="auto"/>
              </w:rPr>
              <w:t>Grant Date Fair Value</w:t>
            </w:r>
          </w:p>
        </w:tc>
      </w:tr>
      <w:tr>
        <w:trPr>
          <w:trHeight w:val="241"/>
        </w:trPr>
        <w:tc>
          <w:tcPr>
            <w:tcW w:w="7260" w:type="dxa"/>
            <w:vAlign w:val="bottom"/>
          </w:tcPr>
          <w:p>
            <w:pPr>
              <w:spacing w:after="0"/>
              <w:rPr>
                <w:sz w:val="20"/>
                <w:szCs w:val="20"/>
                <w:color w:val="auto"/>
              </w:rPr>
            </w:pPr>
          </w:p>
        </w:tc>
        <w:tc>
          <w:tcPr>
            <w:tcW w:w="1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9"/>
              </w:rPr>
              <w:t>Transaction Pool RSUs</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Per Share</w:t>
            </w:r>
          </w:p>
        </w:tc>
      </w:tr>
      <w:tr>
        <w:trPr>
          <w:trHeight w:val="257"/>
        </w:trPr>
        <w:tc>
          <w:tcPr>
            <w:tcW w:w="7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January 1, 2021</w:t>
            </w:r>
          </w:p>
        </w:tc>
        <w:tc>
          <w:tcPr>
            <w:tcW w:w="19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7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7260" w:type="dxa"/>
            <w:vAlign w:val="bottom"/>
          </w:tcPr>
          <w:p>
            <w:pPr>
              <w:ind w:left="20"/>
              <w:spacing w:after="0"/>
              <w:rPr>
                <w:sz w:val="20"/>
                <w:szCs w:val="20"/>
                <w:color w:val="auto"/>
              </w:rPr>
            </w:pPr>
            <w:r>
              <w:rPr>
                <w:rFonts w:ascii="Arial" w:cs="Arial" w:eastAsia="Arial" w:hAnsi="Arial"/>
                <w:sz w:val="18"/>
                <w:szCs w:val="18"/>
                <w:color w:val="auto"/>
              </w:rPr>
              <w:t>Granted (1)</w:t>
            </w: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6,987,274</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13.97</w:t>
            </w:r>
          </w:p>
        </w:tc>
      </w:tr>
      <w:tr>
        <w:trPr>
          <w:trHeight w:val="263"/>
        </w:trPr>
        <w:tc>
          <w:tcPr>
            <w:tcW w:w="7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Vested</w:t>
            </w: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(1,107,279 )</w:t>
            </w:r>
          </w:p>
        </w:tc>
        <w:tc>
          <w:tcPr>
            <w:tcW w:w="1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7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13.97</w:t>
            </w:r>
          </w:p>
        </w:tc>
      </w:tr>
      <w:tr>
        <w:trPr>
          <w:trHeight w:val="257"/>
        </w:trPr>
        <w:tc>
          <w:tcPr>
            <w:tcW w:w="726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(28,678 )</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13.97</w:t>
            </w:r>
          </w:p>
        </w:tc>
      </w:tr>
      <w:tr>
        <w:trPr>
          <w:trHeight w:val="290"/>
        </w:trPr>
        <w:tc>
          <w:tcPr>
            <w:tcW w:w="7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at September 30, 2021</w:t>
            </w:r>
          </w:p>
        </w:tc>
        <w:tc>
          <w:tcPr>
            <w:tcW w:w="19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5,851,317</w:t>
            </w:r>
          </w:p>
        </w:tc>
        <w:tc>
          <w:tcPr>
            <w:tcW w:w="34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13.97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-25400</wp:posOffset>
            </wp:positionV>
            <wp:extent cx="12001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-8255</wp:posOffset>
            </wp:positionV>
            <wp:extent cx="12001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87" w:lineRule="exact"/>
        <w:rPr>
          <w:sz w:val="20"/>
          <w:szCs w:val="20"/>
          <w:color w:val="auto"/>
        </w:rPr>
      </w:pPr>
    </w:p>
    <w:p>
      <w:pPr>
        <w:ind w:left="340" w:hanging="332"/>
        <w:spacing w:after="0" w:line="293"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dividend equivalents that have been awarded in the form of additional Transaction Pool RSUs that were granted from the General Share Reserve.</w:t>
      </w:r>
    </w:p>
    <w:p>
      <w:pPr>
        <w:spacing w:after="0" w:line="170" w:lineRule="exact"/>
        <w:rPr>
          <w:sz w:val="20"/>
          <w:szCs w:val="20"/>
          <w:color w:val="auto"/>
        </w:rPr>
      </w:pPr>
    </w:p>
    <w:p>
      <w:pPr>
        <w:jc w:val="both"/>
        <w:ind w:firstLine="464"/>
        <w:spacing w:after="0" w:line="275" w:lineRule="auto"/>
        <w:rPr>
          <w:sz w:val="20"/>
          <w:szCs w:val="20"/>
          <w:color w:val="auto"/>
        </w:rPr>
      </w:pPr>
      <w:r>
        <w:rPr>
          <w:rFonts w:ascii="Arial" w:cs="Arial" w:eastAsia="Arial" w:hAnsi="Arial"/>
          <w:sz w:val="18"/>
          <w:szCs w:val="18"/>
          <w:color w:val="auto"/>
        </w:rPr>
        <w:t>Certain employee offer letter awards, that were previously accounted for as liability awards due to a cash settlement option, have been settled using Transaction Pool RSUs. This settlement was treated as a modification of the award, and as such, the liability balance of $3.9 million as of the RSU grant date was reclassified from Accounts payable, accrued expenses and other liabilities to Additional paid-in capital on the Condensed Consolidated Statement of Financial Condition as of September 30, 2021.</w:t>
      </w:r>
    </w:p>
    <w:p>
      <w:pPr>
        <w:spacing w:after="0" w:line="239" w:lineRule="exact"/>
        <w:rPr>
          <w:sz w:val="20"/>
          <w:szCs w:val="20"/>
          <w:color w:val="auto"/>
        </w:rPr>
      </w:pPr>
    </w:p>
    <w:p>
      <w:pPr>
        <w:jc w:val="both"/>
        <w:ind w:firstLine="464"/>
        <w:spacing w:after="0" w:line="275" w:lineRule="auto"/>
        <w:rPr>
          <w:sz w:val="20"/>
          <w:szCs w:val="20"/>
          <w:color w:val="auto"/>
        </w:rPr>
      </w:pPr>
      <w:r>
        <w:rPr>
          <w:rFonts w:ascii="Arial" w:cs="Arial" w:eastAsia="Arial" w:hAnsi="Arial"/>
          <w:sz w:val="18"/>
          <w:szCs w:val="18"/>
          <w:i w:val="1"/>
          <w:iCs w:val="1"/>
          <w:color w:val="auto"/>
        </w:rPr>
        <w:t xml:space="preserve">Management PSUs </w:t>
      </w:r>
      <w:r>
        <w:rPr>
          <w:rFonts w:ascii="Arial" w:cs="Arial" w:eastAsia="Arial" w:hAnsi="Arial"/>
          <w:sz w:val="18"/>
          <w:szCs w:val="18"/>
          <w:color w:val="auto"/>
        </w:rPr>
        <w:t>— The service condition requirement with respect to the Management PSUs is generally satisfied in two equal installments</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continued employment on the third and fifth anniversaries of the grant date. The market condition is satisfied upon the achievement of closing stock prices equal to $15, $20, $25 and $30 for 20 out of any 30 consecutive trading days prior to the fifth anniversary of the grant date, as measured on the last calendar day of each month, subject to linear interpolation between the applicable price points.</w:t>
      </w:r>
    </w:p>
    <w:p>
      <w:pPr>
        <w:spacing w:after="0" w:line="19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summarizes activity related to unvested Management PSUs for the nine months ended September 30, 2021:</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ind w:right="210"/>
              <w:spacing w:after="0"/>
              <w:rPr>
                <w:sz w:val="20"/>
                <w:szCs w:val="20"/>
                <w:color w:val="auto"/>
              </w:rPr>
            </w:pPr>
            <w:r>
              <w:rPr>
                <w:rFonts w:ascii="Arial" w:cs="Arial" w:eastAsia="Arial" w:hAnsi="Arial"/>
                <w:sz w:val="18"/>
                <w:szCs w:val="18"/>
                <w:b w:val="1"/>
                <w:bCs w:val="1"/>
                <w:color w:val="auto"/>
                <w:w w:val="90"/>
              </w:rPr>
              <w:t>Weighted Average</w:t>
            </w:r>
          </w:p>
        </w:tc>
      </w:tr>
      <w:tr>
        <w:trPr>
          <w:trHeight w:val="230"/>
        </w:trPr>
        <w:tc>
          <w:tcPr>
            <w:tcW w:w="72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00" w:type="dxa"/>
            <w:vAlign w:val="bottom"/>
            <w:gridSpan w:val="2"/>
          </w:tcPr>
          <w:p>
            <w:pPr>
              <w:ind w:left="20"/>
              <w:spacing w:after="0"/>
              <w:rPr>
                <w:sz w:val="20"/>
                <w:szCs w:val="20"/>
                <w:color w:val="auto"/>
              </w:rPr>
            </w:pPr>
            <w:r>
              <w:rPr>
                <w:rFonts w:ascii="Arial" w:cs="Arial" w:eastAsia="Arial" w:hAnsi="Arial"/>
                <w:sz w:val="18"/>
                <w:szCs w:val="18"/>
                <w:b w:val="1"/>
                <w:bCs w:val="1"/>
                <w:color w:val="auto"/>
              </w:rPr>
              <w:t>Grant Date Fair Value</w:t>
            </w:r>
          </w:p>
        </w:tc>
      </w:tr>
      <w:tr>
        <w:trPr>
          <w:trHeight w:val="241"/>
        </w:trPr>
        <w:tc>
          <w:tcPr>
            <w:tcW w:w="7280" w:type="dxa"/>
            <w:vAlign w:val="bottom"/>
          </w:tcPr>
          <w:p>
            <w:pPr>
              <w:spacing w:after="0"/>
              <w:rPr>
                <w:sz w:val="20"/>
                <w:szCs w:val="20"/>
                <w:color w:val="auto"/>
              </w:rPr>
            </w:pPr>
          </w:p>
        </w:tc>
        <w:tc>
          <w:tcPr>
            <w:tcW w:w="1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8"/>
              </w:rPr>
              <w:t>Management PSUs</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Per Share</w:t>
            </w:r>
          </w:p>
        </w:tc>
      </w:tr>
      <w:tr>
        <w:trPr>
          <w:trHeight w:val="257"/>
        </w:trPr>
        <w:tc>
          <w:tcPr>
            <w:tcW w:w="7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January 1, 2021</w:t>
            </w:r>
          </w:p>
        </w:tc>
        <w:tc>
          <w:tcPr>
            <w:tcW w:w="18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7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7280" w:type="dxa"/>
            <w:vAlign w:val="bottom"/>
          </w:tcPr>
          <w:p>
            <w:pPr>
              <w:ind w:left="20"/>
              <w:spacing w:after="0"/>
              <w:rPr>
                <w:sz w:val="20"/>
                <w:szCs w:val="20"/>
                <w:color w:val="auto"/>
              </w:rPr>
            </w:pPr>
            <w:r>
              <w:rPr>
                <w:rFonts w:ascii="Arial" w:cs="Arial" w:eastAsia="Arial" w:hAnsi="Arial"/>
                <w:sz w:val="18"/>
                <w:szCs w:val="18"/>
                <w:color w:val="auto"/>
              </w:rPr>
              <w:t>Granted</w:t>
            </w: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9,500,000</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8.86</w:t>
            </w:r>
          </w:p>
        </w:tc>
      </w:tr>
      <w:tr>
        <w:trPr>
          <w:trHeight w:val="263"/>
        </w:trPr>
        <w:tc>
          <w:tcPr>
            <w:tcW w:w="7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Vested</w:t>
            </w:r>
          </w:p>
        </w:tc>
        <w:tc>
          <w:tcPr>
            <w:tcW w:w="18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7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r>
        <w:trPr>
          <w:trHeight w:val="256"/>
        </w:trPr>
        <w:tc>
          <w:tcPr>
            <w:tcW w:w="728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90"/>
        </w:trPr>
        <w:tc>
          <w:tcPr>
            <w:tcW w:w="7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at September 30, 2021</w:t>
            </w:r>
          </w:p>
        </w:tc>
        <w:tc>
          <w:tcPr>
            <w:tcW w:w="18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9,500,000</w:t>
            </w:r>
          </w:p>
        </w:tc>
        <w:tc>
          <w:tcPr>
            <w:tcW w:w="34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8.86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-24765</wp:posOffset>
            </wp:positionV>
            <wp:extent cx="12001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-7620</wp:posOffset>
            </wp:positionV>
            <wp:extent cx="12001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09"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8"/>
          <w:szCs w:val="18"/>
          <w:color w:val="auto"/>
        </w:rPr>
        <w:t>The weighted average grant date fair value of the Management PSUs granted during both the three and nine months ended September 30, 2021 was $84.2 million. As of September 30, 2021, total unrecognized compensation expense related to unvested Management PSUs was $82.3 million, which is expected to be recognized over a weighted average period of 3.92 years.</w:t>
      </w:r>
    </w:p>
    <w:p>
      <w:pPr>
        <w:spacing w:after="0" w:line="196" w:lineRule="exact"/>
        <w:rPr>
          <w:sz w:val="20"/>
          <w:szCs w:val="20"/>
          <w:color w:val="auto"/>
        </w:rPr>
      </w:pPr>
    </w:p>
    <w:p>
      <w:pPr>
        <w:jc w:val="both"/>
        <w:ind w:right="20" w:firstLine="464"/>
        <w:spacing w:after="0" w:line="293" w:lineRule="auto"/>
        <w:rPr>
          <w:sz w:val="20"/>
          <w:szCs w:val="20"/>
          <w:color w:val="auto"/>
        </w:rPr>
      </w:pPr>
      <w:r>
        <w:rPr>
          <w:rFonts w:ascii="Arial" w:cs="Arial" w:eastAsia="Arial" w:hAnsi="Arial"/>
          <w:sz w:val="18"/>
          <w:szCs w:val="18"/>
          <w:color w:val="auto"/>
        </w:rPr>
        <w:t>The Company estimated the fair value of the Management PSUs on the grant date using a Monte-Carlo simulation valuation model. The following table presents the assumptions used for the Management PSUs for the nine months ended September 30, 2021:</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2320" w:type="dxa"/>
            <w:vAlign w:val="bottom"/>
          </w:tcPr>
          <w:p>
            <w:pPr>
              <w:jc w:val="right"/>
              <w:ind w:right="450"/>
              <w:spacing w:after="0"/>
              <w:rPr>
                <w:sz w:val="20"/>
                <w:szCs w:val="20"/>
                <w:color w:val="auto"/>
              </w:rPr>
            </w:pPr>
            <w:r>
              <w:rPr>
                <w:rFonts w:ascii="Arial" w:cs="Arial" w:eastAsia="Arial" w:hAnsi="Arial"/>
                <w:sz w:val="18"/>
                <w:szCs w:val="18"/>
                <w:b w:val="1"/>
                <w:bCs w:val="1"/>
                <w:color w:val="auto"/>
              </w:rPr>
              <w:t>Nine Months Ended</w:t>
            </w:r>
          </w:p>
        </w:tc>
      </w:tr>
      <w:tr>
        <w:trPr>
          <w:trHeight w:val="241"/>
        </w:trPr>
        <w:tc>
          <w:tcPr>
            <w:tcW w:w="356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23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September 30, 2021</w:t>
            </w:r>
          </w:p>
        </w:tc>
      </w:tr>
      <w:tr>
        <w:trPr>
          <w:trHeight w:val="256"/>
        </w:trPr>
        <w:tc>
          <w:tcPr>
            <w:tcW w:w="3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Risk-free interest rate</w:t>
            </w:r>
          </w:p>
        </w:tc>
        <w:tc>
          <w:tcPr>
            <w:tcW w:w="76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0.77 %</w:t>
            </w:r>
          </w:p>
        </w:tc>
      </w:tr>
      <w:tr>
        <w:trPr>
          <w:trHeight w:val="250"/>
        </w:trPr>
        <w:tc>
          <w:tcPr>
            <w:tcW w:w="356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7680" w:type="dxa"/>
            <w:vAlign w:val="bottom"/>
            <w:gridSpan w:val="2"/>
          </w:tcPr>
          <w:p>
            <w:pPr>
              <w:jc w:val="right"/>
              <w:ind w:right="10"/>
              <w:spacing w:after="0"/>
              <w:rPr>
                <w:sz w:val="20"/>
                <w:szCs w:val="20"/>
                <w:color w:val="auto"/>
              </w:rPr>
            </w:pPr>
            <w:r>
              <w:rPr>
                <w:rFonts w:ascii="Arial" w:cs="Arial" w:eastAsia="Arial" w:hAnsi="Arial"/>
                <w:sz w:val="18"/>
                <w:szCs w:val="18"/>
                <w:color w:val="auto"/>
              </w:rPr>
              <w:t>2.00 %</w:t>
            </w:r>
          </w:p>
        </w:tc>
      </w:tr>
      <w:tr>
        <w:trPr>
          <w:trHeight w:val="263"/>
        </w:trPr>
        <w:tc>
          <w:tcPr>
            <w:tcW w:w="3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Volatility factor</w:t>
            </w:r>
          </w:p>
        </w:tc>
        <w:tc>
          <w:tcPr>
            <w:tcW w:w="76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32.41 %</w:t>
            </w:r>
          </w:p>
        </w:tc>
      </w:tr>
      <w:tr>
        <w:trPr>
          <w:trHeight w:val="675"/>
        </w:trPr>
        <w:tc>
          <w:tcPr>
            <w:tcW w:w="3560" w:type="dxa"/>
            <w:vAlign w:val="bottom"/>
          </w:tcPr>
          <w:p>
            <w:pPr>
              <w:spacing w:after="0"/>
              <w:rPr>
                <w:sz w:val="24"/>
                <w:szCs w:val="24"/>
                <w:color w:val="auto"/>
              </w:rPr>
            </w:pPr>
          </w:p>
        </w:tc>
        <w:tc>
          <w:tcPr>
            <w:tcW w:w="5360" w:type="dxa"/>
            <w:vAlign w:val="bottom"/>
          </w:tcPr>
          <w:p>
            <w:pPr>
              <w:jc w:val="right"/>
              <w:ind w:right="3110"/>
              <w:spacing w:after="0"/>
              <w:rPr>
                <w:sz w:val="20"/>
                <w:szCs w:val="20"/>
                <w:color w:val="auto"/>
              </w:rPr>
            </w:pPr>
            <w:r>
              <w:rPr>
                <w:rFonts w:ascii="Arial" w:cs="Arial" w:eastAsia="Arial" w:hAnsi="Arial"/>
                <w:sz w:val="18"/>
                <w:szCs w:val="18"/>
                <w:color w:val="auto"/>
              </w:rPr>
              <w:t>32</w:t>
            </w:r>
          </w:p>
        </w:tc>
        <w:tc>
          <w:tcPr>
            <w:tcW w:w="2320" w:type="dxa"/>
            <w:vAlign w:val="bottom"/>
          </w:tcPr>
          <w:p>
            <w:pPr>
              <w:spacing w:after="0"/>
              <w:rPr>
                <w:sz w:val="24"/>
                <w:szCs w:val="24"/>
                <w:color w:val="auto"/>
              </w:rPr>
            </w:pPr>
          </w:p>
        </w:tc>
      </w:tr>
      <w:tr>
        <w:trPr>
          <w:trHeight w:val="115"/>
        </w:trPr>
        <w:tc>
          <w:tcPr>
            <w:tcW w:w="3560" w:type="dxa"/>
            <w:vAlign w:val="bottom"/>
            <w:tcBorders>
              <w:bottom w:val="single" w:sz="8" w:color="9A9A9A"/>
            </w:tcBorders>
          </w:tcPr>
          <w:p>
            <w:pPr>
              <w:spacing w:after="0"/>
              <w:rPr>
                <w:sz w:val="10"/>
                <w:szCs w:val="10"/>
                <w:color w:val="auto"/>
              </w:rPr>
            </w:pPr>
          </w:p>
        </w:tc>
        <w:tc>
          <w:tcPr>
            <w:tcW w:w="5360" w:type="dxa"/>
            <w:vAlign w:val="bottom"/>
            <w:tcBorders>
              <w:bottom w:val="single" w:sz="8" w:color="9A9A9A"/>
            </w:tcBorders>
          </w:tcPr>
          <w:p>
            <w:pPr>
              <w:spacing w:after="0"/>
              <w:rPr>
                <w:sz w:val="10"/>
                <w:szCs w:val="10"/>
                <w:color w:val="auto"/>
              </w:rPr>
            </w:pPr>
          </w:p>
        </w:tc>
        <w:tc>
          <w:tcPr>
            <w:tcW w:w="23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4" w:name="page35"/>
    <w:bookmarkEnd w:id="34"/>
    <w:p>
      <w:pPr>
        <w:ind w:left="4580"/>
        <w:spacing w:after="0"/>
        <w:rPr>
          <w:sz w:val="20"/>
          <w:szCs w:val="20"/>
          <w:color w:val="auto"/>
        </w:rPr>
      </w:pPr>
      <w:r>
        <w:rPr>
          <w:rFonts w:ascii="Arial" w:cs="Arial" w:eastAsia="Arial" w:hAnsi="Arial"/>
          <w:sz w:val="18"/>
          <w:szCs w:val="18"/>
          <w:b w:val="1"/>
          <w:bCs w:val="1"/>
          <w:color w:val="auto"/>
        </w:rPr>
        <w:t>Perella Weinberg Partners</w:t>
      </w:r>
    </w:p>
    <w:p>
      <w:pPr>
        <w:spacing w:after="0" w:line="7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 Awards</w:t>
      </w:r>
    </w:p>
    <w:p>
      <w:pPr>
        <w:spacing w:after="0" w:line="252" w:lineRule="exact"/>
        <w:rPr>
          <w:sz w:val="20"/>
          <w:szCs w:val="20"/>
          <w:color w:val="auto"/>
        </w:rPr>
      </w:pPr>
    </w:p>
    <w:p>
      <w:pPr>
        <w:jc w:val="both"/>
        <w:ind w:firstLine="464"/>
        <w:spacing w:after="0" w:line="293" w:lineRule="auto"/>
        <w:rPr>
          <w:sz w:val="20"/>
          <w:szCs w:val="20"/>
          <w:color w:val="auto"/>
        </w:rPr>
      </w:pPr>
      <w:r>
        <w:rPr>
          <w:rFonts w:ascii="Arial" w:cs="Arial" w:eastAsia="Arial" w:hAnsi="Arial"/>
          <w:sz w:val="18"/>
          <w:szCs w:val="18"/>
          <w:color w:val="auto"/>
        </w:rPr>
        <w:t>On August 31, 2021, the Company granted RSU awards out of the General Share Reserve that vest upon the achievement of service conditions (the “General RSUs”). The Company expects to grant General RSUs from time to time in the ordinary course of business.</w:t>
      </w:r>
    </w:p>
    <w:p>
      <w:pPr>
        <w:spacing w:after="0" w:line="183" w:lineRule="exact"/>
        <w:rPr>
          <w:sz w:val="20"/>
          <w:szCs w:val="20"/>
          <w:color w:val="auto"/>
        </w:rPr>
      </w:pPr>
    </w:p>
    <w:p>
      <w:pPr>
        <w:jc w:val="both"/>
        <w:ind w:firstLine="464"/>
        <w:spacing w:after="0" w:line="329" w:lineRule="auto"/>
        <w:rPr>
          <w:sz w:val="20"/>
          <w:szCs w:val="20"/>
          <w:color w:val="auto"/>
        </w:rPr>
      </w:pPr>
      <w:r>
        <w:rPr>
          <w:rFonts w:ascii="Arial" w:cs="Arial" w:eastAsia="Arial" w:hAnsi="Arial"/>
          <w:sz w:val="16"/>
          <w:szCs w:val="16"/>
          <w:color w:val="auto"/>
        </w:rPr>
        <w:t>The General RSUs vest over the requisite service period, which is generally one to five years. The grant date fair value of the General RSUs granted during both the three and nine months ended September 30, 2021 was $7.3 million. As of September 30, 2021, total unrecognized compensation expense related to unvested General RSUs was $6.9 million which is expected to be recognized over a weighted average period of 2.84 years.</w:t>
      </w:r>
    </w:p>
    <w:p>
      <w:pPr>
        <w:spacing w:after="0" w:line="16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summarizes activity related to unvested General RSUs for the nine months ended September 30, 2021:</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2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ind w:right="210"/>
              <w:spacing w:after="0"/>
              <w:rPr>
                <w:sz w:val="20"/>
                <w:szCs w:val="20"/>
                <w:color w:val="auto"/>
              </w:rPr>
            </w:pPr>
            <w:r>
              <w:rPr>
                <w:rFonts w:ascii="Arial" w:cs="Arial" w:eastAsia="Arial" w:hAnsi="Arial"/>
                <w:sz w:val="18"/>
                <w:szCs w:val="18"/>
                <w:b w:val="1"/>
                <w:bCs w:val="1"/>
                <w:color w:val="auto"/>
                <w:w w:val="90"/>
              </w:rPr>
              <w:t>Weighted Average</w:t>
            </w:r>
          </w:p>
        </w:tc>
      </w:tr>
      <w:tr>
        <w:trPr>
          <w:trHeight w:val="230"/>
        </w:trPr>
        <w:tc>
          <w:tcPr>
            <w:tcW w:w="72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00" w:type="dxa"/>
            <w:vAlign w:val="bottom"/>
            <w:gridSpan w:val="2"/>
          </w:tcPr>
          <w:p>
            <w:pPr>
              <w:ind w:left="20"/>
              <w:spacing w:after="0"/>
              <w:rPr>
                <w:sz w:val="20"/>
                <w:szCs w:val="20"/>
                <w:color w:val="auto"/>
              </w:rPr>
            </w:pPr>
            <w:r>
              <w:rPr>
                <w:rFonts w:ascii="Arial" w:cs="Arial" w:eastAsia="Arial" w:hAnsi="Arial"/>
                <w:sz w:val="18"/>
                <w:szCs w:val="18"/>
                <w:b w:val="1"/>
                <w:bCs w:val="1"/>
                <w:color w:val="auto"/>
              </w:rPr>
              <w:t>Grant Date Fair Value</w:t>
            </w:r>
          </w:p>
        </w:tc>
      </w:tr>
      <w:tr>
        <w:trPr>
          <w:trHeight w:val="241"/>
        </w:trPr>
        <w:tc>
          <w:tcPr>
            <w:tcW w:w="7280" w:type="dxa"/>
            <w:vAlign w:val="bottom"/>
          </w:tcPr>
          <w:p>
            <w:pPr>
              <w:spacing w:after="0"/>
              <w:rPr>
                <w:sz w:val="20"/>
                <w:szCs w:val="20"/>
                <w:color w:val="auto"/>
              </w:rPr>
            </w:pPr>
          </w:p>
        </w:tc>
        <w:tc>
          <w:tcPr>
            <w:tcW w:w="1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General RSUs</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Per Share</w:t>
            </w:r>
          </w:p>
        </w:tc>
      </w:tr>
      <w:tr>
        <w:trPr>
          <w:trHeight w:val="257"/>
        </w:trPr>
        <w:tc>
          <w:tcPr>
            <w:tcW w:w="7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January 1, 2021</w:t>
            </w:r>
          </w:p>
        </w:tc>
        <w:tc>
          <w:tcPr>
            <w:tcW w:w="18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7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7280" w:type="dxa"/>
            <w:vAlign w:val="bottom"/>
          </w:tcPr>
          <w:p>
            <w:pPr>
              <w:ind w:left="20"/>
              <w:spacing w:after="0"/>
              <w:rPr>
                <w:sz w:val="20"/>
                <w:szCs w:val="20"/>
                <w:color w:val="auto"/>
              </w:rPr>
            </w:pPr>
            <w:r>
              <w:rPr>
                <w:rFonts w:ascii="Arial" w:cs="Arial" w:eastAsia="Arial" w:hAnsi="Arial"/>
                <w:sz w:val="18"/>
                <w:szCs w:val="18"/>
                <w:color w:val="auto"/>
              </w:rPr>
              <w:t>Granted</w:t>
            </w: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524,917</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13.97</w:t>
            </w:r>
          </w:p>
        </w:tc>
      </w:tr>
      <w:tr>
        <w:trPr>
          <w:trHeight w:val="263"/>
        </w:trPr>
        <w:tc>
          <w:tcPr>
            <w:tcW w:w="7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Vested</w:t>
            </w:r>
          </w:p>
        </w:tc>
        <w:tc>
          <w:tcPr>
            <w:tcW w:w="18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7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r>
        <w:trPr>
          <w:trHeight w:val="256"/>
        </w:trPr>
        <w:tc>
          <w:tcPr>
            <w:tcW w:w="728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90"/>
        </w:trPr>
        <w:tc>
          <w:tcPr>
            <w:tcW w:w="7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at September 30, 2021</w:t>
            </w:r>
          </w:p>
        </w:tc>
        <w:tc>
          <w:tcPr>
            <w:tcW w:w="18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524,917</w:t>
            </w:r>
          </w:p>
        </w:tc>
        <w:tc>
          <w:tcPr>
            <w:tcW w:w="34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13.97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-25400</wp:posOffset>
            </wp:positionV>
            <wp:extent cx="12001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-7620</wp:posOffset>
            </wp:positionV>
            <wp:extent cx="12001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Voting and Dividend Equivalent Rights</w:t>
      </w:r>
    </w:p>
    <w:p>
      <w:pPr>
        <w:spacing w:after="0" w:line="239" w:lineRule="exact"/>
        <w:rPr>
          <w:sz w:val="20"/>
          <w:szCs w:val="20"/>
          <w:color w:val="auto"/>
        </w:rPr>
      </w:pPr>
    </w:p>
    <w:p>
      <w:pPr>
        <w:jc w:val="both"/>
        <w:ind w:firstLine="464"/>
        <w:spacing w:after="0" w:line="272" w:lineRule="auto"/>
        <w:rPr>
          <w:sz w:val="20"/>
          <w:szCs w:val="20"/>
          <w:color w:val="auto"/>
        </w:rPr>
      </w:pPr>
      <w:r>
        <w:rPr>
          <w:rFonts w:ascii="Arial" w:cs="Arial" w:eastAsia="Arial" w:hAnsi="Arial"/>
          <w:sz w:val="18"/>
          <w:szCs w:val="18"/>
          <w:color w:val="auto"/>
        </w:rPr>
        <w:t>Grantees of the Company’s RSUs and PSUs have no rights as stockholders with respect to the right to vote or the right to receive dividends prior to the date that the underlying shares are issued. If during the period commencing on the grant date and ending on the date the underlying shares are issued, the Company declares a dividend on its shares, then the grantee shall be eligible to receive such dividends on or about the date such shares are issued. Certain employees in France and Canada receive dividends in the form of award grants that match the underlying award from which the dividends were generated. The remaining employees receive such awards in the form of cash.</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Legacy Awards and Professional Partners Awards</w:t>
      </w:r>
    </w:p>
    <w:p>
      <w:pPr>
        <w:spacing w:after="0" w:line="239" w:lineRule="exact"/>
        <w:rPr>
          <w:sz w:val="20"/>
          <w:szCs w:val="20"/>
          <w:color w:val="auto"/>
        </w:rPr>
      </w:pPr>
    </w:p>
    <w:p>
      <w:pPr>
        <w:jc w:val="both"/>
        <w:ind w:firstLine="464"/>
        <w:spacing w:after="0" w:line="271" w:lineRule="auto"/>
        <w:rPr>
          <w:sz w:val="20"/>
          <w:szCs w:val="20"/>
          <w:color w:val="auto"/>
        </w:rPr>
      </w:pPr>
      <w:r>
        <w:rPr>
          <w:rFonts w:ascii="Arial" w:cs="Arial" w:eastAsia="Arial" w:hAnsi="Arial"/>
          <w:sz w:val="18"/>
          <w:szCs w:val="18"/>
          <w:color w:val="auto"/>
        </w:rPr>
        <w:t>Prior to the Business Combination, Professional Partners granted certain equity-based awards to partners providing services to PWP OpCo (the “Legacy Awards”). In January 2020, the Company granted Legacy Awards with a grant-date fair value of $6.4 million, which was estimated using the income approach and assumed a range of discount rates between 3.8% and 11.2%. In January 2021, the Company granted Legacy Awards with a grant-date fair value of $9.3 million, which was estimated using the income approach and assumed a range of discount rates between 2.0% and 9.8%. Under the income approach, fair value is determined by converting future projected cash flows to a single present value amount (discounted) using current expectations about those future cash flows.</w:t>
      </w:r>
    </w:p>
    <w:p>
      <w:pPr>
        <w:spacing w:after="0" w:line="191" w:lineRule="exact"/>
        <w:rPr>
          <w:sz w:val="20"/>
          <w:szCs w:val="20"/>
          <w:color w:val="auto"/>
        </w:rPr>
      </w:pPr>
    </w:p>
    <w:p>
      <w:pPr>
        <w:jc w:val="both"/>
        <w:ind w:firstLine="464"/>
        <w:spacing w:after="0" w:line="306" w:lineRule="auto"/>
        <w:rPr>
          <w:sz w:val="20"/>
          <w:szCs w:val="20"/>
          <w:color w:val="auto"/>
        </w:rPr>
      </w:pPr>
      <w:r>
        <w:rPr>
          <w:rFonts w:ascii="Arial" w:cs="Arial" w:eastAsia="Arial" w:hAnsi="Arial"/>
          <w:sz w:val="16"/>
          <w:szCs w:val="16"/>
          <w:color w:val="auto"/>
        </w:rPr>
        <w:t>In connection with the Business Combination and a related internal reorganization of Professional Partners, an ownership structure was implemented that includes a class of partnership units that allocates increases in value and income and distributions on a pro-rata basis to all holders of such partnership units in accordance with their ownership interests. Pursuant to the internal reorganization, existing Legacy Awards were canceled and replaced by converting each limited partner’s capital interests in Professional Partners attributable to PWP OpCo into a combination of original capital units (“OCUs”), value capital units (“VCUs”), and/or alignment capital units (“ACUs”). The OCUs are held by current limited partners of Professional Partners based on a pro-rata allocation of their existing capital and were fully vested upon recapitalization. The VCUs and ACUs (collectively, “Professional Partners Awards”) are held by current working partners and require services to be performed on behalf of PWP OpCo. The Professional Partners Awards are generally subject to a service-based graded vesting schedule over a three to five-year period. Fully vested Professional Partners Awards are exchangeable for PWP OpCo Units and allow for their exchange into Class A common stock of PWP on a one-for-one basis. Holders of Professional Partners Awards and OCUs are entitled to participate in distributions made on PWP OpCo Units underlying their Professional Partners Awards during the vesting period.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5" w:name="page36"/>
    <w:bookmarkEnd w:id="35"/>
    <w:p>
      <w:pPr>
        <w:ind w:left="4580"/>
        <w:spacing w:after="0"/>
        <w:rPr>
          <w:sz w:val="20"/>
          <w:szCs w:val="20"/>
          <w:color w:val="auto"/>
        </w:rPr>
      </w:pPr>
      <w:r>
        <w:rPr>
          <w:rFonts w:ascii="Arial" w:cs="Arial" w:eastAsia="Arial" w:hAnsi="Arial"/>
          <w:sz w:val="18"/>
          <w:szCs w:val="18"/>
          <w:b w:val="1"/>
          <w:bCs w:val="1"/>
          <w:color w:val="auto"/>
        </w:rPr>
        <w:t>Perella Weinberg Partners</w:t>
      </w:r>
    </w:p>
    <w:p>
      <w:pPr>
        <w:spacing w:after="0" w:line="7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313" w:lineRule="exact"/>
        <w:rPr>
          <w:sz w:val="20"/>
          <w:szCs w:val="20"/>
          <w:color w:val="auto"/>
        </w:rPr>
      </w:pPr>
    </w:p>
    <w:p>
      <w:pPr>
        <w:jc w:val="both"/>
        <w:ind w:firstLine="464"/>
        <w:spacing w:after="0" w:line="311" w:lineRule="auto"/>
        <w:rPr>
          <w:sz w:val="20"/>
          <w:szCs w:val="20"/>
          <w:color w:val="auto"/>
        </w:rPr>
      </w:pPr>
      <w:r>
        <w:rPr>
          <w:rFonts w:ascii="Arial" w:cs="Arial" w:eastAsia="Arial" w:hAnsi="Arial"/>
          <w:sz w:val="16"/>
          <w:szCs w:val="16"/>
          <w:color w:val="auto"/>
        </w:rPr>
        <w:t xml:space="preserve">The Company accounted for the cancellation of the Legacy Awards and concurrent grant of Professional Partners Awards as a modification of the Legacy Awards. The fair value of the Professional Partners Awards granted was determined to be incremental value conveyed to the holders of the Legacy Awards and will be accounted for under ASC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with the cost reflected in equity-based compensation over the requisite service period. The Company will continue to amortize the unrecognized cost associated with the Legacy Awards over its original vesting schedule. The $301.5 million grant-date fair value of the Professional Partners Awards is based on the closing price of PWP Class A common stock on the date of grant as units in Professional Partners are ultimately exchangeable into shares of PWP Class A common stock on a one-for-one basis.</w:t>
      </w:r>
    </w:p>
    <w:p>
      <w:pPr>
        <w:spacing w:after="0" w:line="163" w:lineRule="exact"/>
        <w:rPr>
          <w:sz w:val="20"/>
          <w:szCs w:val="20"/>
          <w:color w:val="auto"/>
        </w:rPr>
      </w:pPr>
    </w:p>
    <w:p>
      <w:pPr>
        <w:jc w:val="both"/>
        <w:ind w:firstLine="464"/>
        <w:spacing w:after="0" w:line="309" w:lineRule="auto"/>
        <w:rPr>
          <w:sz w:val="20"/>
          <w:szCs w:val="20"/>
          <w:color w:val="auto"/>
        </w:rPr>
      </w:pPr>
      <w:r>
        <w:rPr>
          <w:rFonts w:ascii="Arial" w:cs="Arial" w:eastAsia="Arial" w:hAnsi="Arial"/>
          <w:sz w:val="16"/>
          <w:szCs w:val="16"/>
          <w:color w:val="auto"/>
        </w:rPr>
        <w:t>The vesting of Professional Partners Awards does not dilute Perella Weinberg Partners shareholders relative to Professional Partners as Professional Partners’ interest in PWP OpCo does not change as a result of granting those equity awards to its working partners. As a result, all of the compensation expense and corresponding capital contribution associated with the Professional Partners Awards, as well as the remaining compensation expense related to the Legacy Awards, is allocated to non-controlling interests on the Condensed Consolidated Statements of Operations and Condensed Consolidated Statements of Financial Condition. If any Professional Partners Award is forfeited, the value attributable to the forfeited Professional Partners Award will accrete to all limited partners in Professional Partners based on relative ownership at the time of forfeiture. The accretion of value upon forfeiture reflects a reallocation of value attributable to the forfeited Professional Partners Award and does not result in an incremental grant.</w:t>
      </w:r>
    </w:p>
    <w:p>
      <w:pPr>
        <w:spacing w:after="0" w:line="178" w:lineRule="exact"/>
        <w:rPr>
          <w:sz w:val="20"/>
          <w:szCs w:val="20"/>
          <w:color w:val="auto"/>
        </w:rPr>
      </w:pPr>
    </w:p>
    <w:p>
      <w:pPr>
        <w:jc w:val="both"/>
        <w:ind w:firstLine="464"/>
        <w:spacing w:after="0" w:line="311" w:lineRule="auto"/>
        <w:rPr>
          <w:sz w:val="20"/>
          <w:szCs w:val="20"/>
          <w:color w:val="auto"/>
        </w:rPr>
      </w:pPr>
      <w:r>
        <w:rPr>
          <w:rFonts w:ascii="Arial" w:cs="Arial" w:eastAsia="Arial" w:hAnsi="Arial"/>
          <w:sz w:val="16"/>
          <w:szCs w:val="16"/>
          <w:color w:val="auto"/>
        </w:rPr>
        <w:t>On August 31, 2021, certain Professional Partner ACUs and VCUs held by French partners were canceled, and an equal number of Transaction Pool PSUs were issued to such partners. The Company accounted for these transactions as a modification. The grant-date fair value of the Transaction Pool PSUs was based on the closing price of PWP Class A common stock on the date of grant. The total expense associated with the replacement awards will be amortized over the remaining service period for Transaction Pool PSUs. The canceled Professional Partner Awards were reallocated to certain other working partners on August 31, 2021, and the Company accounted for these as a new grant of ACUs and VCUs. The grant date fair value of these awards was $11.5 million which was based on the closing price of PWP Class A common stock on the date of grant.</w:t>
      </w:r>
    </w:p>
    <w:p>
      <w:pPr>
        <w:spacing w:after="0" w:line="163" w:lineRule="exact"/>
        <w:rPr>
          <w:sz w:val="20"/>
          <w:szCs w:val="20"/>
          <w:color w:val="auto"/>
        </w:rPr>
      </w:pPr>
    </w:p>
    <w:p>
      <w:pPr>
        <w:jc w:val="both"/>
        <w:ind w:firstLine="464"/>
        <w:spacing w:after="0" w:line="303" w:lineRule="auto"/>
        <w:rPr>
          <w:sz w:val="20"/>
          <w:szCs w:val="20"/>
          <w:color w:val="auto"/>
        </w:rPr>
      </w:pPr>
      <w:r>
        <w:rPr>
          <w:rFonts w:ascii="Arial" w:cs="Arial" w:eastAsia="Arial" w:hAnsi="Arial"/>
          <w:sz w:val="17"/>
          <w:szCs w:val="17"/>
          <w:color w:val="auto"/>
        </w:rPr>
        <w:t>As of September 30, 2021, there was $28.4 million of unrecognized compensation cost associated with the Legacy Awards that is expected to be recognized over a weighted-average period of 1.82 years. As of September 30, 2021, there was $285.8 million of unrecognized compensation expense related to unvested Professional Partners Awards, which is expected to be recognized over a weighted-average period of 4.62 years.</w:t>
      </w:r>
    </w:p>
    <w:p>
      <w:pPr>
        <w:spacing w:after="0" w:line="164" w:lineRule="exact"/>
        <w:rPr>
          <w:sz w:val="20"/>
          <w:szCs w:val="20"/>
          <w:color w:val="auto"/>
        </w:rPr>
      </w:pPr>
    </w:p>
    <w:p>
      <w:pPr>
        <w:jc w:val="both"/>
        <w:ind w:firstLine="464"/>
        <w:spacing w:after="0" w:line="293" w:lineRule="auto"/>
        <w:rPr>
          <w:sz w:val="20"/>
          <w:szCs w:val="20"/>
          <w:color w:val="auto"/>
        </w:rPr>
      </w:pPr>
      <w:r>
        <w:rPr>
          <w:rFonts w:ascii="Arial" w:cs="Arial" w:eastAsia="Arial" w:hAnsi="Arial"/>
          <w:sz w:val="18"/>
          <w:szCs w:val="18"/>
          <w:color w:val="auto"/>
        </w:rPr>
        <w:t>The following table presents the expense related to awards that were recorded in Professional fees and components of Equity-based compensation included on the Condensed Consolidated Statements of Operations: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200" w:type="dxa"/>
            <w:vAlign w:val="bottom"/>
          </w:tcPr>
          <w:p>
            <w:pPr>
              <w:spacing w:after="0"/>
              <w:rPr>
                <w:sz w:val="20"/>
                <w:szCs w:val="20"/>
                <w:color w:val="auto"/>
              </w:rPr>
            </w:pPr>
          </w:p>
        </w:tc>
        <w:tc>
          <w:tcPr>
            <w:tcW w:w="2980" w:type="dxa"/>
            <w:vAlign w:val="bottom"/>
            <w:tcBorders>
              <w:bottom w:val="single" w:sz="8" w:color="auto"/>
            </w:tcBorders>
            <w:gridSpan w:val="5"/>
          </w:tcPr>
          <w:p>
            <w:pPr>
              <w:jc w:val="right"/>
              <w:ind w:right="50"/>
              <w:spacing w:after="0"/>
              <w:rPr>
                <w:sz w:val="20"/>
                <w:szCs w:val="20"/>
                <w:color w:val="auto"/>
              </w:rPr>
            </w:pPr>
            <w:r>
              <w:rPr>
                <w:rFonts w:ascii="Arial" w:cs="Arial" w:eastAsia="Arial" w:hAnsi="Arial"/>
                <w:sz w:val="18"/>
                <w:szCs w:val="18"/>
                <w:b w:val="1"/>
                <w:bCs w:val="1"/>
                <w:color w:val="auto"/>
                <w:w w:val="92"/>
              </w:rPr>
              <w:t>Three Months Ended September 30,</w:t>
            </w:r>
          </w:p>
        </w:tc>
        <w:tc>
          <w:tcPr>
            <w:tcW w:w="140" w:type="dxa"/>
            <w:vAlign w:val="bottom"/>
          </w:tcPr>
          <w:p>
            <w:pPr>
              <w:spacing w:after="0"/>
              <w:rPr>
                <w:sz w:val="20"/>
                <w:szCs w:val="20"/>
                <w:color w:val="auto"/>
              </w:rPr>
            </w:pPr>
          </w:p>
        </w:tc>
        <w:tc>
          <w:tcPr>
            <w:tcW w:w="2920" w:type="dxa"/>
            <w:vAlign w:val="bottom"/>
            <w:tcBorders>
              <w:bottom w:val="single" w:sz="8" w:color="auto"/>
            </w:tcBorders>
            <w:gridSpan w:val="5"/>
          </w:tcPr>
          <w:p>
            <w:pPr>
              <w:jc w:val="right"/>
              <w:ind w:right="70"/>
              <w:spacing w:after="0"/>
              <w:rPr>
                <w:sz w:val="20"/>
                <w:szCs w:val="20"/>
                <w:color w:val="auto"/>
              </w:rPr>
            </w:pPr>
            <w:r>
              <w:rPr>
                <w:rFonts w:ascii="Arial" w:cs="Arial" w:eastAsia="Arial" w:hAnsi="Arial"/>
                <w:sz w:val="18"/>
                <w:szCs w:val="18"/>
                <w:b w:val="1"/>
                <w:bCs w:val="1"/>
                <w:color w:val="auto"/>
                <w:w w:val="92"/>
              </w:rPr>
              <w:t>Nine Months Ended September 30,</w:t>
            </w:r>
          </w:p>
        </w:tc>
      </w:tr>
      <w:tr>
        <w:trPr>
          <w:trHeight w:val="250"/>
        </w:trPr>
        <w:tc>
          <w:tcPr>
            <w:tcW w:w="52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r>
      <w:tr>
        <w:trPr>
          <w:trHeight w:val="256"/>
        </w:trPr>
        <w:tc>
          <w:tcPr>
            <w:tcW w:w="52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Professional fees</w:t>
            </w:r>
          </w:p>
        </w:tc>
        <w:tc>
          <w:tcPr>
            <w:tcW w:w="28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1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00" w:type="dxa"/>
            <w:vAlign w:val="bottom"/>
            <w:shd w:val="clear" w:color="auto" w:fill="CFF0FC"/>
          </w:tcPr>
          <w:p>
            <w:pPr>
              <w:spacing w:after="0"/>
              <w:rPr>
                <w:sz w:val="22"/>
                <w:szCs w:val="22"/>
                <w:color w:val="auto"/>
              </w:rPr>
            </w:pPr>
          </w:p>
        </w:tc>
      </w:tr>
      <w:tr>
        <w:trPr>
          <w:trHeight w:val="257"/>
        </w:trPr>
        <w:tc>
          <w:tcPr>
            <w:tcW w:w="5200" w:type="dxa"/>
            <w:vAlign w:val="bottom"/>
          </w:tcPr>
          <w:p>
            <w:pPr>
              <w:ind w:left="120"/>
              <w:spacing w:after="0"/>
              <w:rPr>
                <w:sz w:val="20"/>
                <w:szCs w:val="20"/>
                <w:color w:val="auto"/>
              </w:rPr>
            </w:pPr>
            <w:r>
              <w:rPr>
                <w:rFonts w:ascii="Arial" w:cs="Arial" w:eastAsia="Arial" w:hAnsi="Arial"/>
                <w:sz w:val="18"/>
                <w:szCs w:val="18"/>
                <w:color w:val="auto"/>
              </w:rPr>
              <w:t>PWP Incentive Plan Awards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177</w:t>
            </w:r>
          </w:p>
        </w:tc>
        <w:tc>
          <w:tcPr>
            <w:tcW w:w="160" w:type="dxa"/>
            <w:vAlign w:val="bottom"/>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90"/>
        </w:trPr>
        <w:tc>
          <w:tcPr>
            <w:tcW w:w="52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Total Professional fees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177</w:t>
            </w:r>
          </w:p>
        </w:tc>
        <w:tc>
          <w:tcPr>
            <w:tcW w:w="4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177</w:t>
            </w:r>
          </w:p>
        </w:tc>
        <w:tc>
          <w:tcPr>
            <w:tcW w:w="4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5200" w:type="dxa"/>
            <w:vAlign w:val="bottom"/>
            <w:tcBorders>
              <w:top w:val="single" w:sz="8" w:color="CFF0FC"/>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r>
      <w:tr>
        <w:trPr>
          <w:trHeight w:val="257"/>
        </w:trPr>
        <w:tc>
          <w:tcPr>
            <w:tcW w:w="52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Equity-based compensation</w:t>
            </w:r>
          </w:p>
        </w:tc>
        <w:tc>
          <w:tcPr>
            <w:tcW w:w="28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1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00" w:type="dxa"/>
            <w:vAlign w:val="bottom"/>
            <w:shd w:val="clear" w:color="auto" w:fill="CFF0FC"/>
          </w:tcPr>
          <w:p>
            <w:pPr>
              <w:spacing w:after="0"/>
              <w:rPr>
                <w:sz w:val="22"/>
                <w:szCs w:val="22"/>
                <w:color w:val="auto"/>
              </w:rPr>
            </w:pPr>
          </w:p>
        </w:tc>
      </w:tr>
      <w:tr>
        <w:trPr>
          <w:trHeight w:val="277"/>
        </w:trPr>
        <w:tc>
          <w:tcPr>
            <w:tcW w:w="5200" w:type="dxa"/>
            <w:vAlign w:val="bottom"/>
          </w:tcPr>
          <w:p>
            <w:pPr>
              <w:ind w:left="120"/>
              <w:spacing w:after="0"/>
              <w:rPr>
                <w:sz w:val="20"/>
                <w:szCs w:val="20"/>
                <w:color w:val="auto"/>
              </w:rPr>
            </w:pPr>
            <w:r>
              <w:rPr>
                <w:rFonts w:ascii="Arial" w:cs="Arial" w:eastAsia="Arial" w:hAnsi="Arial"/>
                <w:sz w:val="18"/>
                <w:szCs w:val="18"/>
                <w:color w:val="auto"/>
              </w:rPr>
              <w:t>PWP Incentive Plan Awards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20,917</w:t>
            </w:r>
          </w:p>
        </w:tc>
        <w:tc>
          <w:tcPr>
            <w:tcW w:w="4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20,917</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90"/>
        </w:trPr>
        <w:tc>
          <w:tcPr>
            <w:tcW w:w="52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Legacy Awards (1)</w:t>
            </w:r>
          </w:p>
        </w:tc>
        <w:tc>
          <w:tcPr>
            <w:tcW w:w="280" w:type="dxa"/>
            <w:vAlign w:val="bottom"/>
            <w:shd w:val="clear" w:color="auto" w:fill="CFF0FC"/>
          </w:tcPr>
          <w:p>
            <w:pPr>
              <w:spacing w:after="0"/>
              <w:rPr>
                <w:sz w:val="24"/>
                <w:szCs w:val="24"/>
                <w:color w:val="auto"/>
              </w:rPr>
            </w:pPr>
          </w:p>
        </w:tc>
        <w:tc>
          <w:tcPr>
            <w:tcW w:w="11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1,450</w:t>
            </w:r>
          </w:p>
        </w:tc>
        <w:tc>
          <w:tcPr>
            <w:tcW w:w="16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11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6,120</w:t>
            </w:r>
          </w:p>
        </w:tc>
        <w:tc>
          <w:tcPr>
            <w:tcW w:w="14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11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13,615</w:t>
            </w:r>
          </w:p>
        </w:tc>
        <w:tc>
          <w:tcPr>
            <w:tcW w:w="12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11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18,484</w:t>
            </w:r>
          </w:p>
        </w:tc>
      </w:tr>
      <w:tr>
        <w:trPr>
          <w:trHeight w:val="283"/>
        </w:trPr>
        <w:tc>
          <w:tcPr>
            <w:tcW w:w="5200" w:type="dxa"/>
            <w:vAlign w:val="bottom"/>
          </w:tcPr>
          <w:p>
            <w:pPr>
              <w:ind w:left="120"/>
              <w:spacing w:after="0"/>
              <w:rPr>
                <w:sz w:val="20"/>
                <w:szCs w:val="20"/>
                <w:color w:val="auto"/>
              </w:rPr>
            </w:pPr>
            <w:r>
              <w:rPr>
                <w:rFonts w:ascii="Arial" w:cs="Arial" w:eastAsia="Arial" w:hAnsi="Arial"/>
                <w:sz w:val="18"/>
                <w:szCs w:val="18"/>
                <w:color w:val="auto"/>
              </w:rPr>
              <w:t>Professional Partners Awards (1)</w:t>
            </w: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15,683</w:t>
            </w:r>
          </w:p>
        </w:tc>
        <w:tc>
          <w:tcPr>
            <w:tcW w:w="1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16,740</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317"/>
        </w:trPr>
        <w:tc>
          <w:tcPr>
            <w:tcW w:w="52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Equity-based compensation</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38,050</w:t>
            </w:r>
          </w:p>
        </w:tc>
        <w:tc>
          <w:tcPr>
            <w:tcW w:w="1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6,120</w:t>
            </w:r>
          </w:p>
        </w:tc>
        <w:tc>
          <w:tcPr>
            <w:tcW w:w="1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51,272</w:t>
            </w:r>
          </w:p>
        </w:tc>
        <w:tc>
          <w:tcPr>
            <w:tcW w:w="12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18,484</w:t>
            </w:r>
          </w:p>
        </w:tc>
      </w:tr>
      <w:tr>
        <w:trPr>
          <w:trHeight w:val="264"/>
        </w:trPr>
        <w:tc>
          <w:tcPr>
            <w:tcW w:w="5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40" w:type="dxa"/>
            <w:vAlign w:val="bottom"/>
            <w:gridSpan w:val="2"/>
          </w:tcPr>
          <w:p>
            <w:pPr>
              <w:spacing w:after="0"/>
              <w:rPr>
                <w:sz w:val="22"/>
                <w:szCs w:val="22"/>
                <w:color w:val="auto"/>
              </w:rPr>
            </w:pPr>
          </w:p>
        </w:tc>
        <w:tc>
          <w:tcPr>
            <w:tcW w:w="1120" w:type="dxa"/>
            <w:vAlign w:val="bottom"/>
          </w:tcPr>
          <w:p>
            <w:pPr>
              <w:spacing w:after="0"/>
              <w:rPr>
                <w:sz w:val="22"/>
                <w:szCs w:val="22"/>
                <w:color w:val="auto"/>
              </w:rPr>
            </w:pPr>
          </w:p>
        </w:tc>
        <w:tc>
          <w:tcPr>
            <w:tcW w:w="440" w:type="dxa"/>
            <w:vAlign w:val="bottom"/>
            <w:gridSpan w:val="2"/>
          </w:tcPr>
          <w:p>
            <w:pPr>
              <w:spacing w:after="0"/>
              <w:rPr>
                <w:sz w:val="22"/>
                <w:szCs w:val="22"/>
                <w:color w:val="auto"/>
              </w:rPr>
            </w:pPr>
          </w:p>
        </w:tc>
        <w:tc>
          <w:tcPr>
            <w:tcW w:w="1100" w:type="dxa"/>
            <w:vAlign w:val="bottom"/>
          </w:tcPr>
          <w:p>
            <w:pPr>
              <w:spacing w:after="0"/>
              <w:rPr>
                <w:sz w:val="22"/>
                <w:szCs w:val="22"/>
                <w:color w:val="auto"/>
              </w:rPr>
            </w:pPr>
          </w:p>
        </w:tc>
        <w:tc>
          <w:tcPr>
            <w:tcW w:w="420" w:type="dxa"/>
            <w:vAlign w:val="bottom"/>
            <w:gridSpan w:val="2"/>
          </w:tcPr>
          <w:p>
            <w:pPr>
              <w:spacing w:after="0"/>
              <w:rPr>
                <w:sz w:val="22"/>
                <w:szCs w:val="22"/>
                <w:color w:val="auto"/>
              </w:rPr>
            </w:pPr>
          </w:p>
        </w:tc>
        <w:tc>
          <w:tcPr>
            <w:tcW w:w="1100" w:type="dxa"/>
            <w:vAlign w:val="bottom"/>
          </w:tcPr>
          <w:p>
            <w:pPr>
              <w:spacing w:after="0"/>
              <w:rPr>
                <w:sz w:val="22"/>
                <w:szCs w:val="22"/>
                <w:color w:val="auto"/>
              </w:rPr>
            </w:pPr>
          </w:p>
        </w:tc>
      </w:tr>
      <w:tr>
        <w:trPr>
          <w:trHeight w:val="284"/>
        </w:trPr>
        <w:tc>
          <w:tcPr>
            <w:tcW w:w="5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tax benefit of equity-based awards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2,351</w:t>
            </w:r>
          </w:p>
        </w:tc>
        <w:tc>
          <w:tcPr>
            <w:tcW w:w="4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2,351</w:t>
            </w:r>
          </w:p>
        </w:tc>
        <w:tc>
          <w:tcPr>
            <w:tcW w:w="4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-1464945</wp:posOffset>
            </wp:positionV>
            <wp:extent cx="939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-1447800</wp:posOffset>
            </wp:positionV>
            <wp:extent cx="939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-1464945</wp:posOffset>
            </wp:positionV>
            <wp:extent cx="857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-1447800</wp:posOffset>
            </wp:positionV>
            <wp:extent cx="8572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-1464945</wp:posOffset>
            </wp:positionV>
            <wp:extent cx="8572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-1447800</wp:posOffset>
            </wp:positionV>
            <wp:extent cx="8572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-384810</wp:posOffset>
            </wp:positionV>
            <wp:extent cx="939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-367665</wp:posOffset>
            </wp:positionV>
            <wp:extent cx="939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-384810</wp:posOffset>
            </wp:positionV>
            <wp:extent cx="8572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-367665</wp:posOffset>
            </wp:positionV>
            <wp:extent cx="8572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-384810</wp:posOffset>
            </wp:positionV>
            <wp:extent cx="8572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-367665</wp:posOffset>
            </wp:positionV>
            <wp:extent cx="8572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87" w:lineRule="exact"/>
        <w:rPr>
          <w:sz w:val="20"/>
          <w:szCs w:val="20"/>
          <w:color w:val="auto"/>
        </w:rPr>
      </w:pPr>
    </w:p>
    <w:p>
      <w:pPr>
        <w:ind w:left="340" w:hanging="332"/>
        <w:spacing w:after="0" w:line="293"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vesting of these awards does not dilute Perella Weinberg Partners shareholders relative to Professional Partners. As such the related equity-based compensation expense is fully attributed to non-controlling interests.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6" w:name="page37"/>
    <w:bookmarkEnd w:id="36"/>
    <w:p>
      <w:pPr>
        <w:ind w:left="4580"/>
        <w:spacing w:after="0"/>
        <w:rPr>
          <w:sz w:val="20"/>
          <w:szCs w:val="20"/>
          <w:color w:val="auto"/>
        </w:rPr>
      </w:pPr>
      <w:r>
        <w:rPr>
          <w:rFonts w:ascii="Arial" w:cs="Arial" w:eastAsia="Arial" w:hAnsi="Arial"/>
          <w:sz w:val="18"/>
          <w:szCs w:val="18"/>
          <w:b w:val="1"/>
          <w:bCs w:val="1"/>
          <w:color w:val="auto"/>
        </w:rPr>
        <w:t>Perella Weinberg Partners</w:t>
      </w:r>
    </w:p>
    <w:p>
      <w:pPr>
        <w:spacing w:after="0" w:line="7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Other Compensation and Benefits</w:t>
      </w:r>
    </w:p>
    <w:p>
      <w:pPr>
        <w:spacing w:after="0" w:line="243" w:lineRule="exact"/>
        <w:rPr>
          <w:sz w:val="20"/>
          <w:szCs w:val="20"/>
          <w:color w:val="auto"/>
        </w:rPr>
      </w:pPr>
    </w:p>
    <w:p>
      <w:pPr>
        <w:jc w:val="both"/>
        <w:ind w:right="20" w:firstLine="509"/>
        <w:spacing w:after="0" w:line="293" w:lineRule="auto"/>
        <w:rPr>
          <w:sz w:val="20"/>
          <w:szCs w:val="20"/>
          <w:color w:val="auto"/>
        </w:rPr>
      </w:pPr>
      <w:r>
        <w:rPr>
          <w:rFonts w:ascii="Arial" w:cs="Arial" w:eastAsia="Arial" w:hAnsi="Arial"/>
          <w:sz w:val="18"/>
          <w:szCs w:val="18"/>
          <w:color w:val="auto"/>
        </w:rPr>
        <w:t>Compensation and benefits includes, but is not limited to, salaries, bonuses (discretionary awards and guaranteed amounts), severance and deferred compensation. In all instances, compensation expense is accrued over the requisite service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Compensation Programs</w:t>
      </w:r>
    </w:p>
    <w:p>
      <w:pPr>
        <w:spacing w:after="0" w:line="239" w:lineRule="exact"/>
        <w:rPr>
          <w:sz w:val="20"/>
          <w:szCs w:val="20"/>
          <w:color w:val="auto"/>
        </w:rPr>
      </w:pPr>
    </w:p>
    <w:p>
      <w:pPr>
        <w:jc w:val="both"/>
        <w:ind w:firstLine="464"/>
        <w:spacing w:after="0" w:line="309" w:lineRule="auto"/>
        <w:rPr>
          <w:sz w:val="20"/>
          <w:szCs w:val="20"/>
          <w:color w:val="auto"/>
        </w:rPr>
      </w:pPr>
      <w:r>
        <w:rPr>
          <w:rFonts w:ascii="Arial" w:cs="Arial" w:eastAsia="Arial" w:hAnsi="Arial"/>
          <w:sz w:val="16"/>
          <w:szCs w:val="16"/>
          <w:color w:val="auto"/>
        </w:rPr>
        <w:t>The Company has various deferred compensation plans. Some plans allow employees to defer cash payments for services performed in the past and some plans require future service. The Company recognizes compensation expense over the requisite service period. In addition, certain legacy plans required the Company to invest the deferred amounts into designated brokerage accounts at the employee’s discretion, while others allowed employees to make hypothetical investments in which their deferrals were deemed to be invested. The designated brokerage balances are reflected in Prepaid expenses and other assets on the Condensed Consolidated Statements of Financial Condition. The Company maintains company-owned life insurance policies which are designed to offset a portion of the liability for the hypothetical investments of these legacy plans. The cash surrender value of these life insurance policies is also included in Prepaid expenses and other assets on the Condensed Consolidated Statements of Financial Condition.</w:t>
      </w:r>
    </w:p>
    <w:p>
      <w:pPr>
        <w:spacing w:after="0" w:line="164" w:lineRule="exact"/>
        <w:rPr>
          <w:sz w:val="20"/>
          <w:szCs w:val="20"/>
          <w:color w:val="auto"/>
        </w:rPr>
      </w:pPr>
    </w:p>
    <w:p>
      <w:pPr>
        <w:jc w:val="both"/>
        <w:ind w:firstLine="464"/>
        <w:spacing w:after="0" w:line="319" w:lineRule="auto"/>
        <w:rPr>
          <w:sz w:val="20"/>
          <w:szCs w:val="20"/>
          <w:color w:val="auto"/>
        </w:rPr>
      </w:pPr>
      <w:r>
        <w:rPr>
          <w:rFonts w:ascii="Arial" w:cs="Arial" w:eastAsia="Arial" w:hAnsi="Arial"/>
          <w:sz w:val="16"/>
          <w:szCs w:val="16"/>
          <w:color w:val="auto"/>
        </w:rPr>
        <w:t>Deferred compensation liabilities will be paid at various intervals through 2025 and are presented within Deferred compensation programs on the Condensed Consolidated Statements of Financial Condition. Compensation expenses related to these deferred compensation plans was $0.3 million and $1.0 million for the three and nine months ended September 30, 2021, respectively, and $1.6 million and $4.6 million for the three and nine months ended September 30, 2020, respectively, and are presented within Compensation and benefits in the Condensed Consolidated Statements of Operations.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 Plans</w:t>
      </w:r>
    </w:p>
    <w:p>
      <w:pPr>
        <w:spacing w:after="0" w:line="239"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8"/>
          <w:szCs w:val="18"/>
          <w:color w:val="auto"/>
        </w:rPr>
        <w:t>Certain employees participate in employee benefit plans, which consist of defined contribution plans including (i) profit-sharing plans qualified under Section 401(k) of the Internal Revenue Code, (ii) a UK pension scheme for U.K. employees and (iii) a Germany pension plan for employees in Germany.</w:t>
      </w:r>
    </w:p>
    <w:p>
      <w:pPr>
        <w:spacing w:after="0" w:line="183"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8"/>
          <w:szCs w:val="18"/>
          <w:color w:val="auto"/>
        </w:rPr>
        <w:t>Expenses related to the Company’s employee benefit plans was $1.2 million and $3.8 million for the three and nine months ended September 30, 2021, respectively, and $1.1 million and $3.5 million for the three and nine months ended September 30, 2020, respectively, and are included in Compensation and benefits in the Condensed Consolidated Statements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Separation and Termination Benefits</w:t>
      </w:r>
    </w:p>
    <w:p>
      <w:pPr>
        <w:spacing w:after="0" w:line="239"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8"/>
          <w:szCs w:val="18"/>
          <w:color w:val="auto"/>
        </w:rPr>
        <w:t>In the second quarter of 2020, the Company underwent a review of operations and headcount levels and the decision was made to reduce employee headcount. In conjunction with such reduction, affected employees were offered a combination of separation and transition benefits (the “termination cost”). As of September 30, 2020, the termination cost accrued was approximately $5.4 million, which is included in Compensation and benefits in the Condensed Consolidated Statements of Operations. These termination costs were fully recognized once the service requirement of the affected employees was complete. The termination costs were substantially paid by December 31,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15 </w:t>
      </w:r>
      <w:r>
        <w:rPr>
          <w:rFonts w:ascii="Arial" w:cs="Arial" w:eastAsia="Arial" w:hAnsi="Arial"/>
          <w:sz w:val="18"/>
          <w:szCs w:val="18"/>
          <w:color w:val="auto"/>
        </w:rPr>
        <w:t>–</w:t>
      </w:r>
      <w:r>
        <w:rPr>
          <w:rFonts w:ascii="Arial" w:cs="Arial" w:eastAsia="Arial" w:hAnsi="Arial"/>
          <w:sz w:val="18"/>
          <w:szCs w:val="18"/>
          <w:b w:val="1"/>
          <w:bCs w:val="1"/>
          <w:color w:val="auto"/>
        </w:rPr>
        <w:t xml:space="preserve"> Net Income (Loss) Per Share Attributable to Class A Common Shareholders</w:t>
      </w:r>
    </w:p>
    <w:p>
      <w:pPr>
        <w:spacing w:after="0" w:line="243" w:lineRule="exact"/>
        <w:rPr>
          <w:sz w:val="20"/>
          <w:szCs w:val="20"/>
          <w:color w:val="auto"/>
        </w:rPr>
      </w:pPr>
    </w:p>
    <w:p>
      <w:pPr>
        <w:jc w:val="both"/>
        <w:ind w:firstLine="464"/>
        <w:spacing w:after="0" w:line="292" w:lineRule="auto"/>
        <w:rPr>
          <w:sz w:val="20"/>
          <w:szCs w:val="20"/>
          <w:color w:val="auto"/>
        </w:rPr>
      </w:pPr>
      <w:r>
        <w:rPr>
          <w:rFonts w:ascii="Arial" w:cs="Arial" w:eastAsia="Arial" w:hAnsi="Arial"/>
          <w:sz w:val="17"/>
          <w:szCs w:val="17"/>
          <w:color w:val="auto"/>
        </w:rPr>
        <w:t>The Company analyzed the calculation of net income (loss) per share for periods prior to the Business Combination on June 24, 2021 and determined that it resulted in values that would not be meaningful to the users of the condensed consolidated financial statements. Therefore, net income (loss) per share information has not been presented for periods prior to the Business Combination. The basic and diluted net income (loss) per share attributable to Class A common shareholders for the nine months ended September 30, 2021, as presented on the Condensed Consolidated Statements of Operations, represent only the period after the Business Combination to September 30, 2021.</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7" w:name="page38"/>
    <w:bookmarkEnd w:id="37"/>
    <w:p>
      <w:pPr>
        <w:ind w:left="4580"/>
        <w:spacing w:after="0"/>
        <w:rPr>
          <w:sz w:val="20"/>
          <w:szCs w:val="20"/>
          <w:color w:val="auto"/>
        </w:rPr>
      </w:pPr>
      <w:r>
        <w:rPr>
          <w:rFonts w:ascii="Arial" w:cs="Arial" w:eastAsia="Arial" w:hAnsi="Arial"/>
          <w:sz w:val="18"/>
          <w:szCs w:val="18"/>
          <w:b w:val="1"/>
          <w:bCs w:val="1"/>
          <w:color w:val="auto"/>
        </w:rPr>
        <w:t>Perella Weinberg Partners</w:t>
      </w:r>
    </w:p>
    <w:p>
      <w:pPr>
        <w:spacing w:after="0" w:line="7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31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calculations of basic and diluted net income (loss) per share attributable to Class A common shareholders are presented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center"/>
              <w:ind w:right="250"/>
              <w:spacing w:after="0"/>
              <w:rPr>
                <w:sz w:val="20"/>
                <w:szCs w:val="20"/>
                <w:color w:val="auto"/>
              </w:rPr>
            </w:pPr>
            <w:r>
              <w:rPr>
                <w:rFonts w:ascii="Arial" w:cs="Arial" w:eastAsia="Arial" w:hAnsi="Arial"/>
                <w:sz w:val="18"/>
                <w:szCs w:val="18"/>
                <w:b w:val="1"/>
                <w:bCs w:val="1"/>
                <w:color w:val="auto"/>
                <w:w w:val="93"/>
              </w:rPr>
              <w:t>Period After</w:t>
            </w:r>
          </w:p>
        </w:tc>
      </w:tr>
      <w:tr>
        <w:trPr>
          <w:trHeight w:val="229"/>
        </w:trPr>
        <w:tc>
          <w:tcPr>
            <w:tcW w:w="7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center"/>
              <w:ind w:right="270"/>
              <w:spacing w:after="0"/>
              <w:rPr>
                <w:sz w:val="20"/>
                <w:szCs w:val="20"/>
                <w:color w:val="auto"/>
              </w:rPr>
            </w:pPr>
            <w:r>
              <w:rPr>
                <w:rFonts w:ascii="Arial" w:cs="Arial" w:eastAsia="Arial" w:hAnsi="Arial"/>
                <w:sz w:val="18"/>
                <w:szCs w:val="18"/>
                <w:b w:val="1"/>
                <w:bCs w:val="1"/>
                <w:color w:val="auto"/>
                <w:w w:val="82"/>
              </w:rPr>
              <w:t>Business</w:t>
            </w:r>
          </w:p>
        </w:tc>
      </w:tr>
      <w:tr>
        <w:trPr>
          <w:trHeight w:val="230"/>
        </w:trPr>
        <w:tc>
          <w:tcPr>
            <w:tcW w:w="7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center"/>
              <w:ind w:right="250"/>
              <w:spacing w:after="0"/>
              <w:rPr>
                <w:sz w:val="20"/>
                <w:szCs w:val="20"/>
                <w:color w:val="auto"/>
              </w:rPr>
            </w:pPr>
            <w:r>
              <w:rPr>
                <w:rFonts w:ascii="Arial" w:cs="Arial" w:eastAsia="Arial" w:hAnsi="Arial"/>
                <w:sz w:val="18"/>
                <w:szCs w:val="18"/>
                <w:b w:val="1"/>
                <w:bCs w:val="1"/>
                <w:color w:val="auto"/>
                <w:w w:val="90"/>
              </w:rPr>
              <w:t>Combination</w:t>
            </w:r>
          </w:p>
        </w:tc>
      </w:tr>
      <w:tr>
        <w:trPr>
          <w:trHeight w:val="229"/>
        </w:trPr>
        <w:tc>
          <w:tcPr>
            <w:tcW w:w="7560" w:type="dxa"/>
            <w:vAlign w:val="bottom"/>
          </w:tcPr>
          <w:p>
            <w:pPr>
              <w:spacing w:after="0"/>
              <w:rPr>
                <w:sz w:val="19"/>
                <w:szCs w:val="19"/>
                <w:color w:val="auto"/>
              </w:rPr>
            </w:pPr>
          </w:p>
        </w:tc>
        <w:tc>
          <w:tcPr>
            <w:tcW w:w="1780" w:type="dxa"/>
            <w:vAlign w:val="bottom"/>
            <w:gridSpan w:val="2"/>
          </w:tcPr>
          <w:p>
            <w:pPr>
              <w:ind w:left="20"/>
              <w:spacing w:after="0"/>
              <w:rPr>
                <w:sz w:val="20"/>
                <w:szCs w:val="20"/>
                <w:color w:val="auto"/>
              </w:rPr>
            </w:pPr>
            <w:r>
              <w:rPr>
                <w:rFonts w:ascii="Arial" w:cs="Arial" w:eastAsia="Arial" w:hAnsi="Arial"/>
                <w:sz w:val="18"/>
                <w:szCs w:val="18"/>
                <w:b w:val="1"/>
                <w:bCs w:val="1"/>
                <w:color w:val="auto"/>
                <w:w w:val="97"/>
              </w:rPr>
              <w:t>Three Months Ended</w:t>
            </w:r>
          </w:p>
        </w:tc>
        <w:tc>
          <w:tcPr>
            <w:tcW w:w="160" w:type="dxa"/>
            <w:vAlign w:val="bottom"/>
          </w:tcPr>
          <w:p>
            <w:pPr>
              <w:spacing w:after="0"/>
              <w:rPr>
                <w:sz w:val="19"/>
                <w:szCs w:val="19"/>
                <w:color w:val="auto"/>
              </w:rPr>
            </w:pPr>
          </w:p>
        </w:tc>
        <w:tc>
          <w:tcPr>
            <w:tcW w:w="1740" w:type="dxa"/>
            <w:vAlign w:val="bottom"/>
            <w:gridSpan w:val="2"/>
          </w:tcPr>
          <w:p>
            <w:pPr>
              <w:ind w:left="20"/>
              <w:spacing w:after="0"/>
              <w:rPr>
                <w:sz w:val="20"/>
                <w:szCs w:val="20"/>
                <w:color w:val="auto"/>
              </w:rPr>
            </w:pPr>
            <w:r>
              <w:rPr>
                <w:rFonts w:ascii="Arial" w:cs="Arial" w:eastAsia="Arial" w:hAnsi="Arial"/>
                <w:sz w:val="18"/>
                <w:szCs w:val="18"/>
                <w:b w:val="1"/>
                <w:bCs w:val="1"/>
                <w:color w:val="auto"/>
                <w:w w:val="99"/>
              </w:rPr>
              <w:t>Through September</w:t>
            </w:r>
          </w:p>
        </w:tc>
      </w:tr>
      <w:tr>
        <w:trPr>
          <w:trHeight w:val="241"/>
        </w:trPr>
        <w:tc>
          <w:tcPr>
            <w:tcW w:w="7560" w:type="dxa"/>
            <w:vAlign w:val="bottom"/>
          </w:tcPr>
          <w:p>
            <w:pPr>
              <w:spacing w:after="0"/>
              <w:rPr>
                <w:sz w:val="20"/>
                <w:szCs w:val="20"/>
                <w:color w:val="auto"/>
              </w:rPr>
            </w:pPr>
          </w:p>
        </w:tc>
        <w:tc>
          <w:tcPr>
            <w:tcW w:w="178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w w:val="93"/>
              </w:rPr>
              <w:t>September 30, 2021</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1"/>
              </w:rPr>
              <w:t>30, 2021</w:t>
            </w:r>
          </w:p>
        </w:tc>
      </w:tr>
      <w:tr>
        <w:trPr>
          <w:trHeight w:val="257"/>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i w:val="1"/>
                <w:iCs w:val="1"/>
                <w:color w:val="auto"/>
              </w:rPr>
              <w:t>Numerator:</w:t>
            </w:r>
          </w:p>
        </w:tc>
        <w:tc>
          <w:tcPr>
            <w:tcW w:w="480" w:type="dxa"/>
            <w:vAlign w:val="bottom"/>
            <w:shd w:val="clear" w:color="auto" w:fill="CFF0FC"/>
          </w:tcPr>
          <w:p>
            <w:pPr>
              <w:spacing w:after="0"/>
              <w:rPr>
                <w:sz w:val="22"/>
                <w:szCs w:val="22"/>
                <w:color w:val="auto"/>
              </w:rPr>
            </w:pPr>
          </w:p>
        </w:tc>
        <w:tc>
          <w:tcPr>
            <w:tcW w:w="13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540" w:type="dxa"/>
            <w:vAlign w:val="bottom"/>
            <w:shd w:val="clear" w:color="auto" w:fill="CFF0FC"/>
          </w:tcPr>
          <w:p>
            <w:pPr>
              <w:spacing w:after="0"/>
              <w:rPr>
                <w:sz w:val="22"/>
                <w:szCs w:val="22"/>
                <w:color w:val="auto"/>
              </w:rPr>
            </w:pPr>
          </w:p>
        </w:tc>
      </w:tr>
      <w:tr>
        <w:trPr>
          <w:trHeight w:val="250"/>
        </w:trPr>
        <w:tc>
          <w:tcPr>
            <w:tcW w:w="7560" w:type="dxa"/>
            <w:vAlign w:val="bottom"/>
          </w:tcPr>
          <w:p>
            <w:pPr>
              <w:ind w:left="20"/>
              <w:spacing w:after="0"/>
              <w:rPr>
                <w:sz w:val="20"/>
                <w:szCs w:val="20"/>
                <w:color w:val="auto"/>
              </w:rPr>
            </w:pPr>
            <w:r>
              <w:rPr>
                <w:rFonts w:ascii="Arial" w:cs="Arial" w:eastAsia="Arial" w:hAnsi="Arial"/>
                <w:sz w:val="18"/>
                <w:szCs w:val="18"/>
                <w:color w:val="auto"/>
              </w:rPr>
              <w:t>Net income (loss) attributable to Perella Weinberg Partners - basic</w:t>
            </w:r>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3,476</w:t>
            </w: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(9,023 )</w:t>
            </w:r>
          </w:p>
        </w:tc>
      </w:tr>
      <w:tr>
        <w:trPr>
          <w:trHeight w:val="263"/>
        </w:trPr>
        <w:tc>
          <w:tcPr>
            <w:tcW w:w="75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Dilutive effect from assumed exercise of warrants, net of tax</w:t>
            </w:r>
          </w:p>
        </w:tc>
        <w:tc>
          <w:tcPr>
            <w:tcW w:w="480" w:type="dxa"/>
            <w:vAlign w:val="bottom"/>
            <w:shd w:val="clear" w:color="auto" w:fill="CFF0FC"/>
          </w:tcPr>
          <w:p>
            <w:pPr>
              <w:spacing w:after="0"/>
              <w:rPr>
                <w:sz w:val="22"/>
                <w:szCs w:val="22"/>
                <w:color w:val="auto"/>
              </w:rPr>
            </w:pP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5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7560" w:type="dxa"/>
            <w:vAlign w:val="bottom"/>
          </w:tcPr>
          <w:p>
            <w:pPr>
              <w:ind w:left="120"/>
              <w:spacing w:after="0"/>
              <w:rPr>
                <w:sz w:val="20"/>
                <w:szCs w:val="20"/>
                <w:color w:val="auto"/>
              </w:rPr>
            </w:pPr>
            <w:r>
              <w:rPr>
                <w:rFonts w:ascii="Arial" w:cs="Arial" w:eastAsia="Arial" w:hAnsi="Arial"/>
                <w:sz w:val="18"/>
                <w:szCs w:val="18"/>
                <w:color w:val="auto"/>
              </w:rPr>
              <w:t>Dilutive effect from assumed exchange of PWP OpCo Units, net of tax</w:t>
            </w:r>
          </w:p>
        </w:tc>
        <w:tc>
          <w:tcPr>
            <w:tcW w:w="4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(12,163 )</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(28,401 )</w:t>
            </w:r>
          </w:p>
        </w:tc>
      </w:tr>
      <w:tr>
        <w:trPr>
          <w:trHeight w:val="263"/>
        </w:trPr>
        <w:tc>
          <w:tcPr>
            <w:tcW w:w="75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Dilutive effect from assumed vesting of RSUs and PSUs, net of tax</w:t>
            </w:r>
          </w:p>
        </w:tc>
        <w:tc>
          <w:tcPr>
            <w:tcW w:w="480" w:type="dxa"/>
            <w:vAlign w:val="bottom"/>
            <w:tcBorders>
              <w:bottom w:val="single" w:sz="8" w:color="auto"/>
            </w:tcBorders>
            <w:shd w:val="clear" w:color="auto" w:fill="CFF0FC"/>
          </w:tcPr>
          <w:p>
            <w:pPr>
              <w:spacing w:after="0"/>
              <w:rPr>
                <w:sz w:val="22"/>
                <w:szCs w:val="22"/>
                <w:color w:val="auto"/>
              </w:rPr>
            </w:pP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15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7560" w:type="dxa"/>
            <w:vAlign w:val="bottom"/>
          </w:tcPr>
          <w:p>
            <w:pPr>
              <w:ind w:left="20"/>
              <w:spacing w:after="0"/>
              <w:rPr>
                <w:sz w:val="20"/>
                <w:szCs w:val="20"/>
                <w:color w:val="auto"/>
              </w:rPr>
            </w:pPr>
            <w:r>
              <w:rPr>
                <w:rFonts w:ascii="Arial" w:cs="Arial" w:eastAsia="Arial" w:hAnsi="Arial"/>
                <w:sz w:val="18"/>
                <w:szCs w:val="18"/>
                <w:color w:val="auto"/>
              </w:rPr>
              <w:t>Net Income (loss) attributable to Perella Weinberg Partners - diluted</w:t>
            </w:r>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(8,687 )</w:t>
            </w: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(37,424 )</w:t>
            </w:r>
          </w:p>
        </w:tc>
      </w:tr>
      <w:tr>
        <w:trPr>
          <w:trHeight w:val="20"/>
        </w:trPr>
        <w:tc>
          <w:tcPr>
            <w:tcW w:w="75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i w:val="1"/>
                <w:iCs w:val="1"/>
                <w:color w:val="auto"/>
              </w:rPr>
              <w:t>Denominator:</w:t>
            </w:r>
          </w:p>
        </w:tc>
        <w:tc>
          <w:tcPr>
            <w:tcW w:w="48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540" w:type="dxa"/>
            <w:vAlign w:val="bottom"/>
            <w:shd w:val="clear" w:color="auto" w:fill="CFF0FC"/>
          </w:tcPr>
          <w:p>
            <w:pPr>
              <w:spacing w:after="0"/>
              <w:rPr>
                <w:sz w:val="20"/>
                <w:szCs w:val="20"/>
                <w:color w:val="auto"/>
              </w:rPr>
            </w:pPr>
          </w:p>
        </w:tc>
      </w:tr>
      <w:tr>
        <w:trPr>
          <w:trHeight w:val="250"/>
        </w:trPr>
        <w:tc>
          <w:tcPr>
            <w:tcW w:w="7560" w:type="dxa"/>
            <w:vAlign w:val="bottom"/>
          </w:tcPr>
          <w:p>
            <w:pPr>
              <w:ind w:left="20"/>
              <w:spacing w:after="0"/>
              <w:rPr>
                <w:sz w:val="20"/>
                <w:szCs w:val="20"/>
                <w:color w:val="auto"/>
              </w:rPr>
            </w:pPr>
            <w:r>
              <w:rPr>
                <w:rFonts w:ascii="Arial" w:cs="Arial" w:eastAsia="Arial" w:hAnsi="Arial"/>
                <w:sz w:val="18"/>
                <w:szCs w:val="18"/>
                <w:color w:val="auto"/>
              </w:rPr>
              <w:t>Weighted average shares of Class A common stock outstanding - basic</w:t>
            </w:r>
          </w:p>
        </w:tc>
        <w:tc>
          <w:tcPr>
            <w:tcW w:w="4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42,572,813</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42,599,954</w:t>
            </w:r>
          </w:p>
        </w:tc>
      </w:tr>
      <w:tr>
        <w:trPr>
          <w:trHeight w:val="290"/>
        </w:trPr>
        <w:tc>
          <w:tcPr>
            <w:tcW w:w="75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Weighted average number of incremental shares from assumed exercise of warrants</w:t>
            </w:r>
          </w:p>
        </w:tc>
        <w:tc>
          <w:tcPr>
            <w:tcW w:w="480" w:type="dxa"/>
            <w:vAlign w:val="bottom"/>
            <w:shd w:val="clear" w:color="auto" w:fill="CFF0FC"/>
          </w:tcPr>
          <w:p>
            <w:pPr>
              <w:spacing w:after="0"/>
              <w:rPr>
                <w:sz w:val="24"/>
                <w:szCs w:val="24"/>
                <w:color w:val="auto"/>
              </w:rPr>
            </w:pP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5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7560" w:type="dxa"/>
            <w:vAlign w:val="bottom"/>
          </w:tcPr>
          <w:p>
            <w:pPr>
              <w:ind w:left="120"/>
              <w:spacing w:after="0"/>
              <w:rPr>
                <w:sz w:val="20"/>
                <w:szCs w:val="20"/>
                <w:color w:val="auto"/>
              </w:rPr>
            </w:pPr>
            <w:r>
              <w:rPr>
                <w:rFonts w:ascii="Arial" w:cs="Arial" w:eastAsia="Arial" w:hAnsi="Arial"/>
                <w:sz w:val="18"/>
                <w:szCs w:val="18"/>
                <w:color w:val="auto"/>
                <w:w w:val="98"/>
              </w:rPr>
              <w:t>Weighted average number of incremental shares from assumed exchange of PWP OpCo Units</w:t>
            </w:r>
          </w:p>
        </w:tc>
        <w:tc>
          <w:tcPr>
            <w:tcW w:w="480" w:type="dxa"/>
            <w:vAlign w:val="bottom"/>
          </w:tcPr>
          <w:p>
            <w:pPr>
              <w:spacing w:after="0"/>
              <w:rPr>
                <w:sz w:val="24"/>
                <w:szCs w:val="24"/>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50,154,199</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50,154,199</w:t>
            </w:r>
          </w:p>
        </w:tc>
      </w:tr>
      <w:tr>
        <w:trPr>
          <w:trHeight w:val="277"/>
        </w:trPr>
        <w:tc>
          <w:tcPr>
            <w:tcW w:w="75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Weighted average number of incremental shares from assumed vesting of RSUs and PSUs</w:t>
            </w:r>
          </w:p>
        </w:tc>
        <w:tc>
          <w:tcPr>
            <w:tcW w:w="480" w:type="dxa"/>
            <w:vAlign w:val="bottom"/>
            <w:tcBorders>
              <w:bottom w:val="single" w:sz="8" w:color="auto"/>
            </w:tcBorders>
            <w:shd w:val="clear" w:color="auto" w:fill="CFF0FC"/>
          </w:tcPr>
          <w:p>
            <w:pPr>
              <w:spacing w:after="0"/>
              <w:rPr>
                <w:sz w:val="24"/>
                <w:szCs w:val="24"/>
                <w:color w:val="auto"/>
              </w:rPr>
            </w:pP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spacing w:after="0"/>
              <w:rPr>
                <w:sz w:val="24"/>
                <w:szCs w:val="24"/>
                <w:color w:val="auto"/>
              </w:rPr>
            </w:pPr>
          </w:p>
        </w:tc>
        <w:tc>
          <w:tcPr>
            <w:tcW w:w="15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7560" w:type="dxa"/>
            <w:vAlign w:val="bottom"/>
          </w:tcPr>
          <w:p>
            <w:pPr>
              <w:ind w:left="20"/>
              <w:spacing w:after="0"/>
              <w:rPr>
                <w:sz w:val="20"/>
                <w:szCs w:val="20"/>
                <w:color w:val="auto"/>
              </w:rPr>
            </w:pPr>
            <w:r>
              <w:rPr>
                <w:rFonts w:ascii="Arial" w:cs="Arial" w:eastAsia="Arial" w:hAnsi="Arial"/>
                <w:sz w:val="18"/>
                <w:szCs w:val="18"/>
                <w:color w:val="auto"/>
              </w:rPr>
              <w:t>Weighted average shares of Class A common stock outstanding - diluted</w:t>
            </w:r>
          </w:p>
        </w:tc>
        <w:tc>
          <w:tcPr>
            <w:tcW w:w="4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92,727,012</w:t>
            </w:r>
          </w:p>
        </w:tc>
        <w:tc>
          <w:tcPr>
            <w:tcW w:w="1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92,754,153</w:t>
            </w:r>
          </w:p>
        </w:tc>
      </w:tr>
      <w:tr>
        <w:trPr>
          <w:trHeight w:val="20"/>
        </w:trPr>
        <w:tc>
          <w:tcPr>
            <w:tcW w:w="75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37"/>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(loss) per share attributable to Class A common shareholders</w:t>
            </w:r>
          </w:p>
        </w:tc>
        <w:tc>
          <w:tcPr>
            <w:tcW w:w="48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540" w:type="dxa"/>
            <w:vAlign w:val="bottom"/>
            <w:shd w:val="clear" w:color="auto" w:fill="CFF0FC"/>
          </w:tcPr>
          <w:p>
            <w:pPr>
              <w:spacing w:after="0"/>
              <w:rPr>
                <w:sz w:val="20"/>
                <w:szCs w:val="20"/>
                <w:color w:val="auto"/>
              </w:rPr>
            </w:pPr>
          </w:p>
        </w:tc>
      </w:tr>
      <w:tr>
        <w:trPr>
          <w:trHeight w:val="250"/>
        </w:trPr>
        <w:tc>
          <w:tcPr>
            <w:tcW w:w="7560" w:type="dxa"/>
            <w:vAlign w:val="bottom"/>
          </w:tcPr>
          <w:p>
            <w:pPr>
              <w:ind w:left="120"/>
              <w:spacing w:after="0"/>
              <w:rPr>
                <w:sz w:val="20"/>
                <w:szCs w:val="20"/>
                <w:color w:val="auto"/>
              </w:rPr>
            </w:pPr>
            <w:r>
              <w:rPr>
                <w:rFonts w:ascii="Arial" w:cs="Arial" w:eastAsia="Arial" w:hAnsi="Arial"/>
                <w:sz w:val="18"/>
                <w:szCs w:val="18"/>
                <w:color w:val="auto"/>
              </w:rPr>
              <w:t>Basic</w:t>
            </w:r>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0.08</w:t>
            </w: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(0.21 )</w:t>
            </w:r>
          </w:p>
        </w:tc>
      </w:tr>
      <w:tr>
        <w:trPr>
          <w:trHeight w:val="263"/>
        </w:trPr>
        <w:tc>
          <w:tcPr>
            <w:tcW w:w="75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Diluted</w:t>
            </w:r>
          </w:p>
        </w:tc>
        <w:tc>
          <w:tcPr>
            <w:tcW w:w="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(0.09 )</w:t>
            </w:r>
          </w:p>
        </w:tc>
        <w:tc>
          <w:tcPr>
            <w:tcW w:w="36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-1736725</wp:posOffset>
            </wp:positionV>
            <wp:extent cx="94615" cy="57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-681990</wp:posOffset>
            </wp:positionV>
            <wp:extent cx="94615" cy="57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94615" cy="5715"/>
                    </a:xfrm>
                    <a:prstGeom prst="rect">
                      <a:avLst/>
                    </a:prstGeom>
                    <a:noFill/>
                  </pic:spPr>
                </pic:pic>
              </a:graphicData>
            </a:graphic>
          </wp:anchor>
        </w:drawing>
      </w:r>
    </w:p>
    <w:p>
      <w:pPr>
        <w:spacing w:after="0" w:line="195" w:lineRule="exact"/>
        <w:rPr>
          <w:sz w:val="20"/>
          <w:szCs w:val="20"/>
          <w:color w:val="auto"/>
        </w:rPr>
      </w:pPr>
    </w:p>
    <w:p>
      <w:pPr>
        <w:jc w:val="both"/>
        <w:ind w:firstLine="464"/>
        <w:spacing w:after="0" w:line="293" w:lineRule="auto"/>
        <w:rPr>
          <w:sz w:val="20"/>
          <w:szCs w:val="20"/>
          <w:color w:val="auto"/>
        </w:rPr>
      </w:pPr>
      <w:r>
        <w:rPr>
          <w:rFonts w:ascii="Arial" w:cs="Arial" w:eastAsia="Arial" w:hAnsi="Arial"/>
          <w:sz w:val="18"/>
          <w:szCs w:val="18"/>
          <w:color w:val="auto"/>
        </w:rPr>
        <w:t>The impact of Class B common stock has been excluded from the calculation as these shares are entitled to an insignificant amount of economic participation.</w:t>
      </w:r>
    </w:p>
    <w:p>
      <w:pPr>
        <w:spacing w:after="0" w:line="170" w:lineRule="exact"/>
        <w:rPr>
          <w:sz w:val="20"/>
          <w:szCs w:val="20"/>
          <w:color w:val="auto"/>
        </w:rPr>
      </w:pPr>
    </w:p>
    <w:p>
      <w:pPr>
        <w:jc w:val="both"/>
        <w:ind w:firstLine="464"/>
        <w:spacing w:after="0" w:line="270" w:lineRule="auto"/>
        <w:rPr>
          <w:sz w:val="20"/>
          <w:szCs w:val="20"/>
          <w:color w:val="auto"/>
        </w:rPr>
      </w:pPr>
      <w:r>
        <w:rPr>
          <w:rFonts w:ascii="Arial" w:cs="Arial" w:eastAsia="Arial" w:hAnsi="Arial"/>
          <w:sz w:val="18"/>
          <w:szCs w:val="18"/>
          <w:color w:val="auto"/>
        </w:rPr>
        <w:t>The Company uses the treasury stock method to determine the potential dilutive effect of outstanding warrants and unvested RSUs and PSUs and the if-converted method to determine the potential dilutive effect of exchanges of PWP OpCo Units into Class A common stock. The Company adjusts net income (loss) attributable to Class A common shareholders under both the treasury stock method and if-converted method for the reallocation of net income (loss) between Class A common shareholders and non-controlling interests that result upon the assumed issuance of dilutive shares of Class A common stock as if the issuance occurred as of the Closing Date. The Company also adjusts the net income (loss) attributable to Class A common shareholders under the treasury stock method to reverse the effect on earnings of classifying the warrants as liabilities. All adjustments are net of any tax impact.</w:t>
      </w:r>
    </w:p>
    <w:p>
      <w:pPr>
        <w:spacing w:after="0" w:line="192"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8"/>
          <w:szCs w:val="18"/>
          <w:color w:val="auto"/>
        </w:rPr>
        <w:t>The following table presents the weighted average potentially dilutive shares that were excluded from the calculation of diluted net income (loss) per share under the treasury stock method or if-converted method, as applicable, because the effect of including such potentially dilutive shares was antidilutive for the periods presented: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Period After</w:t>
            </w:r>
          </w:p>
        </w:tc>
      </w:tr>
      <w:tr>
        <w:trPr>
          <w:trHeight w:val="230"/>
        </w:trPr>
        <w:tc>
          <w:tcPr>
            <w:tcW w:w="76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center"/>
              <w:ind w:right="50"/>
              <w:spacing w:after="0"/>
              <w:rPr>
                <w:sz w:val="20"/>
                <w:szCs w:val="20"/>
                <w:color w:val="auto"/>
              </w:rPr>
            </w:pPr>
            <w:r>
              <w:rPr>
                <w:rFonts w:ascii="Arial" w:cs="Arial" w:eastAsia="Arial" w:hAnsi="Arial"/>
                <w:sz w:val="18"/>
                <w:szCs w:val="18"/>
                <w:b w:val="1"/>
                <w:bCs w:val="1"/>
                <w:color w:val="auto"/>
                <w:w w:val="82"/>
              </w:rPr>
              <w:t>Business</w:t>
            </w:r>
          </w:p>
        </w:tc>
      </w:tr>
      <w:tr>
        <w:trPr>
          <w:trHeight w:val="230"/>
        </w:trPr>
        <w:tc>
          <w:tcPr>
            <w:tcW w:w="76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Combination</w:t>
            </w:r>
          </w:p>
        </w:tc>
      </w:tr>
      <w:tr>
        <w:trPr>
          <w:trHeight w:val="229"/>
        </w:trPr>
        <w:tc>
          <w:tcPr>
            <w:tcW w:w="7600" w:type="dxa"/>
            <w:vAlign w:val="bottom"/>
          </w:tcPr>
          <w:p>
            <w:pPr>
              <w:spacing w:after="0"/>
              <w:rPr>
                <w:sz w:val="19"/>
                <w:szCs w:val="19"/>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b w:val="1"/>
                <w:bCs w:val="1"/>
                <w:color w:val="auto"/>
                <w:w w:val="92"/>
              </w:rPr>
              <w:t>Three Months Ended</w:t>
            </w:r>
          </w:p>
        </w:tc>
        <w:tc>
          <w:tcPr>
            <w:tcW w:w="160" w:type="dxa"/>
            <w:vAlign w:val="bottom"/>
          </w:tcPr>
          <w:p>
            <w:pPr>
              <w:spacing w:after="0"/>
              <w:rPr>
                <w:sz w:val="19"/>
                <w:szCs w:val="19"/>
                <w:color w:val="auto"/>
              </w:rPr>
            </w:pPr>
          </w:p>
        </w:tc>
        <w:tc>
          <w:tcPr>
            <w:tcW w:w="17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Through September</w:t>
            </w:r>
          </w:p>
        </w:tc>
      </w:tr>
      <w:tr>
        <w:trPr>
          <w:trHeight w:val="241"/>
        </w:trPr>
        <w:tc>
          <w:tcPr>
            <w:tcW w:w="7600" w:type="dxa"/>
            <w:vAlign w:val="bottom"/>
          </w:tcPr>
          <w:p>
            <w:pPr>
              <w:spacing w:after="0"/>
              <w:rPr>
                <w:sz w:val="20"/>
                <w:szCs w:val="20"/>
                <w:color w:val="auto"/>
              </w:rPr>
            </w:pPr>
          </w:p>
        </w:tc>
        <w:tc>
          <w:tcPr>
            <w:tcW w:w="17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3"/>
              </w:rPr>
              <w:t>September 30, 2021</w:t>
            </w:r>
          </w:p>
        </w:tc>
        <w:tc>
          <w:tcPr>
            <w:tcW w:w="160" w:type="dxa"/>
            <w:vAlign w:val="bottom"/>
          </w:tcPr>
          <w:p>
            <w:pPr>
              <w:spacing w:after="0"/>
              <w:rPr>
                <w:sz w:val="20"/>
                <w:szCs w:val="20"/>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30, 2021</w:t>
            </w:r>
          </w:p>
        </w:tc>
      </w:tr>
      <w:tr>
        <w:trPr>
          <w:trHeight w:val="256"/>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Warrants</w:t>
            </w:r>
          </w:p>
        </w:tc>
        <w:tc>
          <w:tcPr>
            <w:tcW w:w="17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1,075,327</w:t>
            </w:r>
          </w:p>
        </w:tc>
        <w:tc>
          <w:tcPr>
            <w:tcW w:w="18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1,075,327</w:t>
            </w:r>
          </w:p>
        </w:tc>
      </w:tr>
      <w:tr>
        <w:trPr>
          <w:trHeight w:val="250"/>
        </w:trPr>
        <w:tc>
          <w:tcPr>
            <w:tcW w:w="7600" w:type="dxa"/>
            <w:vAlign w:val="bottom"/>
          </w:tcPr>
          <w:p>
            <w:pPr>
              <w:ind w:left="20"/>
              <w:spacing w:after="0"/>
              <w:rPr>
                <w:sz w:val="20"/>
                <w:szCs w:val="20"/>
                <w:color w:val="auto"/>
              </w:rPr>
            </w:pPr>
            <w:r>
              <w:rPr>
                <w:rFonts w:ascii="Arial" w:cs="Arial" w:eastAsia="Arial" w:hAnsi="Arial"/>
                <w:sz w:val="18"/>
                <w:szCs w:val="18"/>
                <w:color w:val="auto"/>
              </w:rPr>
              <w:t>PWP OpCo Units</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7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RSUs and PSUs</w:t>
            </w:r>
          </w:p>
        </w:tc>
        <w:tc>
          <w:tcPr>
            <w:tcW w:w="17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16,112</w:t>
            </w:r>
          </w:p>
        </w:tc>
        <w:tc>
          <w:tcPr>
            <w:tcW w:w="160" w:type="dxa"/>
            <w:vAlign w:val="bottom"/>
            <w:tcBorders>
              <w:bottom w:val="single" w:sz="8" w:color="CFF0FC"/>
            </w:tcBorders>
            <w:shd w:val="clear" w:color="auto" w:fill="CFF0FC"/>
          </w:tcPr>
          <w:p>
            <w:pPr>
              <w:spacing w:after="0"/>
              <w:rPr>
                <w:sz w:val="22"/>
                <w:szCs w:val="22"/>
                <w:color w:val="auto"/>
              </w:rPr>
            </w:pPr>
          </w:p>
        </w:tc>
        <w:tc>
          <w:tcPr>
            <w:tcW w:w="17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16,112</w:t>
            </w:r>
          </w:p>
        </w:tc>
      </w:tr>
      <w:tr>
        <w:trPr>
          <w:trHeight w:val="244"/>
        </w:trPr>
        <w:tc>
          <w:tcPr>
            <w:tcW w:w="760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1,091,439</w:t>
            </w:r>
          </w:p>
        </w:tc>
        <w:tc>
          <w:tcPr>
            <w:tcW w:w="1880" w:type="dxa"/>
            <w:vAlign w:val="bottom"/>
            <w:gridSpan w:val="2"/>
          </w:tcPr>
          <w:p>
            <w:pPr>
              <w:jc w:val="right"/>
              <w:ind w:right="10"/>
              <w:spacing w:after="0"/>
              <w:rPr>
                <w:sz w:val="20"/>
                <w:szCs w:val="20"/>
                <w:color w:val="auto"/>
              </w:rPr>
            </w:pPr>
            <w:r>
              <w:rPr>
                <w:rFonts w:ascii="Arial" w:cs="Arial" w:eastAsia="Arial" w:hAnsi="Arial"/>
                <w:sz w:val="18"/>
                <w:szCs w:val="18"/>
                <w:color w:val="auto"/>
              </w:rPr>
              <w:t>1,091,439</w:t>
            </w:r>
          </w:p>
        </w:tc>
      </w:tr>
      <w:tr>
        <w:trPr>
          <w:trHeight w:val="20"/>
        </w:trPr>
        <w:tc>
          <w:tcPr>
            <w:tcW w:w="760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-193675</wp:posOffset>
            </wp:positionV>
            <wp:extent cx="93980" cy="57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93980" cy="571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38" w:name="page39"/>
    <w:bookmarkEnd w:id="38"/>
    <w:p>
      <w:pPr>
        <w:ind w:left="4580"/>
        <w:spacing w:after="0"/>
        <w:rPr>
          <w:sz w:val="20"/>
          <w:szCs w:val="20"/>
          <w:color w:val="auto"/>
        </w:rPr>
      </w:pPr>
      <w:r>
        <w:rPr>
          <w:rFonts w:ascii="Arial" w:cs="Arial" w:eastAsia="Arial" w:hAnsi="Arial"/>
          <w:sz w:val="18"/>
          <w:szCs w:val="18"/>
          <w:b w:val="1"/>
          <w:bCs w:val="1"/>
          <w:color w:val="auto"/>
        </w:rPr>
        <w:t>Perella Weinberg Partners</w:t>
      </w:r>
    </w:p>
    <w:p>
      <w:pPr>
        <w:spacing w:after="0" w:line="7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Fair Value Measurements and Investments</w:t>
      </w:r>
    </w:p>
    <w:p>
      <w:pPr>
        <w:spacing w:after="0" w:line="243" w:lineRule="exact"/>
        <w:rPr>
          <w:sz w:val="20"/>
          <w:szCs w:val="20"/>
          <w:color w:val="auto"/>
        </w:rPr>
      </w:pPr>
    </w:p>
    <w:p>
      <w:pPr>
        <w:jc w:val="both"/>
        <w:ind w:firstLine="464"/>
        <w:spacing w:after="0" w:line="270" w:lineRule="auto"/>
        <w:rPr>
          <w:sz w:val="20"/>
          <w:szCs w:val="20"/>
          <w:color w:val="auto"/>
        </w:rPr>
      </w:pPr>
      <w:r>
        <w:rPr>
          <w:rFonts w:ascii="Arial" w:cs="Arial" w:eastAsia="Arial" w:hAnsi="Arial"/>
          <w:sz w:val="18"/>
          <w:szCs w:val="18"/>
          <w:color w:val="auto"/>
        </w:rPr>
        <w:t>Fair value is generally based on quoted prices, however if quoted market prices are not available, fair value is determined based on other relevant factors, including dealer price quotations, price activity for equivalent instruments and valuation pricing models. The Company established a fair value hierarchy which prioritizes and ranks the level of market price observability used in measuring financial instruments at fair value. Market price observability is affected by a number of factors, including the type of instrument, the characteristics specific to the instrument and the state of the marketplace (including the existence and transparency of transactions between market participants). Financial instruments with readily available, actively quoted prices or for which fair value can be measured from actively quoted prices in an orderly market will generally have a higher degree of market price observability and a lesser degree of judgment used in measuring fair value.</w:t>
      </w:r>
    </w:p>
    <w:p>
      <w:pPr>
        <w:spacing w:after="0" w:line="193" w:lineRule="exact"/>
        <w:rPr>
          <w:sz w:val="20"/>
          <w:szCs w:val="20"/>
          <w:color w:val="auto"/>
        </w:rPr>
      </w:pPr>
    </w:p>
    <w:p>
      <w:pPr>
        <w:ind w:left="480"/>
        <w:spacing w:after="0"/>
        <w:rPr>
          <w:sz w:val="20"/>
          <w:szCs w:val="20"/>
          <w:color w:val="auto"/>
        </w:rPr>
      </w:pPr>
      <w:r>
        <w:rPr>
          <w:rFonts w:ascii="Arial" w:cs="Arial" w:eastAsia="Arial" w:hAnsi="Arial"/>
          <w:sz w:val="16"/>
          <w:szCs w:val="16"/>
          <w:color w:val="auto"/>
        </w:rPr>
        <w:t>Financial instruments measured and reported at fair value are classified and disclosed in one of the following categories (from highest to lowest)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based on inputs:</w:t>
      </w:r>
    </w:p>
    <w:p>
      <w:pPr>
        <w:spacing w:after="0" w:line="238" w:lineRule="exact"/>
        <w:rPr>
          <w:sz w:val="20"/>
          <w:szCs w:val="20"/>
          <w:color w:val="auto"/>
        </w:rPr>
      </w:pPr>
    </w:p>
    <w:p>
      <w:pPr>
        <w:ind w:left="840"/>
        <w:spacing w:after="0"/>
        <w:rPr>
          <w:sz w:val="20"/>
          <w:szCs w:val="20"/>
          <w:color w:val="auto"/>
        </w:rPr>
      </w:pPr>
      <w:r>
        <w:rPr>
          <w:rFonts w:ascii="Arial" w:cs="Arial" w:eastAsia="Arial" w:hAnsi="Arial"/>
          <w:sz w:val="18"/>
          <w:szCs w:val="18"/>
          <w:color w:val="auto"/>
        </w:rPr>
        <w:t>Level 1 – Unadjusted quoted prices are available in active markets for identical financial instruments as of the reporting date.</w:t>
      </w:r>
    </w:p>
    <w:p>
      <w:pPr>
        <w:spacing w:after="0" w:line="239" w:lineRule="exact"/>
        <w:rPr>
          <w:sz w:val="20"/>
          <w:szCs w:val="20"/>
          <w:color w:val="auto"/>
        </w:rPr>
      </w:pPr>
    </w:p>
    <w:p>
      <w:pPr>
        <w:ind w:left="840"/>
        <w:spacing w:after="0" w:line="293" w:lineRule="auto"/>
        <w:rPr>
          <w:sz w:val="20"/>
          <w:szCs w:val="20"/>
          <w:color w:val="auto"/>
        </w:rPr>
      </w:pPr>
      <w:r>
        <w:rPr>
          <w:rFonts w:ascii="Arial" w:cs="Arial" w:eastAsia="Arial" w:hAnsi="Arial"/>
          <w:sz w:val="18"/>
          <w:szCs w:val="18"/>
          <w:color w:val="auto"/>
        </w:rPr>
        <w:t>Level 2 – Pricing inputs are observable inputs other than quoted prices included in Level 1, such as quoted prices for similar assets or liabilities in active markets or quoted prices for identical assets or liabilities in inactive markets.</w:t>
      </w:r>
    </w:p>
    <w:p>
      <w:pPr>
        <w:spacing w:after="0" w:line="170" w:lineRule="exact"/>
        <w:rPr>
          <w:sz w:val="20"/>
          <w:szCs w:val="20"/>
          <w:color w:val="auto"/>
        </w:rPr>
      </w:pPr>
    </w:p>
    <w:p>
      <w:pPr>
        <w:ind w:left="840"/>
        <w:spacing w:after="0" w:line="324" w:lineRule="auto"/>
        <w:rPr>
          <w:sz w:val="20"/>
          <w:szCs w:val="20"/>
          <w:color w:val="auto"/>
        </w:rPr>
      </w:pPr>
      <w:r>
        <w:rPr>
          <w:rFonts w:ascii="Arial" w:cs="Arial" w:eastAsia="Arial" w:hAnsi="Arial"/>
          <w:sz w:val="17"/>
          <w:szCs w:val="17"/>
          <w:color w:val="auto"/>
        </w:rPr>
        <w:t>Level 3 – Pricing inputs are unobservable for the financial instruments and includes situations where there is little, if any, market activity for the financial instrument. The inputs into the determination of fair value require significant management judgment or estimation.</w:t>
      </w:r>
    </w:p>
    <w:p>
      <w:pPr>
        <w:spacing w:after="0" w:line="147" w:lineRule="exact"/>
        <w:rPr>
          <w:sz w:val="20"/>
          <w:szCs w:val="20"/>
          <w:color w:val="auto"/>
        </w:rPr>
      </w:pPr>
    </w:p>
    <w:p>
      <w:pPr>
        <w:jc w:val="both"/>
        <w:ind w:firstLine="464"/>
        <w:spacing w:after="0" w:line="275" w:lineRule="auto"/>
        <w:rPr>
          <w:sz w:val="20"/>
          <w:szCs w:val="20"/>
          <w:color w:val="auto"/>
        </w:rPr>
      </w:pPr>
      <w:r>
        <w:rPr>
          <w:rFonts w:ascii="Arial" w:cs="Arial" w:eastAsia="Arial" w:hAnsi="Arial"/>
          <w:sz w:val="18"/>
          <w:szCs w:val="18"/>
          <w:color w:val="auto"/>
        </w:rPr>
        <w:t>In certain cases, the inputs used to measure fair value may fall into different levels of the fair value hierarchy. In such cases, the determination of which category within the fair value hierarchy is appropriate for any given investment is based on the lowest level of input that is significant to the fair value measurement. The Company’s assessment of the significance of a particular input to the fair value measurement in its entirety requires judgment and considers factors specific to the instrument.</w:t>
      </w:r>
    </w:p>
    <w:p>
      <w:pPr>
        <w:spacing w:after="0" w:line="185"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8"/>
          <w:szCs w:val="18"/>
          <w:color w:val="auto"/>
        </w:rPr>
        <w:t>The fair values of cash, restricted cash, accounts receivable, due from related parties, accounts payable and certain accrued liabilities approximate their carrying amounts due to the short-term nature of these items. Due to the variable rate nature of the Revolving Credit Facility, the carrying value as of December 31, 2020 approximated the fair value.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39" w:lineRule="exact"/>
        <w:rPr>
          <w:sz w:val="20"/>
          <w:szCs w:val="20"/>
          <w:color w:val="auto"/>
        </w:rPr>
      </w:pPr>
    </w:p>
    <w:p>
      <w:pPr>
        <w:jc w:val="both"/>
        <w:ind w:right="20" w:firstLine="464"/>
        <w:spacing w:after="0" w:line="293" w:lineRule="auto"/>
        <w:rPr>
          <w:sz w:val="20"/>
          <w:szCs w:val="20"/>
          <w:color w:val="auto"/>
        </w:rPr>
      </w:pPr>
      <w:r>
        <w:rPr>
          <w:rFonts w:ascii="Arial" w:cs="Arial" w:eastAsia="Arial" w:hAnsi="Arial"/>
          <w:sz w:val="18"/>
          <w:szCs w:val="18"/>
          <w:color w:val="auto"/>
        </w:rPr>
        <w:t>The following table summarizes the categorization and fair value estimate of the Company’s financial instruments that are measured on a recurring basis pursuant to the above fair value hierarchy levels as of September 30, 2021 and December 31, 2020:</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8"/>
                <w:szCs w:val="18"/>
                <w:b w:val="1"/>
                <w:bCs w:val="1"/>
                <w:color w:val="auto"/>
              </w:rPr>
              <w:t>September 30, 2021</w:t>
            </w:r>
          </w:p>
        </w:tc>
        <w:tc>
          <w:tcPr>
            <w:tcW w:w="4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2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Level 1</w:t>
            </w:r>
          </w:p>
        </w:tc>
        <w:tc>
          <w:tcPr>
            <w:tcW w:w="1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Level 2</w:t>
            </w:r>
          </w:p>
        </w:tc>
        <w:tc>
          <w:tcPr>
            <w:tcW w:w="160" w:type="dxa"/>
            <w:vAlign w:val="bottom"/>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Level 3</w:t>
            </w:r>
          </w:p>
        </w:tc>
        <w:tc>
          <w:tcPr>
            <w:tcW w:w="48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56"/>
        </w:trPr>
        <w:tc>
          <w:tcPr>
            <w:tcW w:w="42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Financial assets</w:t>
            </w:r>
          </w:p>
        </w:tc>
        <w:tc>
          <w:tcPr>
            <w:tcW w:w="320" w:type="dxa"/>
            <w:vAlign w:val="bottom"/>
            <w:shd w:val="clear" w:color="auto" w:fill="CFF0FC"/>
          </w:tcPr>
          <w:p>
            <w:pPr>
              <w:spacing w:after="0"/>
              <w:rPr>
                <w:sz w:val="22"/>
                <w:szCs w:val="22"/>
                <w:color w:val="auto"/>
              </w:rPr>
            </w:pPr>
          </w:p>
        </w:tc>
        <w:tc>
          <w:tcPr>
            <w:tcW w:w="13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3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2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240" w:type="dxa"/>
            <w:vAlign w:val="bottom"/>
          </w:tcPr>
          <w:p>
            <w:pPr>
              <w:ind w:left="120"/>
              <w:spacing w:after="0"/>
              <w:rPr>
                <w:sz w:val="20"/>
                <w:szCs w:val="20"/>
                <w:color w:val="auto"/>
              </w:rPr>
            </w:pPr>
            <w:r>
              <w:rPr>
                <w:rFonts w:ascii="Arial" w:cs="Arial" w:eastAsia="Arial" w:hAnsi="Arial"/>
                <w:sz w:val="18"/>
                <w:szCs w:val="18"/>
                <w:color w:val="auto"/>
              </w:rPr>
              <w:t>Investments in mutual funds and other</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475</w:t>
            </w: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95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49"/>
        </w:trPr>
        <w:tc>
          <w:tcPr>
            <w:tcW w:w="42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Cash surrender value of company-owned life</w:t>
            </w:r>
          </w:p>
        </w:tc>
        <w:tc>
          <w:tcPr>
            <w:tcW w:w="320" w:type="dxa"/>
            <w:vAlign w:val="bottom"/>
            <w:shd w:val="clear" w:color="auto" w:fill="CFF0FC"/>
          </w:tcPr>
          <w:p>
            <w:pPr>
              <w:spacing w:after="0"/>
              <w:rPr>
                <w:sz w:val="21"/>
                <w:szCs w:val="21"/>
                <w:color w:val="auto"/>
              </w:rPr>
            </w:pPr>
          </w:p>
        </w:tc>
        <w:tc>
          <w:tcPr>
            <w:tcW w:w="1340" w:type="dxa"/>
            <w:vAlign w:val="bottom"/>
            <w:vMerge w:val="restart"/>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20" w:type="dxa"/>
            <w:vAlign w:val="bottom"/>
            <w:vMerge w:val="restart"/>
            <w:shd w:val="clear" w:color="auto" w:fill="CFF0FC"/>
          </w:tcPr>
          <w:p>
            <w:pPr>
              <w:jc w:val="right"/>
              <w:ind w:right="10"/>
              <w:spacing w:after="0"/>
              <w:rPr>
                <w:sz w:val="20"/>
                <w:szCs w:val="20"/>
                <w:color w:val="auto"/>
              </w:rPr>
            </w:pPr>
            <w:r>
              <w:rPr>
                <w:rFonts w:ascii="Arial" w:cs="Arial" w:eastAsia="Arial" w:hAnsi="Arial"/>
                <w:sz w:val="18"/>
                <w:szCs w:val="18"/>
                <w:color w:val="auto"/>
              </w:rPr>
              <w:t>893</w:t>
            </w:r>
          </w:p>
        </w:tc>
        <w:tc>
          <w:tcPr>
            <w:tcW w:w="16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480" w:type="dxa"/>
            <w:vAlign w:val="bottom"/>
            <w:vMerge w:val="restart"/>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80" w:type="dxa"/>
            <w:vAlign w:val="bottom"/>
            <w:vMerge w:val="restart"/>
            <w:shd w:val="clear" w:color="auto" w:fill="CFF0FC"/>
          </w:tcPr>
          <w:p>
            <w:pPr>
              <w:jc w:val="right"/>
              <w:ind w:right="10"/>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30"/>
        </w:trPr>
        <w:tc>
          <w:tcPr>
            <w:tcW w:w="42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insurance</w:t>
            </w:r>
          </w:p>
        </w:tc>
        <w:tc>
          <w:tcPr>
            <w:tcW w:w="32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vMerge w:val="continue"/>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vMerge w:val="continue"/>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spacing w:after="0"/>
              <w:rPr>
                <w:sz w:val="20"/>
                <w:szCs w:val="20"/>
                <w:color w:val="auto"/>
              </w:rPr>
            </w:pPr>
          </w:p>
        </w:tc>
        <w:tc>
          <w:tcPr>
            <w:tcW w:w="480" w:type="dxa"/>
            <w:vAlign w:val="bottom"/>
            <w:tcBorders>
              <w:bottom w:val="single" w:sz="8" w:color="auto"/>
            </w:tcBorders>
            <w:vMerge w:val="continue"/>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200"/>
              <w:spacing w:after="0"/>
              <w:rPr>
                <w:sz w:val="20"/>
                <w:szCs w:val="20"/>
                <w:color w:val="auto"/>
              </w:rPr>
            </w:pPr>
            <w:r>
              <w:rPr>
                <w:rFonts w:ascii="Arial" w:cs="Arial" w:eastAsia="Arial" w:hAnsi="Arial"/>
                <w:sz w:val="18"/>
                <w:szCs w:val="18"/>
                <w:color w:val="auto"/>
              </w:rPr>
              <w:t>Total financial assets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475</w:t>
            </w: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893</w:t>
            </w:r>
          </w:p>
        </w:tc>
        <w:tc>
          <w:tcPr>
            <w:tcW w:w="1300" w:type="dxa"/>
            <w:vAlign w:val="bottom"/>
            <w:gridSpan w:val="2"/>
          </w:tcPr>
          <w:p>
            <w:pPr>
              <w:jc w:val="right"/>
              <w:ind w:right="95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1,368</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40" w:type="dxa"/>
            <w:vAlign w:val="bottom"/>
          </w:tcPr>
          <w:p>
            <w:pPr>
              <w:ind w:left="20"/>
              <w:spacing w:after="0"/>
              <w:rPr>
                <w:sz w:val="20"/>
                <w:szCs w:val="20"/>
                <w:color w:val="auto"/>
              </w:rPr>
            </w:pPr>
            <w:r>
              <w:rPr>
                <w:rFonts w:ascii="Arial" w:cs="Arial" w:eastAsia="Arial" w:hAnsi="Arial"/>
                <w:sz w:val="18"/>
                <w:szCs w:val="18"/>
                <w:b w:val="1"/>
                <w:bCs w:val="1"/>
                <w:color w:val="auto"/>
              </w:rPr>
              <w:t>Financial liabilities</w:t>
            </w:r>
          </w:p>
        </w:tc>
        <w:tc>
          <w:tcPr>
            <w:tcW w:w="3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2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Warrant liabilities - Public warrants</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24,226</w:t>
            </w:r>
          </w:p>
        </w:tc>
        <w:tc>
          <w:tcPr>
            <w:tcW w:w="4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95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24,226</w:t>
            </w:r>
          </w:p>
        </w:tc>
        <w:tc>
          <w:tcPr>
            <w:tcW w:w="0" w:type="dxa"/>
            <w:vAlign w:val="bottom"/>
          </w:tcPr>
          <w:p>
            <w:pPr>
              <w:spacing w:after="0"/>
              <w:rPr>
                <w:sz w:val="1"/>
                <w:szCs w:val="1"/>
                <w:color w:val="auto"/>
              </w:rPr>
            </w:pPr>
          </w:p>
        </w:tc>
      </w:tr>
      <w:tr>
        <w:trPr>
          <w:trHeight w:val="250"/>
        </w:trPr>
        <w:tc>
          <w:tcPr>
            <w:tcW w:w="4240" w:type="dxa"/>
            <w:vAlign w:val="bottom"/>
          </w:tcPr>
          <w:p>
            <w:pPr>
              <w:ind w:left="120"/>
              <w:spacing w:after="0"/>
              <w:rPr>
                <w:sz w:val="20"/>
                <w:szCs w:val="20"/>
                <w:color w:val="auto"/>
              </w:rPr>
            </w:pPr>
            <w:r>
              <w:rPr>
                <w:rFonts w:ascii="Arial" w:cs="Arial" w:eastAsia="Arial" w:hAnsi="Arial"/>
                <w:sz w:val="18"/>
                <w:szCs w:val="18"/>
                <w:color w:val="auto"/>
              </w:rPr>
              <w:t>Warrant liabilities - Private warrants</w:t>
            </w:r>
          </w:p>
        </w:tc>
        <w:tc>
          <w:tcPr>
            <w:tcW w:w="3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740</w:t>
            </w:r>
          </w:p>
        </w:tc>
        <w:tc>
          <w:tcPr>
            <w:tcW w:w="1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96"/>
        </w:trPr>
        <w:tc>
          <w:tcPr>
            <w:tcW w:w="42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financial liabilities</w:t>
            </w: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24,226</w:t>
            </w:r>
          </w:p>
        </w:tc>
        <w:tc>
          <w:tcPr>
            <w:tcW w:w="1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auto"/>
            </w:tcBorders>
            <w:shd w:val="clear" w:color="auto" w:fill="CFF0FC"/>
          </w:tcPr>
          <w:p>
            <w:pPr>
              <w:jc w:val="right"/>
              <w:ind w:right="95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740</w:t>
            </w:r>
          </w:p>
        </w:tc>
        <w:tc>
          <w:tcPr>
            <w:tcW w:w="16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24,966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-1042035</wp:posOffset>
            </wp:positionV>
            <wp:extent cx="102870" cy="57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-1042035</wp:posOffset>
            </wp:positionV>
            <wp:extent cx="102870" cy="57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-1042035</wp:posOffset>
            </wp:positionV>
            <wp:extent cx="102870" cy="57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-24765</wp:posOffset>
            </wp:positionV>
            <wp:extent cx="10287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-7620</wp:posOffset>
            </wp:positionV>
            <wp:extent cx="10287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-24765</wp:posOffset>
            </wp:positionV>
            <wp:extent cx="10287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-7620</wp:posOffset>
            </wp:positionV>
            <wp:extent cx="10287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-24765</wp:posOffset>
            </wp:positionV>
            <wp:extent cx="10287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10287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39" w:name="page40"/>
    <w:bookmarkEnd w:id="39"/>
    <w:p>
      <w:pPr>
        <w:ind w:left="4580"/>
        <w:spacing w:after="0"/>
        <w:rPr>
          <w:sz w:val="20"/>
          <w:szCs w:val="20"/>
          <w:color w:val="auto"/>
        </w:rPr>
      </w:pPr>
      <w:r>
        <w:rPr>
          <w:rFonts w:ascii="Arial" w:cs="Arial" w:eastAsia="Arial" w:hAnsi="Arial"/>
          <w:sz w:val="18"/>
          <w:szCs w:val="18"/>
          <w:b w:val="1"/>
          <w:bCs w:val="1"/>
          <w:color w:val="auto"/>
        </w:rPr>
        <w:t>Perella Weinberg Partners</w:t>
      </w:r>
    </w:p>
    <w:p>
      <w:pPr>
        <w:spacing w:after="0" w:line="7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4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8"/>
                <w:szCs w:val="18"/>
                <w:b w:val="1"/>
                <w:bCs w:val="1"/>
                <w:color w:val="auto"/>
              </w:rPr>
              <w:t>December 31, 2020</w:t>
            </w:r>
          </w:p>
        </w:tc>
        <w:tc>
          <w:tcPr>
            <w:tcW w:w="3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240" w:type="dxa"/>
            <w:vAlign w:val="bottom"/>
          </w:tcPr>
          <w:p>
            <w:pPr>
              <w:spacing w:after="0"/>
              <w:rPr>
                <w:sz w:val="21"/>
                <w:szCs w:val="21"/>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Level 1</w:t>
            </w:r>
          </w:p>
        </w:tc>
        <w:tc>
          <w:tcPr>
            <w:tcW w:w="48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Level 2</w:t>
            </w:r>
          </w:p>
        </w:tc>
        <w:tc>
          <w:tcPr>
            <w:tcW w:w="48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Level 3</w:t>
            </w:r>
          </w:p>
        </w:tc>
        <w:tc>
          <w:tcPr>
            <w:tcW w:w="36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57"/>
        </w:trPr>
        <w:tc>
          <w:tcPr>
            <w:tcW w:w="42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Financial assets</w:t>
            </w:r>
          </w:p>
        </w:tc>
        <w:tc>
          <w:tcPr>
            <w:tcW w:w="118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26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2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240" w:type="dxa"/>
            <w:vAlign w:val="bottom"/>
          </w:tcPr>
          <w:p>
            <w:pPr>
              <w:ind w:left="120"/>
              <w:spacing w:after="0"/>
              <w:rPr>
                <w:sz w:val="20"/>
                <w:szCs w:val="20"/>
                <w:color w:val="auto"/>
              </w:rPr>
            </w:pPr>
            <w:r>
              <w:rPr>
                <w:rFonts w:ascii="Arial" w:cs="Arial" w:eastAsia="Arial" w:hAnsi="Arial"/>
                <w:sz w:val="18"/>
                <w:szCs w:val="18"/>
                <w:color w:val="auto"/>
              </w:rPr>
              <w:t>Investments in mutual funds and other</w:t>
            </w:r>
          </w:p>
        </w:tc>
        <w:tc>
          <w:tcPr>
            <w:tcW w:w="1180" w:type="dxa"/>
            <w:vAlign w:val="bottom"/>
          </w:tcPr>
          <w:p>
            <w:pPr>
              <w:jc w:val="right"/>
              <w:ind w:right="97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584</w:t>
            </w:r>
          </w:p>
        </w:tc>
        <w:tc>
          <w:tcPr>
            <w:tcW w:w="1300" w:type="dxa"/>
            <w:vAlign w:val="bottom"/>
            <w:gridSpan w:val="2"/>
          </w:tcPr>
          <w:p>
            <w:pPr>
              <w:jc w:val="right"/>
              <w:ind w:right="95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7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49"/>
        </w:trPr>
        <w:tc>
          <w:tcPr>
            <w:tcW w:w="42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Cash surrender value of company-owned life</w:t>
            </w:r>
          </w:p>
        </w:tc>
        <w:tc>
          <w:tcPr>
            <w:tcW w:w="1180" w:type="dxa"/>
            <w:vAlign w:val="bottom"/>
            <w:shd w:val="clear" w:color="auto" w:fill="CFF0FC"/>
          </w:tcPr>
          <w:p>
            <w:pPr>
              <w:spacing w:after="0"/>
              <w:rPr>
                <w:sz w:val="21"/>
                <w:szCs w:val="21"/>
                <w:color w:val="auto"/>
              </w:rPr>
            </w:pPr>
          </w:p>
        </w:tc>
        <w:tc>
          <w:tcPr>
            <w:tcW w:w="480" w:type="dxa"/>
            <w:vAlign w:val="bottom"/>
            <w:vMerge w:val="restart"/>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480" w:type="dxa"/>
            <w:vAlign w:val="bottom"/>
            <w:vMerge w:val="restart"/>
            <w:shd w:val="clear" w:color="auto" w:fill="CFF0FC"/>
          </w:tcPr>
          <w:p>
            <w:pPr>
              <w:jc w:val="right"/>
              <w:ind w:right="10"/>
              <w:spacing w:after="0"/>
              <w:rPr>
                <w:sz w:val="20"/>
                <w:szCs w:val="20"/>
                <w:color w:val="auto"/>
              </w:rPr>
            </w:pPr>
            <w:r>
              <w:rPr>
                <w:rFonts w:ascii="Arial" w:cs="Arial" w:eastAsia="Arial" w:hAnsi="Arial"/>
                <w:sz w:val="18"/>
                <w:szCs w:val="18"/>
                <w:color w:val="auto"/>
              </w:rPr>
              <w:t>857</w:t>
            </w:r>
          </w:p>
        </w:tc>
        <w:tc>
          <w:tcPr>
            <w:tcW w:w="16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360" w:type="dxa"/>
            <w:vAlign w:val="bottom"/>
            <w:vMerge w:val="restart"/>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80" w:type="dxa"/>
            <w:vAlign w:val="bottom"/>
            <w:vMerge w:val="restart"/>
            <w:shd w:val="clear" w:color="auto" w:fill="CFF0FC"/>
          </w:tcPr>
          <w:p>
            <w:pPr>
              <w:jc w:val="right"/>
              <w:ind w:right="10"/>
              <w:spacing w:after="0"/>
              <w:rPr>
                <w:sz w:val="20"/>
                <w:szCs w:val="20"/>
                <w:color w:val="auto"/>
              </w:rPr>
            </w:pPr>
            <w:r>
              <w:rPr>
                <w:rFonts w:ascii="Arial" w:cs="Arial" w:eastAsia="Arial" w:hAnsi="Arial"/>
                <w:sz w:val="18"/>
                <w:szCs w:val="18"/>
                <w:color w:val="auto"/>
              </w:rPr>
              <w:t>857</w:t>
            </w:r>
          </w:p>
        </w:tc>
        <w:tc>
          <w:tcPr>
            <w:tcW w:w="0" w:type="dxa"/>
            <w:vAlign w:val="bottom"/>
          </w:tcPr>
          <w:p>
            <w:pPr>
              <w:spacing w:after="0"/>
              <w:rPr>
                <w:sz w:val="1"/>
                <w:szCs w:val="1"/>
                <w:color w:val="auto"/>
              </w:rPr>
            </w:pPr>
          </w:p>
        </w:tc>
      </w:tr>
      <w:tr>
        <w:trPr>
          <w:trHeight w:val="230"/>
        </w:trPr>
        <w:tc>
          <w:tcPr>
            <w:tcW w:w="42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insurance</w:t>
            </w:r>
          </w:p>
        </w:tc>
        <w:tc>
          <w:tcPr>
            <w:tcW w:w="1180" w:type="dxa"/>
            <w:vAlign w:val="bottom"/>
            <w:tcBorders>
              <w:bottom w:val="single" w:sz="8" w:color="auto"/>
            </w:tcBorders>
            <w:shd w:val="clear" w:color="auto" w:fill="CFF0FC"/>
          </w:tcPr>
          <w:p>
            <w:pPr>
              <w:spacing w:after="0"/>
              <w:rPr>
                <w:sz w:val="20"/>
                <w:szCs w:val="20"/>
                <w:color w:val="auto"/>
              </w:rPr>
            </w:pPr>
          </w:p>
        </w:tc>
        <w:tc>
          <w:tcPr>
            <w:tcW w:w="480" w:type="dxa"/>
            <w:vAlign w:val="bottom"/>
            <w:tcBorders>
              <w:bottom w:val="single" w:sz="8" w:color="auto"/>
            </w:tcBorders>
            <w:vMerge w:val="continue"/>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spacing w:after="0"/>
              <w:rPr>
                <w:sz w:val="20"/>
                <w:szCs w:val="20"/>
                <w:color w:val="auto"/>
              </w:rPr>
            </w:pPr>
          </w:p>
        </w:tc>
        <w:tc>
          <w:tcPr>
            <w:tcW w:w="480" w:type="dxa"/>
            <w:vAlign w:val="bottom"/>
            <w:tcBorders>
              <w:bottom w:val="single" w:sz="8" w:color="auto"/>
            </w:tcBorders>
            <w:vMerge w:val="continue"/>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spacing w:after="0"/>
              <w:rPr>
                <w:sz w:val="20"/>
                <w:szCs w:val="20"/>
                <w:color w:val="auto"/>
              </w:rPr>
            </w:pPr>
          </w:p>
        </w:tc>
        <w:tc>
          <w:tcPr>
            <w:tcW w:w="360" w:type="dxa"/>
            <w:vAlign w:val="bottom"/>
            <w:tcBorders>
              <w:bottom w:val="single" w:sz="8" w:color="auto"/>
            </w:tcBorders>
            <w:vMerge w:val="continue"/>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200"/>
              <w:spacing w:after="0"/>
              <w:rPr>
                <w:sz w:val="20"/>
                <w:szCs w:val="20"/>
                <w:color w:val="auto"/>
              </w:rPr>
            </w:pPr>
            <w:r>
              <w:rPr>
                <w:rFonts w:ascii="Arial" w:cs="Arial" w:eastAsia="Arial" w:hAnsi="Arial"/>
                <w:sz w:val="18"/>
                <w:szCs w:val="18"/>
                <w:color w:val="auto"/>
              </w:rPr>
              <w:t>Total financial assets</w:t>
            </w:r>
          </w:p>
        </w:tc>
        <w:tc>
          <w:tcPr>
            <w:tcW w:w="1180" w:type="dxa"/>
            <w:vAlign w:val="bottom"/>
          </w:tcPr>
          <w:p>
            <w:pPr>
              <w:jc w:val="right"/>
              <w:ind w:right="97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584</w:t>
            </w:r>
          </w:p>
        </w:tc>
        <w:tc>
          <w:tcPr>
            <w:tcW w:w="1300" w:type="dxa"/>
            <w:vAlign w:val="bottom"/>
            <w:gridSpan w:val="2"/>
          </w:tcPr>
          <w:p>
            <w:pPr>
              <w:jc w:val="right"/>
              <w:ind w:right="95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857</w:t>
            </w:r>
          </w:p>
        </w:tc>
        <w:tc>
          <w:tcPr>
            <w:tcW w:w="1420" w:type="dxa"/>
            <w:vAlign w:val="bottom"/>
            <w:gridSpan w:val="2"/>
          </w:tcPr>
          <w:p>
            <w:pPr>
              <w:jc w:val="right"/>
              <w:ind w:right="107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1,441</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-193675</wp:posOffset>
            </wp:positionV>
            <wp:extent cx="102870" cy="57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-193675</wp:posOffset>
            </wp:positionV>
            <wp:extent cx="102870" cy="57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-193675</wp:posOffset>
            </wp:positionV>
            <wp:extent cx="102870" cy="57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102870" cy="5715"/>
                    </a:xfrm>
                    <a:prstGeom prst="rect">
                      <a:avLst/>
                    </a:prstGeom>
                    <a:noFill/>
                  </pic:spPr>
                </pic:pic>
              </a:graphicData>
            </a:graphic>
          </wp:anchor>
        </w:drawing>
      </w:r>
    </w:p>
    <w:p>
      <w:pPr>
        <w:spacing w:after="0" w:line="19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Company had no transfers between fair value levels during the three and nine months ended September 30, 2021.</w:t>
      </w:r>
    </w:p>
    <w:p>
      <w:pPr>
        <w:spacing w:after="0" w:line="239" w:lineRule="exact"/>
        <w:rPr>
          <w:sz w:val="20"/>
          <w:szCs w:val="20"/>
          <w:color w:val="auto"/>
        </w:rPr>
      </w:pPr>
    </w:p>
    <w:p>
      <w:pPr>
        <w:jc w:val="both"/>
        <w:ind w:firstLine="464"/>
        <w:spacing w:after="0" w:line="293" w:lineRule="auto"/>
        <w:rPr>
          <w:sz w:val="20"/>
          <w:szCs w:val="20"/>
          <w:color w:val="auto"/>
        </w:rPr>
      </w:pPr>
      <w:r>
        <w:rPr>
          <w:rFonts w:ascii="Arial" w:cs="Arial" w:eastAsia="Arial" w:hAnsi="Arial"/>
          <w:sz w:val="18"/>
          <w:szCs w:val="18"/>
          <w:color w:val="auto"/>
        </w:rPr>
        <w:t>As of September 30, 2021 and December 31, 2020, the Company held investments related to a legacy deferred compensation program and securities, which are included in Prepaid expenses and other assets on the Condensed Consolidated Statements of Financial Condition.</w:t>
      </w:r>
    </w:p>
    <w:p>
      <w:pPr>
        <w:spacing w:after="0" w:line="170"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8"/>
          <w:szCs w:val="18"/>
          <w:color w:val="auto"/>
        </w:rPr>
        <w:t>The cash surrender value of company-owned life insurance is included in Prepaid expenses and other assets on the Condensed Consolidated Statements of Financial Condition at the amount that could be realized under the contract as of September 30, 2021 and December 31, 2020, which approximates fair value.</w:t>
      </w:r>
    </w:p>
    <w:p>
      <w:pPr>
        <w:spacing w:after="0" w:line="183" w:lineRule="exact"/>
        <w:rPr>
          <w:sz w:val="20"/>
          <w:szCs w:val="20"/>
          <w:color w:val="auto"/>
        </w:rPr>
      </w:pPr>
    </w:p>
    <w:p>
      <w:pPr>
        <w:jc w:val="both"/>
        <w:ind w:firstLine="464"/>
        <w:spacing w:after="0" w:line="324" w:lineRule="auto"/>
        <w:rPr>
          <w:sz w:val="20"/>
          <w:szCs w:val="20"/>
          <w:color w:val="auto"/>
        </w:rPr>
      </w:pPr>
      <w:r>
        <w:rPr>
          <w:rFonts w:ascii="Arial" w:cs="Arial" w:eastAsia="Arial" w:hAnsi="Arial"/>
          <w:sz w:val="17"/>
          <w:szCs w:val="17"/>
          <w:color w:val="auto"/>
        </w:rPr>
        <w:t>The public warrants are valued using quoted market prices on the Nasdaq Capital Market under the ticker PWPPW and are included in Warrant liabilities on the Condensed Consolidated Statements of Financial Condition. As of September 30, 2021, the price per public warrant was $3.16.</w:t>
      </w:r>
    </w:p>
    <w:p>
      <w:pPr>
        <w:spacing w:after="0" w:line="147" w:lineRule="exact"/>
        <w:rPr>
          <w:sz w:val="20"/>
          <w:szCs w:val="20"/>
          <w:color w:val="auto"/>
        </w:rPr>
      </w:pPr>
    </w:p>
    <w:p>
      <w:pPr>
        <w:jc w:val="both"/>
        <w:ind w:firstLine="464"/>
        <w:spacing w:after="0" w:line="285" w:lineRule="auto"/>
        <w:rPr>
          <w:sz w:val="20"/>
          <w:szCs w:val="20"/>
          <w:color w:val="auto"/>
        </w:rPr>
      </w:pPr>
      <w:r>
        <w:rPr>
          <w:rFonts w:ascii="Arial" w:cs="Arial" w:eastAsia="Arial" w:hAnsi="Arial"/>
          <w:sz w:val="17"/>
          <w:szCs w:val="17"/>
          <w:color w:val="auto"/>
        </w:rPr>
        <w:t>Management determines the fair value of the private warrants using the Black-Scholes option pricing valuation model (“Valuation Model”). The private warrants are classified as Level 3 as of September 30, 2021 because of the use of significant unobservable inputs in the Valuation Model. The inputs into the Valuation Model for the private warrants, including some significant unobservable inputs, were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September 30, 2021</w:t>
            </w:r>
          </w:p>
        </w:tc>
      </w:tr>
      <w:tr>
        <w:trPr>
          <w:trHeight w:val="257"/>
        </w:trPr>
        <w:tc>
          <w:tcPr>
            <w:tcW w:w="8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Risk-free rate of return</w:t>
            </w:r>
          </w:p>
        </w:tc>
        <w:tc>
          <w:tcPr>
            <w:tcW w:w="400" w:type="dxa"/>
            <w:vAlign w:val="bottom"/>
            <w:shd w:val="clear" w:color="auto" w:fill="CFF0FC"/>
          </w:tcPr>
          <w:p>
            <w:pPr>
              <w:spacing w:after="0"/>
              <w:rPr>
                <w:sz w:val="22"/>
                <w:szCs w:val="22"/>
                <w:color w:val="auto"/>
              </w:rPr>
            </w:pPr>
          </w:p>
        </w:tc>
        <w:tc>
          <w:tcPr>
            <w:tcW w:w="27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0.90 %</w:t>
            </w:r>
          </w:p>
        </w:tc>
      </w:tr>
      <w:tr>
        <w:trPr>
          <w:trHeight w:val="250"/>
        </w:trPr>
        <w:tc>
          <w:tcPr>
            <w:tcW w:w="810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400" w:type="dxa"/>
            <w:vAlign w:val="bottom"/>
          </w:tcPr>
          <w:p>
            <w:pPr>
              <w:spacing w:after="0"/>
              <w:rPr>
                <w:sz w:val="21"/>
                <w:szCs w:val="21"/>
                <w:color w:val="auto"/>
              </w:rPr>
            </w:pPr>
          </w:p>
        </w:tc>
        <w:tc>
          <w:tcPr>
            <w:tcW w:w="2740" w:type="dxa"/>
            <w:vAlign w:val="bottom"/>
          </w:tcPr>
          <w:p>
            <w:pPr>
              <w:jc w:val="right"/>
              <w:ind w:right="10"/>
              <w:spacing w:after="0"/>
              <w:rPr>
                <w:sz w:val="20"/>
                <w:szCs w:val="20"/>
                <w:color w:val="auto"/>
              </w:rPr>
            </w:pPr>
            <w:r>
              <w:rPr>
                <w:rFonts w:ascii="Arial" w:cs="Arial" w:eastAsia="Arial" w:hAnsi="Arial"/>
                <w:sz w:val="18"/>
                <w:szCs w:val="18"/>
                <w:color w:val="auto"/>
              </w:rPr>
              <w:t>27.50 %</w:t>
            </w:r>
          </w:p>
        </w:tc>
      </w:tr>
      <w:tr>
        <w:trPr>
          <w:trHeight w:val="263"/>
        </w:trPr>
        <w:tc>
          <w:tcPr>
            <w:tcW w:w="8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dividend yield</w:t>
            </w:r>
          </w:p>
        </w:tc>
        <w:tc>
          <w:tcPr>
            <w:tcW w:w="400" w:type="dxa"/>
            <w:vAlign w:val="bottom"/>
            <w:shd w:val="clear" w:color="auto" w:fill="CFF0FC"/>
          </w:tcPr>
          <w:p>
            <w:pPr>
              <w:spacing w:after="0"/>
              <w:rPr>
                <w:sz w:val="22"/>
                <w:szCs w:val="22"/>
                <w:color w:val="auto"/>
              </w:rPr>
            </w:pPr>
          </w:p>
        </w:tc>
        <w:tc>
          <w:tcPr>
            <w:tcW w:w="27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2.00 %</w:t>
            </w:r>
          </w:p>
        </w:tc>
      </w:tr>
      <w:tr>
        <w:trPr>
          <w:trHeight w:val="250"/>
        </w:trPr>
        <w:tc>
          <w:tcPr>
            <w:tcW w:w="8100" w:type="dxa"/>
            <w:vAlign w:val="bottom"/>
          </w:tcPr>
          <w:p>
            <w:pPr>
              <w:ind w:left="20"/>
              <w:spacing w:after="0"/>
              <w:rPr>
                <w:sz w:val="20"/>
                <w:szCs w:val="20"/>
                <w:color w:val="auto"/>
              </w:rPr>
            </w:pPr>
            <w:r>
              <w:rPr>
                <w:rFonts w:ascii="Arial" w:cs="Arial" w:eastAsia="Arial" w:hAnsi="Arial"/>
                <w:sz w:val="18"/>
                <w:szCs w:val="18"/>
                <w:color w:val="auto"/>
              </w:rPr>
              <w:t>Expected term (years)</w:t>
            </w:r>
          </w:p>
        </w:tc>
        <w:tc>
          <w:tcPr>
            <w:tcW w:w="400" w:type="dxa"/>
            <w:vAlign w:val="bottom"/>
          </w:tcPr>
          <w:p>
            <w:pPr>
              <w:spacing w:after="0"/>
              <w:rPr>
                <w:sz w:val="21"/>
                <w:szCs w:val="21"/>
                <w:color w:val="auto"/>
              </w:rPr>
            </w:pPr>
          </w:p>
        </w:tc>
        <w:tc>
          <w:tcPr>
            <w:tcW w:w="2740" w:type="dxa"/>
            <w:vAlign w:val="bottom"/>
          </w:tcPr>
          <w:p>
            <w:pPr>
              <w:jc w:val="right"/>
              <w:ind w:right="170"/>
              <w:spacing w:after="0"/>
              <w:rPr>
                <w:sz w:val="20"/>
                <w:szCs w:val="20"/>
                <w:color w:val="auto"/>
              </w:rPr>
            </w:pPr>
            <w:r>
              <w:rPr>
                <w:rFonts w:ascii="Arial" w:cs="Arial" w:eastAsia="Arial" w:hAnsi="Arial"/>
                <w:sz w:val="18"/>
                <w:szCs w:val="18"/>
                <w:color w:val="auto"/>
              </w:rPr>
              <w:t>5</w:t>
            </w:r>
          </w:p>
        </w:tc>
      </w:tr>
      <w:tr>
        <w:trPr>
          <w:trHeight w:val="263"/>
        </w:trPr>
        <w:tc>
          <w:tcPr>
            <w:tcW w:w="8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Exercise price per share</w:t>
            </w:r>
          </w:p>
        </w:tc>
        <w:tc>
          <w:tcPr>
            <w:tcW w:w="40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274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11.50</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Asset price per share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2740" w:type="dxa"/>
            <w:vAlign w:val="bottom"/>
          </w:tcPr>
          <w:p>
            <w:pPr>
              <w:jc w:val="right"/>
              <w:ind w:right="170"/>
              <w:spacing w:after="0"/>
              <w:rPr>
                <w:sz w:val="20"/>
                <w:szCs w:val="20"/>
                <w:color w:val="auto"/>
              </w:rPr>
            </w:pPr>
            <w:r>
              <w:rPr>
                <w:rFonts w:ascii="Arial" w:cs="Arial" w:eastAsia="Arial" w:hAnsi="Arial"/>
                <w:sz w:val="18"/>
                <w:szCs w:val="18"/>
                <w:color w:val="auto"/>
              </w:rPr>
              <w:t>13.28</w:t>
            </w:r>
          </w:p>
        </w:tc>
      </w:tr>
    </w:tbl>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Company’s use of the Valuation Model required the use of the following assumptions:</w:t>
      </w:r>
    </w:p>
    <w:p>
      <w:pPr>
        <w:spacing w:after="0" w:line="239" w:lineRule="exact"/>
        <w:rPr>
          <w:sz w:val="20"/>
          <w:szCs w:val="20"/>
          <w:color w:val="auto"/>
        </w:rPr>
      </w:pPr>
    </w:p>
    <w:p>
      <w:pPr>
        <w:jc w:val="both"/>
        <w:ind w:left="960"/>
        <w:spacing w:after="0" w:line="279" w:lineRule="auto"/>
        <w:rPr>
          <w:sz w:val="20"/>
          <w:szCs w:val="20"/>
          <w:color w:val="auto"/>
        </w:rPr>
      </w:pPr>
      <w:r>
        <w:rPr>
          <w:rFonts w:ascii="Arial" w:cs="Arial" w:eastAsia="Arial" w:hAnsi="Arial"/>
          <w:sz w:val="18"/>
          <w:szCs w:val="18"/>
          <w:color w:val="auto"/>
        </w:rPr>
        <w:t>The risk-free rate of return assumption was based on the expected term and a U.S. Treasury yield curve as of the date of the Business Combination. An increase in the risk-free interest rate, in isolation, would result in an increase in the fair value measurement of the warrant liabilities and vice versa.</w:t>
      </w:r>
    </w:p>
    <w:p>
      <w:pPr>
        <w:spacing w:after="0" w:line="183" w:lineRule="exact"/>
        <w:rPr>
          <w:sz w:val="20"/>
          <w:szCs w:val="20"/>
          <w:color w:val="auto"/>
        </w:rPr>
      </w:pPr>
    </w:p>
    <w:p>
      <w:pPr>
        <w:jc w:val="both"/>
        <w:ind w:left="960"/>
        <w:spacing w:after="0" w:line="279" w:lineRule="auto"/>
        <w:rPr>
          <w:sz w:val="20"/>
          <w:szCs w:val="20"/>
          <w:color w:val="auto"/>
        </w:rPr>
      </w:pPr>
      <w:r>
        <w:rPr>
          <w:rFonts w:ascii="Arial" w:cs="Arial" w:eastAsia="Arial" w:hAnsi="Arial"/>
          <w:sz w:val="18"/>
          <w:szCs w:val="18"/>
          <w:color w:val="auto"/>
        </w:rPr>
        <w:t>The expected volatility assumption was based on the weighted average of the implied volatility from the Company’s publicly traded warrants and the historical volatility of the Company’s publicly traded industry peers. An increase in the expected volatility, in isolation, would result in an increase in the fair value measurement of the warrant liabilities.</w:t>
      </w:r>
    </w:p>
    <w:p>
      <w:pPr>
        <w:spacing w:after="0" w:line="18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dividend yield was based on management</w:t>
      </w:r>
      <w:r>
        <w:rPr>
          <w:rFonts w:ascii="Arial" w:cs="Arial" w:eastAsia="Arial" w:hAnsi="Arial"/>
          <w:sz w:val="18"/>
          <w:szCs w:val="18"/>
          <w:color w:val="231F20"/>
        </w:rPr>
        <w:t>’</w:t>
      </w:r>
      <w:r>
        <w:rPr>
          <w:rFonts w:ascii="Arial" w:cs="Arial" w:eastAsia="Arial" w:hAnsi="Arial"/>
          <w:sz w:val="18"/>
          <w:szCs w:val="18"/>
          <w:color w:val="auto"/>
        </w:rPr>
        <w:t>s expectation that the Company will pay 2% dividends during the term.</w:t>
      </w:r>
    </w:p>
    <w:p>
      <w:pPr>
        <w:spacing w:after="0" w:line="239"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8"/>
          <w:szCs w:val="18"/>
          <w:color w:val="auto"/>
        </w:rPr>
        <w:t>The resulting valuation for the private warrants were determined to be $3.64 per unit as of September 30, 2021. The Company had approximately 203,333 private warrants outstanding as of September 30, 2021, resulting in a fair value of $0.7 million recorded within Warrant liabilities in the Condensed Consolidated Statements of Financial Condition.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40" w:name="page41"/>
    <w:bookmarkEnd w:id="40"/>
    <w:p>
      <w:pPr>
        <w:ind w:left="4580"/>
        <w:spacing w:after="0"/>
        <w:rPr>
          <w:sz w:val="20"/>
          <w:szCs w:val="20"/>
          <w:color w:val="auto"/>
        </w:rPr>
      </w:pPr>
      <w:r>
        <w:rPr>
          <w:rFonts w:ascii="Arial" w:cs="Arial" w:eastAsia="Arial" w:hAnsi="Arial"/>
          <w:sz w:val="18"/>
          <w:szCs w:val="18"/>
          <w:b w:val="1"/>
          <w:bCs w:val="1"/>
          <w:color w:val="auto"/>
        </w:rPr>
        <w:t>Perella Weinberg Partners</w:t>
      </w:r>
    </w:p>
    <w:p>
      <w:pPr>
        <w:spacing w:after="0" w:line="7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313"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following table presents changes in Level 3 financial liabilities measured at fair value for the period from June 24, 2021 to September 30, 2021:</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1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Private Warrants</w:t>
            </w:r>
          </w:p>
        </w:tc>
      </w:tr>
      <w:tr>
        <w:trPr>
          <w:trHeight w:val="257"/>
        </w:trPr>
        <w:tc>
          <w:tcPr>
            <w:tcW w:w="8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Business Combination</w:t>
            </w: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2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675</w:t>
            </w:r>
          </w:p>
        </w:tc>
      </w:tr>
      <w:tr>
        <w:trPr>
          <w:trHeight w:val="250"/>
        </w:trPr>
        <w:tc>
          <w:tcPr>
            <w:tcW w:w="8140" w:type="dxa"/>
            <w:vAlign w:val="bottom"/>
          </w:tcPr>
          <w:p>
            <w:pPr>
              <w:ind w:left="20"/>
              <w:spacing w:after="0"/>
              <w:rPr>
                <w:sz w:val="20"/>
                <w:szCs w:val="20"/>
                <w:color w:val="auto"/>
              </w:rPr>
            </w:pPr>
            <w:r>
              <w:rPr>
                <w:rFonts w:ascii="Arial" w:cs="Arial" w:eastAsia="Arial" w:hAnsi="Arial"/>
                <w:sz w:val="18"/>
                <w:szCs w:val="18"/>
                <w:color w:val="auto"/>
              </w:rPr>
              <w:t>Change in fair value</w:t>
            </w:r>
          </w:p>
        </w:tc>
        <w:tc>
          <w:tcPr>
            <w:tcW w:w="460" w:type="dxa"/>
            <w:vAlign w:val="bottom"/>
            <w:tcBorders>
              <w:bottom w:val="single" w:sz="8" w:color="auto"/>
            </w:tcBorders>
          </w:tcPr>
          <w:p>
            <w:pPr>
              <w:spacing w:after="0"/>
              <w:rPr>
                <w:sz w:val="21"/>
                <w:szCs w:val="21"/>
                <w:color w:val="auto"/>
              </w:rPr>
            </w:pPr>
          </w:p>
        </w:tc>
        <w:tc>
          <w:tcPr>
            <w:tcW w:w="2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65</w:t>
            </w:r>
          </w:p>
        </w:tc>
      </w:tr>
      <w:tr>
        <w:trPr>
          <w:trHeight w:val="290"/>
        </w:trPr>
        <w:tc>
          <w:tcPr>
            <w:tcW w:w="8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at end of period</w:t>
            </w: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26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740</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Investments</w:t>
      </w:r>
    </w:p>
    <w:p>
      <w:pPr>
        <w:spacing w:after="0" w:line="239" w:lineRule="exact"/>
        <w:rPr>
          <w:sz w:val="20"/>
          <w:szCs w:val="20"/>
          <w:color w:val="auto"/>
        </w:rPr>
      </w:pPr>
    </w:p>
    <w:p>
      <w:pPr>
        <w:jc w:val="both"/>
        <w:ind w:firstLine="464"/>
        <w:spacing w:after="0" w:line="275" w:lineRule="auto"/>
        <w:rPr>
          <w:sz w:val="20"/>
          <w:szCs w:val="20"/>
          <w:color w:val="auto"/>
        </w:rPr>
      </w:pPr>
      <w:r>
        <w:rPr>
          <w:rFonts w:ascii="Arial" w:cs="Arial" w:eastAsia="Arial" w:hAnsi="Arial"/>
          <w:sz w:val="18"/>
          <w:szCs w:val="18"/>
          <w:color w:val="auto"/>
        </w:rPr>
        <w:t xml:space="preserve">As of September 30, 2021, the Company applies the equity method of accounting to its investment in PFAC Holdings I LLC (“PFAC Holdings”), an indirect parent of PWP Forward Acquisition Corp. I (“PFAC”), a special purpose acquisition company. As of September 30, 2021, the Company’s investment in PFAC Holdings was $1.3 million. The Company’s share of earnings of PFAC Holdings is included in the Condensed Consolidated Statements of </w:t>
      </w:r>
      <w:r>
        <w:rPr>
          <w:rFonts w:ascii="Arial" w:cs="Arial" w:eastAsia="Arial" w:hAnsi="Arial"/>
          <w:sz w:val="18"/>
          <w:szCs w:val="18"/>
          <w:color w:val="2B2B2B"/>
        </w:rPr>
        <w:t>Operations</w:t>
      </w:r>
      <w:r>
        <w:rPr>
          <w:rFonts w:ascii="Arial" w:cs="Arial" w:eastAsia="Arial" w:hAnsi="Arial"/>
          <w:sz w:val="18"/>
          <w:szCs w:val="18"/>
          <w:color w:val="auto"/>
        </w:rPr>
        <w:t xml:space="preserve"> for the three and nine months ended September 30, 2021.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Related Party Transactions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PWP Capital Holdings LP</w:t>
      </w:r>
    </w:p>
    <w:p>
      <w:pPr>
        <w:spacing w:after="0" w:line="239" w:lineRule="exact"/>
        <w:rPr>
          <w:sz w:val="20"/>
          <w:szCs w:val="20"/>
          <w:color w:val="auto"/>
        </w:rPr>
      </w:pPr>
    </w:p>
    <w:p>
      <w:pPr>
        <w:jc w:val="both"/>
        <w:ind w:firstLine="464"/>
        <w:spacing w:after="0" w:line="269" w:lineRule="auto"/>
        <w:rPr>
          <w:sz w:val="20"/>
          <w:szCs w:val="20"/>
          <w:color w:val="auto"/>
        </w:rPr>
      </w:pPr>
      <w:r>
        <w:rPr>
          <w:rFonts w:ascii="Arial" w:cs="Arial" w:eastAsia="Arial" w:hAnsi="Arial"/>
          <w:sz w:val="18"/>
          <w:szCs w:val="18"/>
          <w:i w:val="1"/>
          <w:iCs w:val="1"/>
          <w:color w:val="auto"/>
        </w:rPr>
        <w:t xml:space="preserve">TSA Agreement </w:t>
      </w:r>
      <w:r>
        <w:rPr>
          <w:rFonts w:ascii="Arial" w:cs="Arial" w:eastAsia="Arial" w:hAnsi="Arial"/>
          <w:sz w:val="18"/>
          <w:szCs w:val="18"/>
          <w:color w:val="auto"/>
        </w:rPr>
        <w:t>– In connection with the Separation, the Company entered into a transition services agreement (the “TSA”) with PWP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Holdings LP under which the Company agreed to provide certain services to PWP Capital Holdings LP and PWP Capital Holdings LP agreed to provide certain services to the Company. Either party to the TSA may terminate the agreement solely as it applies to the services it receives under the agreement with 90 days prior written notice. The services provided under the TSA primarily relate to administrative services such as human resources, compliance, information technology and certain finance functions. Additionally, the Company pays certain vendors for services that were previously contracted and are shared between PWP Capital Holdings LP and the Company until such time as separate terms can be reached with the vendors or the TSA terminates. Fees for services provided as well as a list of specified vendors are stipulated within the TSA. Payment for these services and the allocable share of vendor invoices are due and payable monthly within 45 days of receipt of the invoice. Late payments bear interest at the lesser of 10% per annum or the maximum rate allowed by law.</w:t>
      </w:r>
    </w:p>
    <w:p>
      <w:pPr>
        <w:spacing w:after="0" w:line="194" w:lineRule="exact"/>
        <w:rPr>
          <w:sz w:val="20"/>
          <w:szCs w:val="20"/>
          <w:color w:val="auto"/>
        </w:rPr>
      </w:pPr>
    </w:p>
    <w:p>
      <w:pPr>
        <w:jc w:val="both"/>
        <w:ind w:firstLine="464"/>
        <w:spacing w:after="0" w:line="319" w:lineRule="auto"/>
        <w:rPr>
          <w:sz w:val="20"/>
          <w:szCs w:val="20"/>
          <w:color w:val="auto"/>
        </w:rPr>
      </w:pPr>
      <w:r>
        <w:rPr>
          <w:rFonts w:ascii="Arial" w:cs="Arial" w:eastAsia="Arial" w:hAnsi="Arial"/>
          <w:sz w:val="16"/>
          <w:szCs w:val="16"/>
          <w:i w:val="1"/>
          <w:iCs w:val="1"/>
          <w:color w:val="auto"/>
        </w:rPr>
        <w:t xml:space="preserve">Sublease Income </w:t>
      </w:r>
      <w:r>
        <w:rPr>
          <w:rFonts w:ascii="Arial" w:cs="Arial" w:eastAsia="Arial" w:hAnsi="Arial"/>
          <w:sz w:val="16"/>
          <w:szCs w:val="16"/>
          <w:color w:val="auto"/>
        </w:rPr>
        <w:t>– In connection with the Separation, the Company subleases a portion of its office space at its New York location to PWP Capital</w:t>
      </w:r>
      <w:r>
        <w:rPr>
          <w:rFonts w:ascii="Arial" w:cs="Arial" w:eastAsia="Arial" w:hAnsi="Arial"/>
          <w:sz w:val="16"/>
          <w:szCs w:val="16"/>
          <w:i w:val="1"/>
          <w:iCs w:val="1"/>
          <w:color w:val="auto"/>
        </w:rPr>
        <w:t xml:space="preserve"> </w:t>
      </w:r>
      <w:r>
        <w:rPr>
          <w:rFonts w:ascii="Arial" w:cs="Arial" w:eastAsia="Arial" w:hAnsi="Arial"/>
          <w:sz w:val="16"/>
          <w:szCs w:val="16"/>
          <w:color w:val="auto"/>
        </w:rPr>
        <w:t>Holdings LP. The Company also subleased a portion of its office space at its Houston location to PWP Capital Holdings LP, but this sublease was terminated in August 2021. Sublease rent payments are due monthly and are based on PWP Capital Holdings LP’s pro-rata portion of the underlying lease agreements including base rent as well as other lease related charges. See additional information regarding the subleases at Note 5 – Leases.</w:t>
      </w:r>
    </w:p>
    <w:p>
      <w:pPr>
        <w:spacing w:after="0" w:line="156" w:lineRule="exact"/>
        <w:rPr>
          <w:sz w:val="20"/>
          <w:szCs w:val="20"/>
          <w:color w:val="auto"/>
        </w:rPr>
      </w:pPr>
    </w:p>
    <w:p>
      <w:pPr>
        <w:jc w:val="both"/>
        <w:ind w:firstLine="464"/>
        <w:spacing w:after="0" w:line="296" w:lineRule="auto"/>
        <w:rPr>
          <w:sz w:val="20"/>
          <w:szCs w:val="20"/>
          <w:color w:val="auto"/>
        </w:rPr>
      </w:pPr>
      <w:r>
        <w:rPr>
          <w:rFonts w:ascii="Arial" w:cs="Arial" w:eastAsia="Arial" w:hAnsi="Arial"/>
          <w:sz w:val="17"/>
          <w:szCs w:val="17"/>
          <w:i w:val="1"/>
          <w:iCs w:val="1"/>
          <w:color w:val="auto"/>
        </w:rPr>
        <w:t xml:space="preserve">Compensation Arrangements </w:t>
      </w:r>
      <w:r>
        <w:rPr>
          <w:rFonts w:ascii="Arial" w:cs="Arial" w:eastAsia="Arial" w:hAnsi="Arial"/>
          <w:sz w:val="17"/>
          <w:szCs w:val="17"/>
          <w:color w:val="auto"/>
        </w:rPr>
        <w:t>– In addition, PWP Capital Holdings LP has entered into an arrangement with an employee of the Company related to</w:t>
      </w:r>
      <w:r>
        <w:rPr>
          <w:rFonts w:ascii="Arial" w:cs="Arial" w:eastAsia="Arial" w:hAnsi="Arial"/>
          <w:sz w:val="17"/>
          <w:szCs w:val="17"/>
          <w:i w:val="1"/>
          <w:iCs w:val="1"/>
          <w:color w:val="auto"/>
        </w:rPr>
        <w:t xml:space="preserve"> </w:t>
      </w:r>
      <w:r>
        <w:rPr>
          <w:rFonts w:ascii="Arial" w:cs="Arial" w:eastAsia="Arial" w:hAnsi="Arial"/>
          <w:sz w:val="17"/>
          <w:szCs w:val="17"/>
          <w:color w:val="auto"/>
        </w:rPr>
        <w:t>services provided directly to PWP Capital Holdings LP. With respect to services provided to PWP Capital Holdings LP, the amounts paid and payable to the employee now and in the future are recognized by PWP Capital Holdings LP. All compensation related to services this employee provides to the Company are included in Compensation and benefits in the Condensed Consolidated Statements of Operations.</w:t>
      </w:r>
    </w:p>
    <w:p>
      <w:pPr>
        <w:spacing w:after="0" w:line="170" w:lineRule="exact"/>
        <w:rPr>
          <w:sz w:val="20"/>
          <w:szCs w:val="20"/>
          <w:color w:val="auto"/>
        </w:rPr>
      </w:pPr>
    </w:p>
    <w:p>
      <w:pPr>
        <w:jc w:val="both"/>
        <w:ind w:firstLine="464"/>
        <w:spacing w:after="0" w:line="293" w:lineRule="auto"/>
        <w:rPr>
          <w:sz w:val="20"/>
          <w:szCs w:val="20"/>
          <w:color w:val="auto"/>
        </w:rPr>
      </w:pPr>
      <w:r>
        <w:rPr>
          <w:rFonts w:ascii="Arial" w:cs="Arial" w:eastAsia="Arial" w:hAnsi="Arial"/>
          <w:sz w:val="18"/>
          <w:szCs w:val="18"/>
          <w:color w:val="auto"/>
        </w:rPr>
        <w:t>Amounts due from PWP Capital Holdings LP are reflected as Due from related parties on the Condensed Consolidated Statements of Financial Condition.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41" w:name="page42"/>
    <w:bookmarkEnd w:id="41"/>
    <w:p>
      <w:pPr>
        <w:ind w:left="4580"/>
        <w:spacing w:after="0"/>
        <w:rPr>
          <w:sz w:val="20"/>
          <w:szCs w:val="20"/>
          <w:color w:val="auto"/>
        </w:rPr>
      </w:pPr>
      <w:r>
        <w:rPr>
          <w:rFonts w:ascii="Arial" w:cs="Arial" w:eastAsia="Arial" w:hAnsi="Arial"/>
          <w:sz w:val="18"/>
          <w:szCs w:val="18"/>
          <w:b w:val="1"/>
          <w:bCs w:val="1"/>
          <w:color w:val="auto"/>
        </w:rPr>
        <w:t>Perella Weinberg Partners</w:t>
      </w:r>
    </w:p>
    <w:p>
      <w:pPr>
        <w:spacing w:after="0" w:line="7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313" w:lineRule="exact"/>
        <w:rPr>
          <w:sz w:val="20"/>
          <w:szCs w:val="20"/>
          <w:color w:val="auto"/>
        </w:rPr>
      </w:pPr>
    </w:p>
    <w:p>
      <w:pPr>
        <w:jc w:val="both"/>
        <w:ind w:right="20" w:firstLine="509"/>
        <w:spacing w:after="0" w:line="293" w:lineRule="auto"/>
        <w:rPr>
          <w:sz w:val="20"/>
          <w:szCs w:val="20"/>
          <w:color w:val="auto"/>
        </w:rPr>
      </w:pPr>
      <w:r>
        <w:rPr>
          <w:rFonts w:ascii="Arial" w:cs="Arial" w:eastAsia="Arial" w:hAnsi="Arial"/>
          <w:sz w:val="18"/>
          <w:szCs w:val="18"/>
          <w:color w:val="2B2B2B"/>
        </w:rPr>
        <w:t xml:space="preserve">The following table </w:t>
      </w:r>
      <w:r>
        <w:rPr>
          <w:rFonts w:ascii="Arial" w:cs="Arial" w:eastAsia="Arial" w:hAnsi="Arial"/>
          <w:sz w:val="18"/>
          <w:szCs w:val="18"/>
          <w:color w:val="3A3A3A"/>
        </w:rPr>
        <w:t>shows</w:t>
      </w:r>
      <w:r>
        <w:rPr>
          <w:rFonts w:ascii="Arial" w:cs="Arial" w:eastAsia="Arial" w:hAnsi="Arial"/>
          <w:sz w:val="18"/>
          <w:szCs w:val="18"/>
          <w:color w:val="2B2B2B"/>
        </w:rPr>
        <w:t xml:space="preserve"> the </w:t>
      </w:r>
      <w:r>
        <w:rPr>
          <w:rFonts w:ascii="Arial" w:cs="Arial" w:eastAsia="Arial" w:hAnsi="Arial"/>
          <w:sz w:val="18"/>
          <w:szCs w:val="18"/>
          <w:color w:val="000000"/>
        </w:rPr>
        <w:t>components</w:t>
      </w:r>
      <w:r>
        <w:rPr>
          <w:rFonts w:ascii="Arial" w:cs="Arial" w:eastAsia="Arial" w:hAnsi="Arial"/>
          <w:sz w:val="18"/>
          <w:szCs w:val="18"/>
          <w:color w:val="2B2B2B"/>
        </w:rPr>
        <w:t xml:space="preserve"> of TSA income, reported within Related party income, included in the Condensed Consolidated </w:t>
      </w:r>
      <w:r>
        <w:rPr>
          <w:rFonts w:ascii="Arial" w:cs="Arial" w:eastAsia="Arial" w:hAnsi="Arial"/>
          <w:sz w:val="18"/>
          <w:szCs w:val="18"/>
          <w:color w:val="3A3A3A"/>
        </w:rPr>
        <w:t xml:space="preserve">Statements </w:t>
      </w:r>
      <w:r>
        <w:rPr>
          <w:rFonts w:ascii="Arial" w:cs="Arial" w:eastAsia="Arial" w:hAnsi="Arial"/>
          <w:sz w:val="18"/>
          <w:szCs w:val="18"/>
          <w:color w:val="2B2B2B"/>
        </w:rPr>
        <w:t>of Operations</w:t>
      </w:r>
      <w:r>
        <w:rPr>
          <w:rFonts w:ascii="Arial" w:cs="Arial" w:eastAsia="Arial" w:hAnsi="Arial"/>
          <w:sz w:val="18"/>
          <w:szCs w:val="18"/>
          <w:color w:val="3A3A3A"/>
        </w:rPr>
        <w:t xml:space="preserve"> </w:t>
      </w:r>
      <w:r>
        <w:rPr>
          <w:rFonts w:ascii="Arial" w:cs="Arial" w:eastAsia="Arial" w:hAnsi="Arial"/>
          <w:sz w:val="18"/>
          <w:szCs w:val="18"/>
          <w:color w:val="000000"/>
        </w:rPr>
        <w:t>for the periods presented: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6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19"/>
                <w:szCs w:val="19"/>
                <w:color w:val="auto"/>
              </w:rPr>
            </w:pPr>
          </w:p>
        </w:tc>
        <w:tc>
          <w:tcPr>
            <w:tcW w:w="2580" w:type="dxa"/>
            <w:vAlign w:val="bottom"/>
            <w:gridSpan w:val="6"/>
          </w:tcPr>
          <w:p>
            <w:pPr>
              <w:ind w:left="20"/>
              <w:spacing w:after="0"/>
              <w:rPr>
                <w:sz w:val="20"/>
                <w:szCs w:val="20"/>
                <w:color w:val="auto"/>
              </w:rPr>
            </w:pPr>
            <w:r>
              <w:rPr>
                <w:rFonts w:ascii="Arial" w:cs="Arial" w:eastAsia="Arial" w:hAnsi="Arial"/>
                <w:sz w:val="18"/>
                <w:szCs w:val="18"/>
                <w:b w:val="1"/>
                <w:bCs w:val="1"/>
                <w:color w:val="auto"/>
                <w:w w:val="95"/>
              </w:rPr>
              <w:t>Nine Months Ended September</w:t>
            </w:r>
          </w:p>
        </w:tc>
      </w:tr>
      <w:tr>
        <w:trPr>
          <w:trHeight w:val="241"/>
        </w:trPr>
        <w:tc>
          <w:tcPr>
            <w:tcW w:w="59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jc w:val="right"/>
              <w:ind w:right="71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w w:val="79"/>
              </w:rPr>
              <w:t>30,</w:t>
            </w:r>
          </w:p>
        </w:tc>
        <w:tc>
          <w:tcPr>
            <w:tcW w:w="980" w:type="dxa"/>
            <w:vAlign w:val="bottom"/>
            <w:tcBorders>
              <w:bottom w:val="single" w:sz="8" w:color="auto"/>
            </w:tcBorders>
          </w:tcPr>
          <w:p>
            <w:pPr>
              <w:spacing w:after="0"/>
              <w:rPr>
                <w:sz w:val="20"/>
                <w:szCs w:val="20"/>
                <w:color w:val="auto"/>
              </w:rPr>
            </w:pPr>
          </w:p>
        </w:tc>
      </w:tr>
      <w:tr>
        <w:trPr>
          <w:trHeight w:val="250"/>
        </w:trPr>
        <w:tc>
          <w:tcPr>
            <w:tcW w:w="59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83"/>
        </w:trPr>
        <w:tc>
          <w:tcPr>
            <w:tcW w:w="59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TSA income</w:t>
            </w:r>
          </w:p>
        </w:tc>
        <w:tc>
          <w:tcPr>
            <w:tcW w:w="240" w:type="dxa"/>
            <w:vAlign w:val="bottom"/>
            <w:shd w:val="clear" w:color="auto" w:fill="CFF0FC"/>
          </w:tcPr>
          <w:p>
            <w:pPr>
              <w:spacing w:after="0"/>
              <w:rPr>
                <w:sz w:val="24"/>
                <w:szCs w:val="24"/>
                <w:color w:val="auto"/>
              </w:rPr>
            </w:pPr>
          </w:p>
        </w:tc>
        <w:tc>
          <w:tcPr>
            <w:tcW w:w="100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98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88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980" w:type="dxa"/>
            <w:vAlign w:val="bottom"/>
            <w:shd w:val="clear" w:color="auto" w:fill="CFF0FC"/>
          </w:tcPr>
          <w:p>
            <w:pPr>
              <w:spacing w:after="0"/>
              <w:rPr>
                <w:sz w:val="24"/>
                <w:szCs w:val="24"/>
                <w:color w:val="auto"/>
              </w:rPr>
            </w:pPr>
          </w:p>
        </w:tc>
      </w:tr>
      <w:tr>
        <w:trPr>
          <w:trHeight w:val="277"/>
        </w:trPr>
        <w:tc>
          <w:tcPr>
            <w:tcW w:w="5940" w:type="dxa"/>
            <w:vAlign w:val="bottom"/>
          </w:tcPr>
          <w:p>
            <w:pPr>
              <w:ind w:left="120"/>
              <w:spacing w:after="0"/>
              <w:rPr>
                <w:sz w:val="20"/>
                <w:szCs w:val="20"/>
                <w:color w:val="auto"/>
              </w:rPr>
            </w:pPr>
            <w:r>
              <w:rPr>
                <w:rFonts w:ascii="Arial" w:cs="Arial" w:eastAsia="Arial" w:hAnsi="Arial"/>
                <w:sz w:val="18"/>
                <w:szCs w:val="18"/>
                <w:color w:val="auto"/>
              </w:rPr>
              <w:t>TSA income – Compensation related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586</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974</w:t>
            </w:r>
          </w:p>
        </w:tc>
        <w:tc>
          <w:tcPr>
            <w:tcW w:w="3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1,735</w:t>
            </w:r>
          </w:p>
        </w:tc>
        <w:tc>
          <w:tcPr>
            <w:tcW w:w="46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3,110</w:t>
            </w:r>
          </w:p>
        </w:tc>
      </w:tr>
      <w:tr>
        <w:trPr>
          <w:trHeight w:val="290"/>
        </w:trPr>
        <w:tc>
          <w:tcPr>
            <w:tcW w:w="59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TSA income – Non-compensation related</w:t>
            </w:r>
          </w:p>
        </w:tc>
        <w:tc>
          <w:tcPr>
            <w:tcW w:w="240" w:type="dxa"/>
            <w:vAlign w:val="bottom"/>
            <w:shd w:val="clear" w:color="auto" w:fill="CFF0FC"/>
          </w:tcPr>
          <w:p>
            <w:pPr>
              <w:spacing w:after="0"/>
              <w:rPr>
                <w:sz w:val="24"/>
                <w:szCs w:val="2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14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9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442</w:t>
            </w:r>
          </w:p>
        </w:tc>
        <w:tc>
          <w:tcPr>
            <w:tcW w:w="12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w:t>
            </w:r>
          </w:p>
        </w:tc>
        <w:tc>
          <w:tcPr>
            <w:tcW w:w="8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9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1,126</w:t>
            </w:r>
          </w:p>
        </w:tc>
      </w:tr>
      <w:tr>
        <w:trPr>
          <w:trHeight w:val="283"/>
        </w:trPr>
        <w:tc>
          <w:tcPr>
            <w:tcW w:w="5940" w:type="dxa"/>
            <w:vAlign w:val="bottom"/>
          </w:tcPr>
          <w:p>
            <w:pPr>
              <w:ind w:left="120"/>
              <w:spacing w:after="0"/>
              <w:rPr>
                <w:sz w:val="20"/>
                <w:szCs w:val="20"/>
                <w:color w:val="auto"/>
              </w:rPr>
            </w:pPr>
            <w:r>
              <w:rPr>
                <w:rFonts w:ascii="Arial" w:cs="Arial" w:eastAsia="Arial" w:hAnsi="Arial"/>
                <w:sz w:val="18"/>
                <w:szCs w:val="18"/>
                <w:color w:val="auto"/>
              </w:rPr>
              <w:t>Sublease income</w:t>
            </w: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w:t>
            </w:r>
          </w:p>
        </w:tc>
        <w:tc>
          <w:tcPr>
            <w:tcW w:w="1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996</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2,366</w:t>
            </w:r>
          </w:p>
        </w:tc>
        <w:tc>
          <w:tcPr>
            <w:tcW w:w="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2,947</w:t>
            </w:r>
          </w:p>
        </w:tc>
      </w:tr>
      <w:tr>
        <w:trPr>
          <w:trHeight w:val="310"/>
        </w:trPr>
        <w:tc>
          <w:tcPr>
            <w:tcW w:w="59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TSA income</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1,499</w:t>
            </w:r>
          </w:p>
        </w:tc>
        <w:tc>
          <w:tcPr>
            <w:tcW w:w="1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2,412</w:t>
            </w:r>
          </w:p>
        </w:tc>
        <w:tc>
          <w:tcPr>
            <w:tcW w:w="1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4,598</w:t>
            </w:r>
          </w:p>
        </w:tc>
        <w:tc>
          <w:tcPr>
            <w:tcW w:w="80" w:type="dxa"/>
            <w:vAlign w:val="bottom"/>
            <w:tcBorders>
              <w:bottom w:val="single" w:sz="8" w:color="auto"/>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7,183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-25400</wp:posOffset>
            </wp:positionV>
            <wp:extent cx="7683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-7620</wp:posOffset>
            </wp:positionV>
            <wp:extent cx="7683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-25400</wp:posOffset>
            </wp:positionV>
            <wp:extent cx="7747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-7620</wp:posOffset>
            </wp:positionV>
            <wp:extent cx="7747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-25400</wp:posOffset>
            </wp:positionV>
            <wp:extent cx="7747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-7620</wp:posOffset>
            </wp:positionV>
            <wp:extent cx="7747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239" w:lineRule="exact"/>
        <w:rPr>
          <w:sz w:val="20"/>
          <w:szCs w:val="20"/>
          <w:color w:val="auto"/>
        </w:rPr>
      </w:pPr>
    </w:p>
    <w:p>
      <w:pPr>
        <w:jc w:val="both"/>
        <w:ind w:firstLine="464"/>
        <w:spacing w:after="0" w:line="270" w:lineRule="auto"/>
        <w:rPr>
          <w:sz w:val="20"/>
          <w:szCs w:val="20"/>
          <w:color w:val="auto"/>
        </w:rPr>
      </w:pPr>
      <w:r>
        <w:rPr>
          <w:rFonts w:ascii="Arial" w:cs="Arial" w:eastAsia="Arial" w:hAnsi="Arial"/>
          <w:sz w:val="18"/>
          <w:szCs w:val="18"/>
          <w:color w:val="auto"/>
        </w:rPr>
        <w:t>In connection with the Business Combination, the Company entered into a tax receivable agreement with Professional Partners and certain other persons under which the Company agreed to payment of 85% of the amount of savings, if any, that the Company realizes in U.S. federal, state, local and foreign income taxes as a result of (i) exchanges of interests in PWP OpCo for cash or stock of the Company and certain other transactions and (ii) payments made under the tax receivable agreement. As of September 30, 2021, the Company had an amount due of $14.1 million pursuant to the tax receivable agreement, which represents management’s best estimate of the amounts currently expected to be owed in connection with the tax receivable agreement. The Company expects to make the following payments with respect to the tax receivable agreement, which may differ significantly from actual payments made:</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jc w:val="center"/>
              <w:ind w:right="170"/>
              <w:spacing w:after="0"/>
              <w:rPr>
                <w:sz w:val="20"/>
                <w:szCs w:val="20"/>
                <w:color w:val="auto"/>
              </w:rPr>
            </w:pPr>
            <w:r>
              <w:rPr>
                <w:rFonts w:ascii="Arial" w:cs="Arial" w:eastAsia="Arial" w:hAnsi="Arial"/>
                <w:sz w:val="18"/>
                <w:szCs w:val="18"/>
                <w:b w:val="1"/>
                <w:bCs w:val="1"/>
                <w:color w:val="auto"/>
                <w:w w:val="88"/>
              </w:rPr>
              <w:t>Estimated Payments</w:t>
            </w:r>
          </w:p>
        </w:tc>
      </w:tr>
      <w:tr>
        <w:trPr>
          <w:trHeight w:val="229"/>
        </w:trPr>
        <w:tc>
          <w:tcPr>
            <w:tcW w:w="9300" w:type="dxa"/>
            <w:vAlign w:val="bottom"/>
          </w:tcPr>
          <w:p>
            <w:pPr>
              <w:spacing w:after="0"/>
              <w:rPr>
                <w:sz w:val="19"/>
                <w:szCs w:val="19"/>
                <w:color w:val="auto"/>
              </w:rPr>
            </w:pPr>
          </w:p>
        </w:tc>
        <w:tc>
          <w:tcPr>
            <w:tcW w:w="1940" w:type="dxa"/>
            <w:vAlign w:val="bottom"/>
            <w:gridSpan w:val="2"/>
          </w:tcPr>
          <w:p>
            <w:pPr>
              <w:jc w:val="center"/>
              <w:ind w:right="50"/>
              <w:spacing w:after="0"/>
              <w:rPr>
                <w:sz w:val="20"/>
                <w:szCs w:val="20"/>
                <w:color w:val="auto"/>
              </w:rPr>
            </w:pPr>
            <w:r>
              <w:rPr>
                <w:rFonts w:ascii="Arial" w:cs="Arial" w:eastAsia="Arial" w:hAnsi="Arial"/>
                <w:sz w:val="18"/>
                <w:szCs w:val="18"/>
                <w:b w:val="1"/>
                <w:bCs w:val="1"/>
                <w:color w:val="auto"/>
                <w:w w:val="89"/>
              </w:rPr>
              <w:t>Under Tax Receivable</w:t>
            </w:r>
          </w:p>
        </w:tc>
      </w:tr>
      <w:tr>
        <w:trPr>
          <w:trHeight w:val="248"/>
        </w:trPr>
        <w:tc>
          <w:tcPr>
            <w:tcW w:w="9300" w:type="dxa"/>
            <w:vAlign w:val="bottom"/>
          </w:tcPr>
          <w:p>
            <w:pPr>
              <w:ind w:left="20"/>
              <w:spacing w:after="0"/>
              <w:rPr>
                <w:sz w:val="20"/>
                <w:szCs w:val="20"/>
                <w:color w:val="auto"/>
              </w:rPr>
            </w:pPr>
            <w:r>
              <w:rPr>
                <w:rFonts w:ascii="Arial" w:cs="Arial" w:eastAsia="Arial" w:hAnsi="Arial"/>
                <w:sz w:val="18"/>
                <w:szCs w:val="18"/>
                <w:b w:val="1"/>
                <w:bCs w:val="1"/>
                <w:color w:val="auto"/>
              </w:rPr>
              <w:t>Years Ending:</w:t>
            </w:r>
          </w:p>
        </w:tc>
        <w:tc>
          <w:tcPr>
            <w:tcW w:w="12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Agreement</w:t>
            </w:r>
          </w:p>
        </w:tc>
      </w:tr>
      <w:tr>
        <w:trPr>
          <w:trHeight w:val="277"/>
        </w:trPr>
        <w:tc>
          <w:tcPr>
            <w:tcW w:w="9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Remainder of 2021</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77"/>
        </w:trPr>
        <w:tc>
          <w:tcPr>
            <w:tcW w:w="9300" w:type="dxa"/>
            <w:vAlign w:val="bottom"/>
          </w:tcPr>
          <w:p>
            <w:pPr>
              <w:ind w:left="2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4"/>
                <w:szCs w:val="24"/>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432</w:t>
            </w:r>
          </w:p>
        </w:tc>
      </w:tr>
      <w:tr>
        <w:trPr>
          <w:trHeight w:val="290"/>
        </w:trPr>
        <w:tc>
          <w:tcPr>
            <w:tcW w:w="9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FF0FC"/>
          </w:tcPr>
          <w:p>
            <w:pPr>
              <w:spacing w:after="0"/>
              <w:rPr>
                <w:sz w:val="24"/>
                <w:szCs w:val="24"/>
                <w:color w:val="auto"/>
              </w:rPr>
            </w:pPr>
          </w:p>
        </w:tc>
        <w:tc>
          <w:tcPr>
            <w:tcW w:w="18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746</w:t>
            </w:r>
          </w:p>
        </w:tc>
      </w:tr>
      <w:tr>
        <w:trPr>
          <w:trHeight w:val="277"/>
        </w:trPr>
        <w:tc>
          <w:tcPr>
            <w:tcW w:w="9300" w:type="dxa"/>
            <w:vAlign w:val="bottom"/>
          </w:tcPr>
          <w:p>
            <w:pPr>
              <w:ind w:left="2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24"/>
                <w:szCs w:val="24"/>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757</w:t>
            </w:r>
          </w:p>
        </w:tc>
      </w:tr>
      <w:tr>
        <w:trPr>
          <w:trHeight w:val="290"/>
        </w:trPr>
        <w:tc>
          <w:tcPr>
            <w:tcW w:w="9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FF0FC"/>
          </w:tcPr>
          <w:p>
            <w:pPr>
              <w:spacing w:after="0"/>
              <w:rPr>
                <w:sz w:val="24"/>
                <w:szCs w:val="24"/>
                <w:color w:val="auto"/>
              </w:rPr>
            </w:pPr>
          </w:p>
        </w:tc>
        <w:tc>
          <w:tcPr>
            <w:tcW w:w="18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775</w:t>
            </w:r>
          </w:p>
        </w:tc>
      </w:tr>
      <w:tr>
        <w:trPr>
          <w:trHeight w:val="264"/>
        </w:trPr>
        <w:tc>
          <w:tcPr>
            <w:tcW w:w="930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2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11,398</w:t>
            </w:r>
          </w:p>
        </w:tc>
      </w:tr>
      <w:tr>
        <w:trPr>
          <w:trHeight w:val="290"/>
        </w:trPr>
        <w:tc>
          <w:tcPr>
            <w:tcW w:w="9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payments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14,108</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 Promissory Notes</w:t>
      </w:r>
    </w:p>
    <w:p>
      <w:pPr>
        <w:spacing w:after="0" w:line="239" w:lineRule="exact"/>
        <w:rPr>
          <w:sz w:val="20"/>
          <w:szCs w:val="20"/>
          <w:color w:val="auto"/>
        </w:rPr>
      </w:pPr>
    </w:p>
    <w:p>
      <w:pPr>
        <w:jc w:val="both"/>
        <w:ind w:firstLine="464"/>
        <w:spacing w:after="0" w:line="311" w:lineRule="auto"/>
        <w:rPr>
          <w:sz w:val="20"/>
          <w:szCs w:val="20"/>
          <w:color w:val="auto"/>
        </w:rPr>
      </w:pPr>
      <w:r>
        <w:rPr>
          <w:rFonts w:ascii="Arial" w:cs="Arial" w:eastAsia="Arial" w:hAnsi="Arial"/>
          <w:sz w:val="16"/>
          <w:szCs w:val="16"/>
          <w:color w:val="auto"/>
        </w:rPr>
        <w:t>The Company loaned money pursuant to promissory note agreements (the “Partner Promissory Notes”) to certain partners. The Partner Promissory Notes bear interest at an annual rate equal to the Federal Mid-Term Rate on an annual basis. The Partner Promissory Notes are due on various dates or in the event a partner is terminated or leaves at will. Repayment of the Partner Promissory Notes may be accelerated based on certain conditions as defined in the promissory note agreements and are primarily secured by the partner’s equity interests in the PWP OpCo or other affiliate. As the Partner Promissory Notes and associated interest receivable relate to equity transactions, they have been recognized as a reduction of equity on the Condensed Consolidated Statements of Financial Condition in the amount of $6.0 million and $8.0 million as of September 30, 2021 and December 31, 2020, respectively.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239" w:lineRule="exact"/>
        <w:rPr>
          <w:sz w:val="20"/>
          <w:szCs w:val="20"/>
          <w:color w:val="auto"/>
        </w:rPr>
      </w:pPr>
    </w:p>
    <w:p>
      <w:pPr>
        <w:jc w:val="both"/>
        <w:ind w:firstLine="464"/>
        <w:spacing w:after="0" w:line="293" w:lineRule="auto"/>
        <w:rPr>
          <w:sz w:val="20"/>
          <w:szCs w:val="20"/>
          <w:color w:val="auto"/>
        </w:rPr>
      </w:pPr>
      <w:r>
        <w:rPr>
          <w:rFonts w:ascii="Arial" w:cs="Arial" w:eastAsia="Arial" w:hAnsi="Arial"/>
          <w:sz w:val="18"/>
          <w:szCs w:val="18"/>
          <w:color w:val="auto"/>
        </w:rPr>
        <w:t>Principal amounts of $8.7 million related to the Convertible Notes were held by affiliates prior to redemption. Refer to Note 10 – Debt for additional information on the Convertible Notes.</w:t>
      </w:r>
    </w:p>
    <w:p>
      <w:pPr>
        <w:sectPr>
          <w:pgSz w:w="11900" w:h="16838" w:orient="portrait"/>
          <w:cols w:equalWidth="0" w:num="1">
            <w:col w:w="11240"/>
          </w:cols>
          <w:pgMar w:left="320" w:top="135" w:right="33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42" w:name="page43"/>
    <w:bookmarkEnd w:id="42"/>
    <w:p>
      <w:pPr>
        <w:ind w:left="4580"/>
        <w:spacing w:after="0"/>
        <w:rPr>
          <w:sz w:val="20"/>
          <w:szCs w:val="20"/>
          <w:color w:val="auto"/>
        </w:rPr>
      </w:pPr>
      <w:r>
        <w:rPr>
          <w:rFonts w:ascii="Arial" w:cs="Arial" w:eastAsia="Arial" w:hAnsi="Arial"/>
          <w:sz w:val="18"/>
          <w:szCs w:val="18"/>
          <w:b w:val="1"/>
          <w:bCs w:val="1"/>
          <w:color w:val="auto"/>
        </w:rPr>
        <w:t>Perella Weinberg Partners</w:t>
      </w:r>
    </w:p>
    <w:p>
      <w:pPr>
        <w:spacing w:after="0" w:line="7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Related Party Transactions</w:t>
      </w:r>
    </w:p>
    <w:p>
      <w:pPr>
        <w:spacing w:after="0" w:line="239"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8"/>
          <w:szCs w:val="18"/>
          <w:color w:val="auto"/>
        </w:rPr>
        <w:t>The Company has a minority interest in PFAC Holdings, an indirect parent of PFAC. The Company earned an advisory fee related to PFAC’s initial public offering of $0.6 million during the nine months ended September 30, 2021. In addition, the Company receives a fee of $10,000 per month for certain administrative services provided to PFAC.</w:t>
      </w:r>
    </w:p>
    <w:p>
      <w:pPr>
        <w:spacing w:after="0" w:line="183"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8"/>
          <w:szCs w:val="18"/>
          <w:color w:val="auto"/>
        </w:rPr>
        <w:t>During the nine months ended September 30, 2021, the Company earned $3.1 million in advisory fees from entities controlled by a member of the Board of Directors, which are included in Revenues on the Condensed Consolidated Statements of Operations. The Company may earn additional advisory fees from these related entities in future periods.</w:t>
      </w:r>
    </w:p>
    <w:p>
      <w:pPr>
        <w:spacing w:after="0" w:line="183" w:lineRule="exact"/>
        <w:rPr>
          <w:sz w:val="20"/>
          <w:szCs w:val="20"/>
          <w:color w:val="auto"/>
        </w:rPr>
      </w:pPr>
    </w:p>
    <w:p>
      <w:pPr>
        <w:jc w:val="both"/>
        <w:ind w:firstLine="464"/>
        <w:spacing w:after="0" w:line="275" w:lineRule="auto"/>
        <w:rPr>
          <w:sz w:val="20"/>
          <w:szCs w:val="20"/>
          <w:color w:val="auto"/>
        </w:rPr>
      </w:pPr>
      <w:r>
        <w:rPr>
          <w:rFonts w:ascii="Arial" w:cs="Arial" w:eastAsia="Arial" w:hAnsi="Arial"/>
          <w:sz w:val="18"/>
          <w:szCs w:val="18"/>
          <w:color w:val="auto"/>
        </w:rPr>
        <w:t>In September 2021, Perella Weinberg UK Limited, Professional Partners and certain partners (including one partner who serves as a Company director and co-president) entered into a reimbursement agreement, pursuant to which such partners directed Professional Partners to pay distributions related to their ACUs first to a subsidiary of the Company, so that the subsidiary can make employment income tax payments on such distributions to the appropriate non-US authorities.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Commitments and Contingencies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Guarantees</w:t>
      </w:r>
    </w:p>
    <w:p>
      <w:pPr>
        <w:spacing w:after="0" w:line="239" w:lineRule="exact"/>
        <w:rPr>
          <w:sz w:val="20"/>
          <w:szCs w:val="20"/>
          <w:color w:val="auto"/>
        </w:rPr>
      </w:pPr>
    </w:p>
    <w:p>
      <w:pPr>
        <w:jc w:val="both"/>
        <w:ind w:firstLine="464"/>
        <w:spacing w:after="0" w:line="275" w:lineRule="auto"/>
        <w:rPr>
          <w:sz w:val="20"/>
          <w:szCs w:val="20"/>
          <w:color w:val="auto"/>
        </w:rPr>
      </w:pPr>
      <w:r>
        <w:rPr>
          <w:rFonts w:ascii="Arial" w:cs="Arial" w:eastAsia="Arial" w:hAnsi="Arial"/>
          <w:sz w:val="18"/>
          <w:szCs w:val="18"/>
          <w:color w:val="auto"/>
        </w:rPr>
        <w:t>The Company has unconditionally guaranteed certain of its partners’ loans with First Republic Bank (“Lender”) whereby it will pay the Lender upon the occurrence of a default event. The total guarantees related to partners was $3.5 million and $5.6 million as of September 30, 2021 and December 31, 2020, respectively. These guarantees are secured by either the partners’ interests in PWP OpCo or Professional Partners. As of September 30, 2021 and December 31, 2020, no loan was in default.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Indemnifications</w:t>
      </w:r>
    </w:p>
    <w:p>
      <w:pPr>
        <w:spacing w:after="0" w:line="239"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8"/>
          <w:szCs w:val="18"/>
          <w:color w:val="auto"/>
        </w:rPr>
        <w:t>The Company enters into certain contracts that contain a variety of indemnification provisions. The Company’s maximum exposure under these arrangements is unknown. As of September 30, 2021 and December 31, 2020, the Company expects no claims or losses pursuant to these contracts; therefore, no liability has been recorded related to these indemnification provisions.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239" w:lineRule="exact"/>
        <w:rPr>
          <w:sz w:val="20"/>
          <w:szCs w:val="20"/>
          <w:color w:val="auto"/>
        </w:rPr>
      </w:pPr>
    </w:p>
    <w:p>
      <w:pPr>
        <w:jc w:val="both"/>
        <w:ind w:firstLine="464"/>
        <w:spacing w:after="0" w:line="314" w:lineRule="auto"/>
        <w:rPr>
          <w:sz w:val="20"/>
          <w:szCs w:val="20"/>
          <w:color w:val="auto"/>
        </w:rPr>
      </w:pPr>
      <w:r>
        <w:rPr>
          <w:rFonts w:ascii="Arial" w:cs="Arial" w:eastAsia="Arial" w:hAnsi="Arial"/>
          <w:sz w:val="16"/>
          <w:szCs w:val="16"/>
          <w:color w:val="auto"/>
        </w:rPr>
        <w:t>From time to time, the Company is named as a defendant in legal actions relating to transactions conducted in the ordinary course of business. Some of these matters may involve claims of substantial amounts. Although there can be no assurance of the outcome of such legal actions, in the opinion of management and after consultation with external counsel, the Company believes it is neither probable nor reasonably possible that any current legal proceedings or claims would individually or in the aggregate have a material adverse effect on the condensed consolidated financial statements of the Company as of September 30, 2021 and December 31, 2020 and for the three and nine months ended September 30, 2021 and 2020.</w:t>
      </w:r>
    </w:p>
    <w:p>
      <w:pPr>
        <w:spacing w:after="0" w:line="160" w:lineRule="exact"/>
        <w:rPr>
          <w:sz w:val="20"/>
          <w:szCs w:val="20"/>
          <w:color w:val="auto"/>
        </w:rPr>
      </w:pPr>
    </w:p>
    <w:p>
      <w:pPr>
        <w:jc w:val="both"/>
        <w:ind w:firstLine="464"/>
        <w:spacing w:after="0" w:line="287" w:lineRule="auto"/>
        <w:rPr>
          <w:sz w:val="20"/>
          <w:szCs w:val="20"/>
          <w:color w:val="auto"/>
        </w:rPr>
      </w:pPr>
      <w:r>
        <w:rPr>
          <w:rFonts w:ascii="Arial" w:cs="Arial" w:eastAsia="Arial" w:hAnsi="Arial"/>
          <w:sz w:val="17"/>
          <w:szCs w:val="17"/>
          <w:color w:val="auto"/>
        </w:rPr>
        <w:t>On October 20, 2015, Perella Weinberg Partners LLC, PWP MC LP, PWP Equity I LP and Perella Weinberg Partners Group LP (collectively, the “PWP Plaintiffs”), filed a complaint against Michael A. Kramer, Derron S. Slonecker, Joshua S. Scherer, Adam W. Verost (collectively, the “Individual Defendants”) and Ducera Partners LLC (together with the Individual Defendants, the “Defendants”). The complaint alleges that the Individual Defendants, three former partners and one former employee of the PWP Plaintiffs, entered into a scheme while still at PWP to lift out the PWP Plaintiffs’ restructuring group to form a new competing firm that they were secretly forming in breach of their contractual and fiduciary duties to the PWP Plaintiffs. The complaint contains fourteen causes of action, and seeks declaratory relief as well as damages resulting from the Individual Defendants’ breaches of their obligations under the PWP Plaintiffs’ partnership and employment agreements, and from Defendants’ unfair competition and tortious interference with the PWP Plaintiffs’ contracts and client relationships.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43" w:name="page44"/>
    <w:bookmarkEnd w:id="43"/>
    <w:p>
      <w:pPr>
        <w:ind w:left="4580"/>
        <w:spacing w:after="0"/>
        <w:rPr>
          <w:sz w:val="20"/>
          <w:szCs w:val="20"/>
          <w:color w:val="auto"/>
        </w:rPr>
      </w:pPr>
      <w:r>
        <w:rPr>
          <w:rFonts w:ascii="Arial" w:cs="Arial" w:eastAsia="Arial" w:hAnsi="Arial"/>
          <w:sz w:val="18"/>
          <w:szCs w:val="18"/>
          <w:b w:val="1"/>
          <w:bCs w:val="1"/>
          <w:color w:val="auto"/>
        </w:rPr>
        <w:t>Perella Weinberg Partners</w:t>
      </w:r>
    </w:p>
    <w:p>
      <w:pPr>
        <w:spacing w:after="0" w:line="7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313" w:lineRule="exact"/>
        <w:rPr>
          <w:sz w:val="20"/>
          <w:szCs w:val="20"/>
          <w:color w:val="auto"/>
        </w:rPr>
      </w:pPr>
    </w:p>
    <w:p>
      <w:pPr>
        <w:jc w:val="both"/>
        <w:ind w:firstLine="464"/>
        <w:spacing w:after="0" w:line="286" w:lineRule="auto"/>
        <w:rPr>
          <w:sz w:val="20"/>
          <w:szCs w:val="20"/>
          <w:color w:val="auto"/>
        </w:rPr>
      </w:pPr>
      <w:r>
        <w:rPr>
          <w:rFonts w:ascii="Arial" w:cs="Arial" w:eastAsia="Arial" w:hAnsi="Arial"/>
          <w:sz w:val="17"/>
          <w:szCs w:val="17"/>
          <w:color w:val="auto"/>
        </w:rPr>
        <w:t>On November 9, 2015, the Defendants filed an Answer, Counterclaims, Cross-claims and a Third-Party Complaint, which contained 14 causes of action. On July 17, 2016, the Court issued a decision, dismissing half of the Defendants’ counterclaims and cross-claims with prejudice. On August 18, 2016, the Defendants filed an Amended Answer, Counterclaims, Cross-claims and Third-Party Complaint, which contained only seven counterclaims and cross-claims. On December 12, 2016, the Defendants appealed the dismissal of three of their counterclaims and cross-claims to the New York Appellate Division, First Department (the “First Department”). On August 29, 2017, the First Department issued a decision denying the Defendants’ appeal in its entirety other than allowing only one Defendant to proceed with his breach of fiduciary duty counterclaim. On October 27, 2017, the Defendants moved the First Department for leave to appeal its decision to the New York Court of Appeals. On December 28, 2017, the First Department denied the Defendants’ motion for leave to appeal to the New York Court of Appeals. On April 24, 2018, the Defendants filed a Second Amended Answer, Counterclaims, Cross-claims and Third-Party Complaint, which contains eight counterclaims and cross-claims. The Defendants are seeking declaratory relief and damages of no less than $60.0 million, as well as statutory interest.</w:t>
      </w:r>
    </w:p>
    <w:p>
      <w:pPr>
        <w:spacing w:after="0" w:line="182" w:lineRule="exact"/>
        <w:rPr>
          <w:sz w:val="20"/>
          <w:szCs w:val="20"/>
          <w:color w:val="auto"/>
        </w:rPr>
      </w:pPr>
    </w:p>
    <w:p>
      <w:pPr>
        <w:jc w:val="both"/>
        <w:ind w:firstLine="464"/>
        <w:spacing w:after="0" w:line="314" w:lineRule="auto"/>
        <w:rPr>
          <w:sz w:val="20"/>
          <w:szCs w:val="20"/>
          <w:color w:val="auto"/>
        </w:rPr>
      </w:pPr>
      <w:r>
        <w:rPr>
          <w:rFonts w:ascii="Arial" w:cs="Arial" w:eastAsia="Arial" w:hAnsi="Arial"/>
          <w:sz w:val="16"/>
          <w:szCs w:val="16"/>
          <w:color w:val="auto"/>
        </w:rPr>
        <w:t>Discovery is complete. Both the PWP Plaintiffs and the Defendants subsequently moved for summary judgment. As of March 20, 2020, the parties had completed briefing their respective motions for summary judgment. The PWP Plaintiffs moved affirmatively for summary judgment on each of their 14 claims and also moved for dismissal of each of the Defendants’ remaining eight counterclaims and cross-claims. The Defendants moved affirmatively for summary judgment on four of their eight counterclaims and cross-claims and also moved for dismissal of each of the PWP Plaintiffs’ 14 claims. The Court held oral argument on the motions for summary judgment on May 27, 2021. The Court has yet to issue a decision on the motions for summary judgement.</w:t>
      </w:r>
    </w:p>
    <w:p>
      <w:pPr>
        <w:spacing w:after="0" w:line="160" w:lineRule="exact"/>
        <w:rPr>
          <w:sz w:val="20"/>
          <w:szCs w:val="20"/>
          <w:color w:val="auto"/>
        </w:rPr>
      </w:pPr>
    </w:p>
    <w:p>
      <w:pPr>
        <w:jc w:val="both"/>
        <w:ind w:firstLine="464"/>
        <w:spacing w:after="0" w:line="319" w:lineRule="auto"/>
        <w:rPr>
          <w:sz w:val="20"/>
          <w:szCs w:val="20"/>
          <w:color w:val="auto"/>
        </w:rPr>
      </w:pPr>
      <w:r>
        <w:rPr>
          <w:rFonts w:ascii="Arial" w:cs="Arial" w:eastAsia="Arial" w:hAnsi="Arial"/>
          <w:sz w:val="16"/>
          <w:szCs w:val="16"/>
          <w:color w:val="auto"/>
        </w:rPr>
        <w:t>We believe that our 14 causes of action are meritorious. Further, we believe that we have substantial meritorious defenses to the Defendants’ remaining counterclaims and cross-claims and plan to vigorously contest them. Litigation, however, can be uncertain and there can be no assurance that any judgment for one or more of the Defendants or other outcome of the case would not have a material adverse effect on us. Additionally, even if we prevail in the litigation and are awarded damages, we do not know if we will be able to fully collect on any judgment against any or all Defendants.</w:t>
      </w:r>
    </w:p>
    <w:p>
      <w:pPr>
        <w:spacing w:after="0" w:line="156" w:lineRule="exact"/>
        <w:rPr>
          <w:sz w:val="20"/>
          <w:szCs w:val="20"/>
          <w:color w:val="auto"/>
        </w:rPr>
      </w:pPr>
    </w:p>
    <w:p>
      <w:pPr>
        <w:jc w:val="both"/>
        <w:ind w:firstLine="464"/>
        <w:spacing w:after="0" w:line="303" w:lineRule="auto"/>
        <w:rPr>
          <w:sz w:val="20"/>
          <w:szCs w:val="20"/>
          <w:color w:val="auto"/>
        </w:rPr>
      </w:pPr>
      <w:r>
        <w:rPr>
          <w:rFonts w:ascii="Arial" w:cs="Arial" w:eastAsia="Arial" w:hAnsi="Arial"/>
          <w:sz w:val="17"/>
          <w:szCs w:val="17"/>
          <w:color w:val="auto"/>
        </w:rPr>
        <w:t>The Company incurred $0.9 million during both the three and nine months ended September 30, 2021, and $0.4 million and $1.1 million during the three and nine months ended September 30, 2020, respectively, in legal and professional fees, net of expected insurance reimbursement, related to this litigation. These litigation costs are included in Professional fees in the Condensed Consolidated Statements of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39" w:lineRule="exact"/>
        <w:rPr>
          <w:sz w:val="20"/>
          <w:szCs w:val="20"/>
          <w:color w:val="auto"/>
        </w:rPr>
      </w:pPr>
    </w:p>
    <w:p>
      <w:pPr>
        <w:jc w:val="both"/>
        <w:ind w:firstLine="464"/>
        <w:spacing w:after="0" w:line="275" w:lineRule="auto"/>
        <w:rPr>
          <w:sz w:val="20"/>
          <w:szCs w:val="20"/>
          <w:color w:val="auto"/>
        </w:rPr>
      </w:pPr>
      <w:r>
        <w:rPr>
          <w:rFonts w:ascii="Arial" w:cs="Arial" w:eastAsia="Arial" w:hAnsi="Arial"/>
          <w:sz w:val="18"/>
          <w:szCs w:val="18"/>
          <w:color w:val="auto"/>
        </w:rPr>
        <w:t>In the ordinary course of business and in connection with hiring certain senior employees, the Company entered into employment agreements whereby the Company committed to grant equity awards to such newly hired employees contingent upon certain events (including but not limited to the Company becoming a public company). The Company settled these commitments in the third quarter of 2021 with a grant of awards approved by the compensation committee under our PWP Incentive Plan.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Business Information</w:t>
      </w:r>
    </w:p>
    <w:p>
      <w:pPr>
        <w:spacing w:after="0" w:line="243" w:lineRule="exact"/>
        <w:rPr>
          <w:sz w:val="20"/>
          <w:szCs w:val="20"/>
          <w:color w:val="auto"/>
        </w:rPr>
      </w:pPr>
    </w:p>
    <w:p>
      <w:pPr>
        <w:jc w:val="both"/>
        <w:ind w:firstLine="464"/>
        <w:spacing w:after="0" w:line="272" w:lineRule="auto"/>
        <w:rPr>
          <w:sz w:val="20"/>
          <w:szCs w:val="20"/>
          <w:color w:val="auto"/>
        </w:rPr>
      </w:pPr>
      <w:r>
        <w:rPr>
          <w:rFonts w:ascii="Arial" w:cs="Arial" w:eastAsia="Arial" w:hAnsi="Arial"/>
          <w:sz w:val="18"/>
          <w:szCs w:val="18"/>
          <w:color w:val="auto"/>
        </w:rPr>
        <w:t>The Company’s activities of providing advisory services for mergers-and-acquisitions, private placements and financial advisory, as well as services for underwriting of securities offered for sale in public markets, commissions for the brokerage of publicly traded securities and equity research constitute a single business segment. The Company is organized as one operating segment in order to maximize the value of advice to clients by drawing upon the diversified expertise and broad relationships of its senior professionals across the Company. The Company has a single operating segment and therefore a single reportable segment.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44" w:name="page45"/>
    <w:bookmarkEnd w:id="44"/>
    <w:p>
      <w:pPr>
        <w:ind w:left="4580"/>
        <w:spacing w:after="0"/>
        <w:rPr>
          <w:sz w:val="20"/>
          <w:szCs w:val="20"/>
          <w:color w:val="auto"/>
        </w:rPr>
      </w:pPr>
      <w:r>
        <w:rPr>
          <w:rFonts w:ascii="Arial" w:cs="Arial" w:eastAsia="Arial" w:hAnsi="Arial"/>
          <w:sz w:val="18"/>
          <w:szCs w:val="18"/>
          <w:b w:val="1"/>
          <w:bCs w:val="1"/>
          <w:color w:val="auto"/>
        </w:rPr>
        <w:t>Perella Weinberg Partners</w:t>
      </w:r>
    </w:p>
    <w:p>
      <w:pPr>
        <w:spacing w:after="0" w:line="7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313" w:lineRule="exact"/>
        <w:rPr>
          <w:sz w:val="20"/>
          <w:szCs w:val="20"/>
          <w:color w:val="auto"/>
        </w:rPr>
      </w:pPr>
    </w:p>
    <w:p>
      <w:pPr>
        <w:jc w:val="both"/>
        <w:ind w:firstLine="464"/>
        <w:spacing w:after="0" w:line="288" w:lineRule="auto"/>
        <w:rPr>
          <w:sz w:val="20"/>
          <w:szCs w:val="20"/>
          <w:color w:val="auto"/>
        </w:rPr>
      </w:pPr>
      <w:r>
        <w:rPr>
          <w:rFonts w:ascii="Arial" w:cs="Arial" w:eastAsia="Arial" w:hAnsi="Arial"/>
          <w:sz w:val="17"/>
          <w:szCs w:val="17"/>
          <w:color w:val="auto"/>
        </w:rPr>
        <w:t>For the three months ended September 30, 2021, revenues of $54.1 million related to two individual clients accounted for more than 10% of aggregate revenue. For the nine months ended September 30, 2021, no individual client accounted for more than 10% of aggregate revenue. For the three months ended September 30, 2020, revenues of $17.9 million related to one individual client accounted for more than 10% of aggregate revenue. For the nine months ended September 30, 2020, no individual client accounted for more than 10% of aggregate revenue. Since the financial markets are global in nature, the Company generally manages its business based on the operating results of the Company taken as a whole, not by geographic region. The following tables set forth the geographical distribution of revenues and assets based on the location of the office that generates the revenues or holds the assets and therefore may not be indicative of the geography in which the Company’s clients are located: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0" w:type="dxa"/>
            <w:vAlign w:val="bottom"/>
            <w:gridSpan w:val="4"/>
          </w:tcPr>
          <w:p>
            <w:pPr>
              <w:jc w:val="center"/>
              <w:ind w:right="190"/>
              <w:spacing w:after="0"/>
              <w:rPr>
                <w:sz w:val="20"/>
                <w:szCs w:val="20"/>
                <w:color w:val="auto"/>
              </w:rPr>
            </w:pPr>
            <w:r>
              <w:rPr>
                <w:rFonts w:ascii="Arial" w:cs="Arial" w:eastAsia="Arial" w:hAnsi="Arial"/>
                <w:sz w:val="18"/>
                <w:szCs w:val="18"/>
                <w:b w:val="1"/>
                <w:bCs w:val="1"/>
                <w:color w:val="auto"/>
                <w:w w:val="91"/>
              </w:rPr>
              <w:t>Three Months Ended September</w:t>
            </w:r>
          </w:p>
        </w:tc>
        <w:tc>
          <w:tcPr>
            <w:tcW w:w="100" w:type="dxa"/>
            <w:vAlign w:val="bottom"/>
          </w:tcPr>
          <w:p>
            <w:pPr>
              <w:spacing w:after="0"/>
              <w:rPr>
                <w:sz w:val="19"/>
                <w:szCs w:val="19"/>
                <w:color w:val="auto"/>
              </w:rPr>
            </w:pPr>
          </w:p>
        </w:tc>
        <w:tc>
          <w:tcPr>
            <w:tcW w:w="2680" w:type="dxa"/>
            <w:vAlign w:val="bottom"/>
            <w:gridSpan w:val="6"/>
          </w:tcPr>
          <w:p>
            <w:pPr>
              <w:jc w:val="center"/>
              <w:ind w:right="50"/>
              <w:spacing w:after="0"/>
              <w:rPr>
                <w:sz w:val="20"/>
                <w:szCs w:val="20"/>
                <w:color w:val="auto"/>
              </w:rPr>
            </w:pPr>
            <w:r>
              <w:rPr>
                <w:rFonts w:ascii="Arial" w:cs="Arial" w:eastAsia="Arial" w:hAnsi="Arial"/>
                <w:sz w:val="18"/>
                <w:szCs w:val="18"/>
                <w:b w:val="1"/>
                <w:bCs w:val="1"/>
                <w:color w:val="auto"/>
                <w:w w:val="90"/>
              </w:rPr>
              <w:t>Nine Months Ended September</w:t>
            </w:r>
          </w:p>
        </w:tc>
      </w:tr>
      <w:tr>
        <w:trPr>
          <w:trHeight w:val="241"/>
        </w:trPr>
        <w:tc>
          <w:tcPr>
            <w:tcW w:w="55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30,</w:t>
            </w: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w w:val="87"/>
              </w:rPr>
              <w:t>30,</w:t>
            </w: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r>
      <w:tr>
        <w:trPr>
          <w:trHeight w:val="263"/>
        </w:trPr>
        <w:tc>
          <w:tcPr>
            <w:tcW w:w="556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r>
      <w:tr>
        <w:trPr>
          <w:trHeight w:val="257"/>
        </w:trPr>
        <w:tc>
          <w:tcPr>
            <w:tcW w:w="5560" w:type="dxa"/>
            <w:vAlign w:val="bottom"/>
            <w:shd w:val="clear" w:color="auto" w:fill="CFF0FC"/>
          </w:tcPr>
          <w:p>
            <w:pPr>
              <w:jc w:val="center"/>
              <w:ind w:right="4690"/>
              <w:spacing w:after="0"/>
              <w:rPr>
                <w:sz w:val="20"/>
                <w:szCs w:val="20"/>
                <w:color w:val="auto"/>
              </w:rPr>
            </w:pPr>
            <w:r>
              <w:rPr>
                <w:rFonts w:ascii="Arial" w:cs="Arial" w:eastAsia="Arial" w:hAnsi="Arial"/>
                <w:sz w:val="18"/>
                <w:szCs w:val="18"/>
                <w:b w:val="1"/>
                <w:bCs w:val="1"/>
                <w:color w:val="auto"/>
                <w:w w:val="86"/>
              </w:rPr>
              <w:t>Revenues</w:t>
            </w:r>
          </w:p>
        </w:tc>
        <w:tc>
          <w:tcPr>
            <w:tcW w:w="100" w:type="dxa"/>
            <w:vAlign w:val="bottom"/>
            <w:shd w:val="clear" w:color="auto" w:fill="CFF0FC"/>
          </w:tcPr>
          <w:p>
            <w:pPr>
              <w:spacing w:after="0"/>
              <w:rPr>
                <w:sz w:val="22"/>
                <w:szCs w:val="22"/>
                <w:color w:val="auto"/>
              </w:rPr>
            </w:pPr>
          </w:p>
        </w:tc>
        <w:tc>
          <w:tcPr>
            <w:tcW w:w="13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r>
      <w:tr>
        <w:trPr>
          <w:trHeight w:val="250"/>
        </w:trPr>
        <w:tc>
          <w:tcPr>
            <w:tcW w:w="5560" w:type="dxa"/>
            <w:vAlign w:val="bottom"/>
          </w:tcPr>
          <w:p>
            <w:pPr>
              <w:ind w:left="120"/>
              <w:spacing w:after="0"/>
              <w:rPr>
                <w:sz w:val="20"/>
                <w:szCs w:val="20"/>
                <w:color w:val="auto"/>
              </w:rPr>
            </w:pPr>
            <w:r>
              <w:rPr>
                <w:rFonts w:ascii="Arial" w:cs="Arial" w:eastAsia="Arial" w:hAnsi="Arial"/>
                <w:sz w:val="18"/>
                <w:szCs w:val="18"/>
                <w:color w:val="auto"/>
              </w:rPr>
              <w:t>United States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150,113</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96,519</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494,976</w:t>
            </w:r>
          </w:p>
        </w:tc>
        <w:tc>
          <w:tcPr>
            <w:tcW w:w="5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237,869</w:t>
            </w:r>
          </w:p>
        </w:tc>
      </w:tr>
      <w:tr>
        <w:trPr>
          <w:trHeight w:val="257"/>
        </w:trPr>
        <w:tc>
          <w:tcPr>
            <w:tcW w:w="55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International</w:t>
            </w:r>
          </w:p>
        </w:tc>
        <w:tc>
          <w:tcPr>
            <w:tcW w:w="100" w:type="dxa"/>
            <w:vAlign w:val="bottom"/>
            <w:tcBorders>
              <w:bottom w:val="single" w:sz="8" w:color="auto"/>
            </w:tcBorders>
            <w:shd w:val="clear" w:color="auto" w:fill="CFF0FC"/>
          </w:tcPr>
          <w:p>
            <w:pPr>
              <w:spacing w:after="0"/>
              <w:rPr>
                <w:sz w:val="22"/>
                <w:szCs w:val="22"/>
                <w:color w:val="auto"/>
              </w:rPr>
            </w:pPr>
          </w:p>
        </w:tc>
        <w:tc>
          <w:tcPr>
            <w:tcW w:w="13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27,314</w:t>
            </w:r>
          </w:p>
        </w:tc>
        <w:tc>
          <w:tcPr>
            <w:tcW w:w="12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26,325</w:t>
            </w:r>
          </w:p>
        </w:tc>
        <w:tc>
          <w:tcPr>
            <w:tcW w:w="10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107,773</w:t>
            </w:r>
          </w:p>
        </w:tc>
        <w:tc>
          <w:tcPr>
            <w:tcW w:w="120" w:type="dxa"/>
            <w:vAlign w:val="bottom"/>
            <w:tcBorders>
              <w:bottom w:val="single" w:sz="8" w:color="auto"/>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91,972</w:t>
            </w:r>
          </w:p>
        </w:tc>
      </w:tr>
      <w:tr>
        <w:trPr>
          <w:trHeight w:val="250"/>
        </w:trPr>
        <w:tc>
          <w:tcPr>
            <w:tcW w:w="5560" w:type="dxa"/>
            <w:vAlign w:val="bottom"/>
          </w:tcPr>
          <w:p>
            <w:pPr>
              <w:jc w:val="center"/>
              <w:ind w:right="4710"/>
              <w:spacing w:after="0"/>
              <w:rPr>
                <w:sz w:val="20"/>
                <w:szCs w:val="20"/>
                <w:color w:val="auto"/>
              </w:rPr>
            </w:pPr>
            <w:r>
              <w:rPr>
                <w:rFonts w:ascii="Arial" w:cs="Arial" w:eastAsia="Arial" w:hAnsi="Arial"/>
                <w:sz w:val="18"/>
                <w:szCs w:val="18"/>
                <w:color w:val="auto"/>
                <w:w w:val="89"/>
              </w:rPr>
              <w:t>Total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177,427</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122,844</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602,749</w:t>
            </w:r>
          </w:p>
        </w:tc>
        <w:tc>
          <w:tcPr>
            <w:tcW w:w="5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329,841</w:t>
            </w:r>
          </w:p>
        </w:tc>
      </w:tr>
      <w:tr>
        <w:trPr>
          <w:trHeight w:val="20"/>
        </w:trPr>
        <w:tc>
          <w:tcPr>
            <w:tcW w:w="5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-193675</wp:posOffset>
            </wp:positionV>
            <wp:extent cx="85725" cy="57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-193675</wp:posOffset>
            </wp:positionV>
            <wp:extent cx="68580" cy="57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-193675</wp:posOffset>
            </wp:positionV>
            <wp:extent cx="76835" cy="57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76835" cy="5715"/>
                    </a:xfrm>
                    <a:prstGeom prst="rect">
                      <a:avLst/>
                    </a:prstGeom>
                    <a:noFill/>
                  </pic:spPr>
                </pic:pic>
              </a:graphicData>
            </a:graphic>
          </wp:anchor>
        </w:drawing>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190"/>
              <w:spacing w:after="0"/>
              <w:rPr>
                <w:sz w:val="20"/>
                <w:szCs w:val="20"/>
                <w:color w:val="auto"/>
              </w:rPr>
            </w:pPr>
            <w:r>
              <w:rPr>
                <w:rFonts w:ascii="Arial" w:cs="Arial" w:eastAsia="Arial" w:hAnsi="Arial"/>
                <w:sz w:val="18"/>
                <w:szCs w:val="18"/>
                <w:b w:val="1"/>
                <w:bCs w:val="1"/>
                <w:color w:val="auto"/>
                <w:w w:val="87"/>
              </w:rPr>
              <w:t>September 30,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ind w:right="21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80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r>
      <w:tr>
        <w:trPr>
          <w:trHeight w:val="257"/>
        </w:trPr>
        <w:tc>
          <w:tcPr>
            <w:tcW w:w="80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FF0FC"/>
          </w:tcPr>
          <w:p>
            <w:pPr>
              <w:spacing w:after="0"/>
              <w:rPr>
                <w:sz w:val="22"/>
                <w:szCs w:val="22"/>
                <w:color w:val="auto"/>
              </w:rPr>
            </w:pPr>
          </w:p>
        </w:tc>
        <w:tc>
          <w:tcPr>
            <w:tcW w:w="13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380" w:type="dxa"/>
            <w:vAlign w:val="bottom"/>
            <w:shd w:val="clear" w:color="auto" w:fill="CFF0FC"/>
          </w:tcPr>
          <w:p>
            <w:pPr>
              <w:spacing w:after="0"/>
              <w:rPr>
                <w:sz w:val="22"/>
                <w:szCs w:val="22"/>
                <w:color w:val="auto"/>
              </w:rPr>
            </w:pPr>
          </w:p>
        </w:tc>
      </w:tr>
      <w:tr>
        <w:trPr>
          <w:trHeight w:val="250"/>
        </w:trPr>
        <w:tc>
          <w:tcPr>
            <w:tcW w:w="8040" w:type="dxa"/>
            <w:vAlign w:val="bottom"/>
          </w:tcPr>
          <w:p>
            <w:pPr>
              <w:ind w:left="120"/>
              <w:spacing w:after="0"/>
              <w:rPr>
                <w:sz w:val="20"/>
                <w:szCs w:val="20"/>
                <w:color w:val="auto"/>
              </w:rPr>
            </w:pPr>
            <w:r>
              <w:rPr>
                <w:rFonts w:ascii="Arial" w:cs="Arial" w:eastAsia="Arial" w:hAnsi="Arial"/>
                <w:sz w:val="18"/>
                <w:szCs w:val="18"/>
                <w:color w:val="auto"/>
              </w:rPr>
              <w:t>United States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496,273</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406,884</w:t>
            </w:r>
          </w:p>
        </w:tc>
      </w:tr>
      <w:tr>
        <w:trPr>
          <w:trHeight w:val="257"/>
        </w:trPr>
        <w:tc>
          <w:tcPr>
            <w:tcW w:w="80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International</w:t>
            </w:r>
          </w:p>
        </w:tc>
        <w:tc>
          <w:tcPr>
            <w:tcW w:w="100" w:type="dxa"/>
            <w:vAlign w:val="bottom"/>
            <w:tcBorders>
              <w:bottom w:val="single" w:sz="8" w:color="auto"/>
            </w:tcBorders>
            <w:shd w:val="clear" w:color="auto" w:fill="CFF0FC"/>
          </w:tcPr>
          <w:p>
            <w:pPr>
              <w:spacing w:after="0"/>
              <w:rPr>
                <w:sz w:val="22"/>
                <w:szCs w:val="22"/>
                <w:color w:val="auto"/>
              </w:rPr>
            </w:pPr>
          </w:p>
        </w:tc>
        <w:tc>
          <w:tcPr>
            <w:tcW w:w="13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167,387</w:t>
            </w:r>
          </w:p>
        </w:tc>
        <w:tc>
          <w:tcPr>
            <w:tcW w:w="2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13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136,069</w:t>
            </w:r>
          </w:p>
        </w:tc>
      </w:tr>
      <w:tr>
        <w:trPr>
          <w:trHeight w:val="250"/>
        </w:trPr>
        <w:tc>
          <w:tcPr>
            <w:tcW w:w="8040" w:type="dxa"/>
            <w:vAlign w:val="bottom"/>
          </w:tcPr>
          <w:p>
            <w:pPr>
              <w:ind w:left="20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663,660</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542,953</w:t>
            </w:r>
          </w:p>
        </w:tc>
      </w:tr>
      <w:tr>
        <w:trPr>
          <w:trHeight w:val="20"/>
        </w:trPr>
        <w:tc>
          <w:tcPr>
            <w:tcW w:w="8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-193675</wp:posOffset>
            </wp:positionV>
            <wp:extent cx="137160" cy="57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137160" cy="571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Subsequent Events</w:t>
      </w:r>
    </w:p>
    <w:p>
      <w:pPr>
        <w:spacing w:after="0" w:line="24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Company has evaluated subsequent events through the issuance date of these condensed consolidated financial statements.</w:t>
      </w:r>
    </w:p>
    <w:p>
      <w:pPr>
        <w:spacing w:after="0" w:line="239" w:lineRule="exact"/>
        <w:rPr>
          <w:sz w:val="20"/>
          <w:szCs w:val="20"/>
          <w:color w:val="auto"/>
        </w:rPr>
      </w:pPr>
    </w:p>
    <w:p>
      <w:pPr>
        <w:jc w:val="both"/>
        <w:ind w:right="20" w:firstLine="464"/>
        <w:spacing w:after="0" w:line="324" w:lineRule="auto"/>
        <w:rPr>
          <w:sz w:val="20"/>
          <w:szCs w:val="20"/>
          <w:color w:val="auto"/>
        </w:rPr>
      </w:pPr>
      <w:r>
        <w:rPr>
          <w:rFonts w:ascii="Arial" w:cs="Arial" w:eastAsia="Arial" w:hAnsi="Arial"/>
          <w:sz w:val="17"/>
          <w:szCs w:val="17"/>
          <w:color w:val="auto"/>
        </w:rPr>
        <w:t>In November 2021, PWP OpCo agreed to provide loans to certain partners in an aggregate amount of approximately $3.3 million in order to provide such partners with liquidity to pay taxes related to partnership equity which vested in connection with the Business Combination.</w:t>
      </w:r>
    </w:p>
    <w:p>
      <w:pPr>
        <w:spacing w:after="0" w:line="147" w:lineRule="exact"/>
        <w:rPr>
          <w:sz w:val="20"/>
          <w:szCs w:val="20"/>
          <w:color w:val="auto"/>
        </w:rPr>
      </w:pPr>
    </w:p>
    <w:p>
      <w:pPr>
        <w:jc w:val="both"/>
        <w:ind w:firstLine="464"/>
        <w:spacing w:after="0" w:line="359" w:lineRule="auto"/>
        <w:rPr>
          <w:sz w:val="20"/>
          <w:szCs w:val="20"/>
          <w:color w:val="auto"/>
        </w:rPr>
      </w:pPr>
      <w:r>
        <w:rPr>
          <w:rFonts w:ascii="Arial" w:cs="Arial" w:eastAsia="Arial" w:hAnsi="Arial"/>
          <w:sz w:val="16"/>
          <w:szCs w:val="16"/>
          <w:color w:val="auto"/>
        </w:rPr>
        <w:t>On November 3, 2021, the Company’s Board of Directors declared a cash dividend of $0.07 per outstanding share of Class A common stock. This dividend will be payable on December 17, 2021 to each of the holders of Class A common stock of record as of the close of business on December 3, 2021.</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Item 2. Management</w:t>
      </w:r>
      <w:r>
        <w:rPr>
          <w:rFonts w:ascii="Arial" w:cs="Arial" w:eastAsia="Arial" w:hAnsi="Arial"/>
          <w:sz w:val="18"/>
          <w:szCs w:val="18"/>
          <w:b w:val="1"/>
          <w:bCs w:val="1"/>
          <w:color w:val="231F20"/>
        </w:rPr>
        <w:t>’</w:t>
      </w:r>
      <w:r>
        <w:rPr>
          <w:rFonts w:ascii="Arial" w:cs="Arial" w:eastAsia="Arial" w:hAnsi="Arial"/>
          <w:sz w:val="18"/>
          <w:szCs w:val="18"/>
          <w:b w:val="1"/>
          <w:bCs w:val="1"/>
          <w:color w:val="auto"/>
        </w:rPr>
        <w:t>s Discussion and Analysis of Financial Condition and Results of Operations</w:t>
      </w:r>
    </w:p>
    <w:p>
      <w:pPr>
        <w:spacing w:after="0" w:line="243" w:lineRule="exact"/>
        <w:rPr>
          <w:sz w:val="20"/>
          <w:szCs w:val="20"/>
          <w:color w:val="auto"/>
        </w:rPr>
      </w:pPr>
    </w:p>
    <w:p>
      <w:pPr>
        <w:jc w:val="both"/>
        <w:ind w:firstLine="464"/>
        <w:spacing w:after="0" w:line="272"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unaudited condensed consolidated financial statements and related notes included elsewhere in this Form 10-Q. This discussion contains forward-looking statements that involve risks and uncertainties. Our actual results could differ materially from the forward-looking statements below. Factors that could cause or contribute to such differences include, but are not limited to, those identified below and those discussed in the section entitled “Risk Factors” and elsewhere in this Form 10-Q.</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243" w:lineRule="exact"/>
        <w:rPr>
          <w:sz w:val="20"/>
          <w:szCs w:val="20"/>
          <w:color w:val="auto"/>
        </w:rPr>
      </w:pPr>
    </w:p>
    <w:p>
      <w:pPr>
        <w:jc w:val="both"/>
        <w:ind w:firstLine="464"/>
        <w:spacing w:after="0" w:line="329" w:lineRule="auto"/>
        <w:rPr>
          <w:sz w:val="20"/>
          <w:szCs w:val="20"/>
          <w:color w:val="auto"/>
        </w:rPr>
      </w:pPr>
      <w:r>
        <w:rPr>
          <w:rFonts w:ascii="Arial" w:cs="Arial" w:eastAsia="Arial" w:hAnsi="Arial"/>
          <w:sz w:val="16"/>
          <w:szCs w:val="16"/>
          <w:color w:val="auto"/>
        </w:rPr>
        <w:t>We are a leading global independent advisory firm that provides strategic and financial advice to clients across a range of the most active industry sectors and international markets. We provide advisory services to a wide range of clients globally, including large public multinational corporations, mid-sized public and private companies, individual entrepreneurs, private and institutional investors, creditor committees and government institutions.</w:t>
      </w:r>
    </w:p>
    <w:p>
      <w:pPr>
        <w:spacing w:after="0" w:line="148" w:lineRule="exact"/>
        <w:rPr>
          <w:sz w:val="20"/>
          <w:szCs w:val="20"/>
          <w:color w:val="auto"/>
        </w:rPr>
      </w:pPr>
    </w:p>
    <w:p>
      <w:pPr>
        <w:jc w:val="both"/>
        <w:ind w:firstLine="464"/>
        <w:spacing w:after="0" w:line="287" w:lineRule="auto"/>
        <w:rPr>
          <w:sz w:val="20"/>
          <w:szCs w:val="20"/>
          <w:color w:val="auto"/>
        </w:rPr>
      </w:pPr>
      <w:r>
        <w:rPr>
          <w:rFonts w:ascii="Arial" w:cs="Arial" w:eastAsia="Arial" w:hAnsi="Arial"/>
          <w:sz w:val="17"/>
          <w:szCs w:val="17"/>
          <w:color w:val="auto"/>
        </w:rPr>
        <w:t>We were founded in June 2006 with the opening of offices in New York and London, led by a team of ten seasoned advisory partners who previously held senior management positions at large global investment banks. Our mission is helping clients address complex strategic and financial challenges. The foundation of our Company was rooted in a belief, among other considerations, that clients would increasingly seek out deeply experienced advisors who offer independent strategic thinking and who are not burdened by the complicated conflicts that large investment banking institutions may face due to their various businesses. The 2008 global financial crisis reinforced this hypothesis and contributed to the early growth of our firm. Today, we believe that our independence is even more important. For clients and for us, independence means freedom from the distractions that dilute strategic thinking and a willingness and candor to share an honest opinion. We believe that our clients choose to engage us because they value our unbiased perspective and expert advice regarding complex financial and strategic matters.</w:t>
      </w:r>
    </w:p>
    <w:p>
      <w:pPr>
        <w:spacing w:after="0" w:line="182" w:lineRule="exact"/>
        <w:rPr>
          <w:sz w:val="20"/>
          <w:szCs w:val="20"/>
          <w:color w:val="auto"/>
        </w:rPr>
      </w:pPr>
    </w:p>
    <w:p>
      <w:pPr>
        <w:jc w:val="both"/>
        <w:ind w:firstLine="464"/>
        <w:spacing w:after="0" w:line="271" w:lineRule="auto"/>
        <w:rPr>
          <w:sz w:val="20"/>
          <w:szCs w:val="20"/>
          <w:color w:val="auto"/>
        </w:rPr>
      </w:pPr>
      <w:r>
        <w:rPr>
          <w:rFonts w:ascii="Arial" w:cs="Arial" w:eastAsia="Arial" w:hAnsi="Arial"/>
          <w:sz w:val="18"/>
          <w:szCs w:val="18"/>
          <w:color w:val="auto"/>
        </w:rPr>
        <w:t>Our business provides services to multiple industry sectors and geographic markets. We believe that our collaborative partnership and integrated approach combining deep industry insights, significant technical, product and transactional expertise, and rigorous work ethic create a significant opportunity for our Company to realize sustainable growth. We seek to advise clients throughout their evolution, with the full range of our advisory capabilities including, among other things, advice related to mission-critical strategic and financial decisions, mergers and acquisitions (“M&amp;A”) execution, capital markets advisory, shareholder and defense advisory, capital raising, capital structure and restructuring, specialized underwriting and research services for the energy and related industries.</w:t>
      </w:r>
    </w:p>
    <w:p>
      <w:pPr>
        <w:spacing w:after="0" w:line="191" w:lineRule="exact"/>
        <w:rPr>
          <w:sz w:val="20"/>
          <w:szCs w:val="20"/>
          <w:color w:val="auto"/>
        </w:rPr>
      </w:pPr>
    </w:p>
    <w:p>
      <w:pPr>
        <w:jc w:val="both"/>
        <w:ind w:firstLine="464"/>
        <w:spacing w:after="0" w:line="314" w:lineRule="auto"/>
        <w:rPr>
          <w:sz w:val="20"/>
          <w:szCs w:val="20"/>
          <w:color w:val="auto"/>
        </w:rPr>
      </w:pPr>
      <w:r>
        <w:rPr>
          <w:rFonts w:ascii="Arial" w:cs="Arial" w:eastAsia="Arial" w:hAnsi="Arial"/>
          <w:sz w:val="16"/>
          <w:szCs w:val="16"/>
          <w:color w:val="auto"/>
        </w:rPr>
        <w:t>Since our inception, we have experienced significant growth in our business, driven by hiring professionals who are highly regarded in their fields of expertise, expanding the scope and geographic reach of our advisory services, deepening and expanding our client relationships and maintaining a firm culture that attracts, develops and retains talented people. In addition to our hiring and internal development of individual professionals, in November 2016, we completed a business combination with Tudor, Pickering, Holt &amp; Co., LLC (“TPH”), an independent advisory firm, focused on the energy industry. As of September 30, 2021, we serve our clients with 58 advisory partners based in 10 offices, located in five countries around the world.</w:t>
      </w:r>
    </w:p>
    <w:p>
      <w:pPr>
        <w:spacing w:after="0" w:line="160" w:lineRule="exact"/>
        <w:rPr>
          <w:sz w:val="20"/>
          <w:szCs w:val="20"/>
          <w:color w:val="auto"/>
        </w:rPr>
      </w:pPr>
    </w:p>
    <w:p>
      <w:pPr>
        <w:jc w:val="both"/>
        <w:ind w:firstLine="464"/>
        <w:spacing w:after="0" w:line="293" w:lineRule="auto"/>
        <w:rPr>
          <w:sz w:val="20"/>
          <w:szCs w:val="20"/>
          <w:color w:val="auto"/>
        </w:rPr>
      </w:pPr>
      <w:r>
        <w:rPr>
          <w:rFonts w:ascii="Arial" w:cs="Arial" w:eastAsia="Arial" w:hAnsi="Arial"/>
          <w:sz w:val="18"/>
          <w:szCs w:val="18"/>
          <w:color w:val="auto"/>
        </w:rPr>
        <w:t>We generate and recognize revenues when earned, primarily from providing advisory services on transactions that are subject to individually negotiated engagement letters, which set forth our fees.</w:t>
      </w:r>
    </w:p>
    <w:p>
      <w:pPr>
        <w:spacing w:after="0" w:line="170" w:lineRule="exact"/>
        <w:rPr>
          <w:sz w:val="20"/>
          <w:szCs w:val="20"/>
          <w:color w:val="auto"/>
        </w:rPr>
      </w:pPr>
    </w:p>
    <w:p>
      <w:pPr>
        <w:jc w:val="both"/>
        <w:ind w:firstLine="464"/>
        <w:spacing w:after="0" w:line="271" w:lineRule="auto"/>
        <w:rPr>
          <w:sz w:val="20"/>
          <w:szCs w:val="20"/>
          <w:color w:val="auto"/>
        </w:rPr>
      </w:pPr>
      <w:r>
        <w:rPr>
          <w:rFonts w:ascii="Arial" w:cs="Arial" w:eastAsia="Arial" w:hAnsi="Arial"/>
          <w:sz w:val="18"/>
          <w:szCs w:val="18"/>
          <w:color w:val="auto"/>
        </w:rPr>
        <w:t>Upfront fees are recognized over the estimated period that the related services are performed. Transaction-related fees are recognized when or as services for a transaction are provided and specified conditions or certain milestones have been achieved, which are often outside of our control. Underwriting revenues are recognized when the offering is deemed complete. As a result, revenues and net income in any period may not be indicative of full year results or the results of any other period and may vary significantly from year to year and quarter to quarter. The performance of our business depends on the ability of our professionals to build relationships with clients over many years by providing trusted advice and exceptional transaction execution.</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46" w:name="page47"/>
    <w:bookmarkEnd w:id="46"/>
    <w:p>
      <w:pPr>
        <w:jc w:val="both"/>
        <w:ind w:firstLine="464"/>
        <w:spacing w:after="0" w:line="286" w:lineRule="auto"/>
        <w:rPr>
          <w:sz w:val="20"/>
          <w:szCs w:val="20"/>
          <w:color w:val="auto"/>
        </w:rPr>
      </w:pPr>
      <w:r>
        <w:rPr>
          <w:rFonts w:ascii="Arial" w:cs="Arial" w:eastAsia="Arial" w:hAnsi="Arial"/>
          <w:sz w:val="17"/>
          <w:szCs w:val="17"/>
          <w:color w:val="auto"/>
        </w:rPr>
        <w:t>On June 24, 2021, Perella Weinberg Partners consummated the Business Combination Agreement whereby (i) FTIV acquired certain partnership interests in PWP OpCo, (ii) PWP OpCo became jointly-owned by Perella Weinberg Partners, Professional Partners and certain existing partners of PWP OpCo, and (iii) PWP OpCo serves as the Company’s operating partnership as part of an umbrella limited partnership C-corporation (Up-C) structure. The Business Combination was structured as a reverse recapitalization. The historical operations of PWP OpCo are deemed to be those of the Company. Thus, the condensed consolidated financial statements included in this Quarterly Report on Form 10-Q reflect (i) the historical operating results of PWP OpCo prior to the Business Combination and (ii) the combined results of the Company following the Business Combination. The Company shareholders are entitled to receive a portion of PWP OpCo’s economics through their direct ownership interests in shares of Class A common stock of Perella Weinberg Partners. The non-controlling interest owners of PWP OpCo receive economics through ownership of PWP OpCo Class A partnership units (“PWP OpCo Units”). See Note 3 – Business Combination and Note 11 – Stockholders’ Equity in the notes to condensed consolidated financial statements included elsewhere in this Form 10-Q for additional discussion related to the transaction.</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Outlook</w:t>
      </w:r>
    </w:p>
    <w:p>
      <w:pPr>
        <w:spacing w:after="0" w:line="243" w:lineRule="exact"/>
        <w:rPr>
          <w:sz w:val="20"/>
          <w:szCs w:val="20"/>
          <w:color w:val="auto"/>
        </w:rPr>
      </w:pPr>
    </w:p>
    <w:p>
      <w:pPr>
        <w:jc w:val="both"/>
        <w:ind w:firstLine="464"/>
        <w:spacing w:after="0" w:line="275" w:lineRule="auto"/>
        <w:rPr>
          <w:sz w:val="20"/>
          <w:szCs w:val="20"/>
          <w:color w:val="auto"/>
        </w:rPr>
      </w:pPr>
      <w:r>
        <w:rPr>
          <w:rFonts w:ascii="Arial" w:cs="Arial" w:eastAsia="Arial" w:hAnsi="Arial"/>
          <w:sz w:val="18"/>
          <w:szCs w:val="18"/>
          <w:color w:val="auto"/>
        </w:rPr>
        <w:t>Worldwide announced M&amp;A volumes in the first three quarters of 2021 increased significantly as compared to the same period in 2020. While the overall level of mergers and acquisitions globally declined in 2020, heavily influenced by the impact of the COVID-19 pandemic, M&amp;A activity began to recover in the third quarter of 2020, accelerated in the fourth quarter of 2020, and continued to reflect a strong performance for the nine months ended September 30, 2021.</w:t>
      </w:r>
    </w:p>
    <w:p>
      <w:pPr>
        <w:spacing w:after="0" w:line="185"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8"/>
          <w:szCs w:val="18"/>
          <w:color w:val="auto"/>
        </w:rPr>
        <w:t>The level of M&amp;A advisory dialogue remains strong across all our industries and geographies of focus and among our large cap, middle market and sponsor clients. As companies continue to focus on strategic growth and capital deployment, we expect these considerations and the overall business environment will keep activity robust in the medium term.</w:t>
      </w:r>
    </w:p>
    <w:p>
      <w:pPr>
        <w:spacing w:after="0" w:line="183" w:lineRule="exact"/>
        <w:rPr>
          <w:sz w:val="20"/>
          <w:szCs w:val="20"/>
          <w:color w:val="auto"/>
        </w:rPr>
      </w:pPr>
    </w:p>
    <w:p>
      <w:pPr>
        <w:jc w:val="both"/>
        <w:ind w:right="20" w:firstLine="464"/>
        <w:spacing w:after="0" w:line="275" w:lineRule="auto"/>
        <w:rPr>
          <w:sz w:val="20"/>
          <w:szCs w:val="20"/>
          <w:color w:val="auto"/>
        </w:rPr>
      </w:pPr>
      <w:r>
        <w:rPr>
          <w:rFonts w:ascii="Arial" w:cs="Arial" w:eastAsia="Arial" w:hAnsi="Arial"/>
          <w:sz w:val="18"/>
          <w:szCs w:val="18"/>
          <w:color w:val="auto"/>
        </w:rPr>
        <w:t>More broadly, our core advisory services benefit from changes which impact our client base and lead them to consider business combinations, acquisitions and divestitures, capital raises and restructurings. These changes can include a broad range of economic factors in global or local markets, technological advancements which alter the competitive landscape, regulatory and political policies, globalization, changing consumer preferences, commodity and financial market movements, among many other factors.</w:t>
      </w:r>
    </w:p>
    <w:p>
      <w:pPr>
        <w:spacing w:after="0" w:line="185"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8"/>
          <w:szCs w:val="18"/>
          <w:color w:val="auto"/>
        </w:rPr>
        <w:t>As our team of advisory professionals expands and continues to gain traction, and as we continue to expand our advisory services, we expect our sector-focused global team collaboration will deepen and continue to resonate with clients. We expect to continue to experience growing global demand for independent advice.</w:t>
      </w:r>
    </w:p>
    <w:p>
      <w:pPr>
        <w:spacing w:after="0" w:line="183" w:lineRule="exact"/>
        <w:rPr>
          <w:sz w:val="20"/>
          <w:szCs w:val="20"/>
          <w:color w:val="auto"/>
        </w:rPr>
      </w:pPr>
    </w:p>
    <w:p>
      <w:pPr>
        <w:jc w:val="both"/>
        <w:ind w:firstLine="464"/>
        <w:spacing w:after="0" w:line="293" w:lineRule="auto"/>
        <w:rPr>
          <w:sz w:val="20"/>
          <w:szCs w:val="20"/>
          <w:color w:val="auto"/>
        </w:rPr>
      </w:pPr>
      <w:r>
        <w:rPr>
          <w:rFonts w:ascii="Arial" w:cs="Arial" w:eastAsia="Arial" w:hAnsi="Arial"/>
          <w:sz w:val="18"/>
          <w:szCs w:val="18"/>
          <w:color w:val="auto"/>
        </w:rPr>
        <w:t>Economic and global financial conditions can materially affect our operational and financial performance. See “</w:t>
      </w:r>
      <w:r>
        <w:rPr>
          <w:rFonts w:ascii="Arial" w:cs="Arial" w:eastAsia="Arial" w:hAnsi="Arial"/>
          <w:sz w:val="18"/>
          <w:szCs w:val="18"/>
          <w:i w:val="1"/>
          <w:iCs w:val="1"/>
          <w:color w:val="auto"/>
        </w:rPr>
        <w:t>Risk Factors</w:t>
      </w:r>
      <w:r>
        <w:rPr>
          <w:rFonts w:ascii="Arial" w:cs="Arial" w:eastAsia="Arial" w:hAnsi="Arial"/>
          <w:sz w:val="18"/>
          <w:szCs w:val="18"/>
          <w:color w:val="auto"/>
        </w:rPr>
        <w:t>” included elsewhere in this Form 10-Q for a discussion of some of the factors that can affect our performance.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r>
              <w:rPr>
                <w:rFonts w:ascii="Arial" w:cs="Arial" w:eastAsia="Arial" w:hAnsi="Arial"/>
                <w:sz w:val="18"/>
                <w:szCs w:val="18"/>
                <w:b w:val="1"/>
                <w:bCs w:val="1"/>
                <w:color w:val="auto"/>
              </w:rPr>
              <w:t>Results of Operations</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7240" w:type="dxa"/>
            <w:vAlign w:val="bottom"/>
            <w:gridSpan w:val="8"/>
          </w:tcPr>
          <w:p>
            <w:pPr>
              <w:ind w:left="480"/>
              <w:spacing w:after="0"/>
              <w:rPr>
                <w:sz w:val="20"/>
                <w:szCs w:val="20"/>
                <w:color w:val="auto"/>
              </w:rPr>
            </w:pPr>
            <w:r>
              <w:rPr>
                <w:rFonts w:ascii="Arial" w:cs="Arial" w:eastAsia="Arial" w:hAnsi="Arial"/>
                <w:sz w:val="18"/>
                <w:szCs w:val="18"/>
                <w:color w:val="auto"/>
                <w:w w:val="91"/>
              </w:rPr>
              <w:t>The following is a discussion of our results of operations for the respective periods indicated:</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33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6"/>
          </w:tcPr>
          <w:p>
            <w:pPr>
              <w:ind w:left="320"/>
              <w:spacing w:after="0"/>
              <w:rPr>
                <w:sz w:val="20"/>
                <w:szCs w:val="20"/>
                <w:color w:val="auto"/>
              </w:rPr>
            </w:pPr>
            <w:r>
              <w:rPr>
                <w:rFonts w:ascii="Arial" w:cs="Arial" w:eastAsia="Arial" w:hAnsi="Arial"/>
                <w:sz w:val="18"/>
                <w:szCs w:val="18"/>
                <w:b w:val="1"/>
                <w:bCs w:val="1"/>
                <w:color w:val="auto"/>
              </w:rPr>
              <w:t>Three Months Ended September 30,</w:t>
            </w:r>
          </w:p>
        </w:tc>
        <w:tc>
          <w:tcPr>
            <w:tcW w:w="2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6"/>
          </w:tcPr>
          <w:p>
            <w:pPr>
              <w:ind w:left="320"/>
              <w:spacing w:after="0"/>
              <w:rPr>
                <w:sz w:val="20"/>
                <w:szCs w:val="20"/>
                <w:color w:val="auto"/>
              </w:rPr>
            </w:pPr>
            <w:r>
              <w:rPr>
                <w:rFonts w:ascii="Arial" w:cs="Arial" w:eastAsia="Arial" w:hAnsi="Arial"/>
                <w:sz w:val="18"/>
                <w:szCs w:val="18"/>
                <w:b w:val="1"/>
                <w:bCs w:val="1"/>
                <w:color w:val="auto"/>
              </w:rPr>
              <w:t>Nine Months Ended September 30,</w:t>
            </w:r>
          </w:p>
        </w:tc>
        <w:tc>
          <w:tcPr>
            <w:tcW w:w="0" w:type="dxa"/>
            <w:vAlign w:val="bottom"/>
          </w:tcPr>
          <w:p>
            <w:pPr>
              <w:spacing w:after="0"/>
              <w:rPr>
                <w:sz w:val="1"/>
                <w:szCs w:val="1"/>
                <w:color w:val="auto"/>
              </w:rPr>
            </w:pPr>
          </w:p>
        </w:tc>
      </w:tr>
      <w:tr>
        <w:trPr>
          <w:trHeight w:val="257"/>
        </w:trPr>
        <w:tc>
          <w:tcPr>
            <w:tcW w:w="3320" w:type="dxa"/>
            <w:vAlign w:val="bottom"/>
          </w:tcPr>
          <w:p>
            <w:pPr>
              <w:ind w:left="20"/>
              <w:spacing w:after="0"/>
              <w:rPr>
                <w:sz w:val="20"/>
                <w:szCs w:val="20"/>
                <w:color w:val="auto"/>
              </w:rPr>
            </w:pPr>
            <w:r>
              <w:rPr>
                <w:rFonts w:ascii="Arial" w:cs="Arial" w:eastAsia="Arial" w:hAnsi="Arial"/>
                <w:sz w:val="18"/>
                <w:szCs w:val="18"/>
                <w:b w:val="1"/>
                <w:bCs w:val="1"/>
                <w:color w:val="auto"/>
              </w:rPr>
              <w:t>(Dollars in thousands)</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2"/>
                <w:szCs w:val="22"/>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2021 vs. 2020</w:t>
            </w:r>
          </w:p>
        </w:tc>
        <w:tc>
          <w:tcPr>
            <w:tcW w:w="2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2"/>
                <w:szCs w:val="22"/>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2021 vs. 2020</w:t>
            </w:r>
          </w:p>
        </w:tc>
        <w:tc>
          <w:tcPr>
            <w:tcW w:w="0" w:type="dxa"/>
            <w:vAlign w:val="bottom"/>
          </w:tcPr>
          <w:p>
            <w:pPr>
              <w:spacing w:after="0"/>
              <w:rPr>
                <w:sz w:val="1"/>
                <w:szCs w:val="1"/>
                <w:color w:val="auto"/>
              </w:rPr>
            </w:pPr>
          </w:p>
        </w:tc>
      </w:tr>
      <w:tr>
        <w:trPr>
          <w:trHeight w:val="250"/>
        </w:trPr>
        <w:tc>
          <w:tcPr>
            <w:tcW w:w="33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Revenues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177,427</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122,844</w:t>
            </w:r>
          </w:p>
        </w:tc>
        <w:tc>
          <w:tcPr>
            <w:tcW w:w="1300" w:type="dxa"/>
            <w:vAlign w:val="bottom"/>
            <w:gridSpan w:val="2"/>
            <w:shd w:val="clear" w:color="auto" w:fill="CFF0FC"/>
          </w:tcPr>
          <w:p>
            <w:pPr>
              <w:jc w:val="center"/>
              <w:ind w:left="130"/>
              <w:spacing w:after="0"/>
              <w:rPr>
                <w:sz w:val="20"/>
                <w:szCs w:val="20"/>
                <w:color w:val="auto"/>
              </w:rPr>
            </w:pPr>
            <w:r>
              <w:rPr>
                <w:rFonts w:ascii="Arial" w:cs="Arial" w:eastAsia="Arial" w:hAnsi="Arial"/>
                <w:sz w:val="18"/>
                <w:szCs w:val="18"/>
                <w:color w:val="auto"/>
                <w:w w:val="88"/>
              </w:rPr>
              <w:t>44%</w:t>
            </w:r>
          </w:p>
        </w:tc>
        <w:tc>
          <w:tcPr>
            <w:tcW w:w="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602,749</w:t>
            </w:r>
          </w:p>
        </w:tc>
        <w:tc>
          <w:tcPr>
            <w:tcW w:w="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329,841</w:t>
            </w:r>
          </w:p>
        </w:tc>
        <w:tc>
          <w:tcPr>
            <w:tcW w:w="1280" w:type="dxa"/>
            <w:vAlign w:val="bottom"/>
            <w:gridSpan w:val="2"/>
            <w:shd w:val="clear" w:color="auto" w:fill="CFF0FC"/>
          </w:tcPr>
          <w:p>
            <w:pPr>
              <w:jc w:val="center"/>
              <w:ind w:left="110"/>
              <w:spacing w:after="0"/>
              <w:rPr>
                <w:sz w:val="20"/>
                <w:szCs w:val="20"/>
                <w:color w:val="auto"/>
              </w:rPr>
            </w:pPr>
            <w:r>
              <w:rPr>
                <w:rFonts w:ascii="Arial" w:cs="Arial" w:eastAsia="Arial" w:hAnsi="Arial"/>
                <w:sz w:val="18"/>
                <w:szCs w:val="18"/>
                <w:color w:val="auto"/>
                <w:w w:val="88"/>
              </w:rPr>
              <w:t>83%</w:t>
            </w:r>
          </w:p>
        </w:tc>
        <w:tc>
          <w:tcPr>
            <w:tcW w:w="0" w:type="dxa"/>
            <w:vAlign w:val="bottom"/>
          </w:tcPr>
          <w:p>
            <w:pPr>
              <w:spacing w:after="0"/>
              <w:rPr>
                <w:sz w:val="1"/>
                <w:szCs w:val="1"/>
                <w:color w:val="auto"/>
              </w:rPr>
            </w:pPr>
          </w:p>
        </w:tc>
      </w:tr>
      <w:tr>
        <w:trPr>
          <w:trHeight w:val="250"/>
        </w:trPr>
        <w:tc>
          <w:tcPr>
            <w:tcW w:w="3320" w:type="dxa"/>
            <w:vAlign w:val="bottom"/>
          </w:tcPr>
          <w:p>
            <w:pPr>
              <w:ind w:left="20"/>
              <w:spacing w:after="0"/>
              <w:rPr>
                <w:sz w:val="20"/>
                <w:szCs w:val="20"/>
                <w:color w:val="auto"/>
              </w:rPr>
            </w:pPr>
            <w:r>
              <w:rPr>
                <w:rFonts w:ascii="Arial" w:cs="Arial" w:eastAsia="Arial" w:hAnsi="Arial"/>
                <w:sz w:val="18"/>
                <w:szCs w:val="18"/>
                <w:b w:val="1"/>
                <w:bCs w:val="1"/>
                <w:color w:val="auto"/>
              </w:rPr>
              <w:t>Expenses</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3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Compensation and benefits</w:t>
            </w:r>
          </w:p>
        </w:tc>
        <w:tc>
          <w:tcPr>
            <w:tcW w:w="240" w:type="dxa"/>
            <w:vAlign w:val="bottom"/>
            <w:shd w:val="clear" w:color="auto" w:fill="CFF0FC"/>
          </w:tcPr>
          <w:p>
            <w:pPr>
              <w:spacing w:after="0"/>
              <w:rPr>
                <w:sz w:val="22"/>
                <w:szCs w:val="22"/>
                <w:color w:val="auto"/>
              </w:rPr>
            </w:pPr>
          </w:p>
        </w:tc>
        <w:tc>
          <w:tcPr>
            <w:tcW w:w="10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113,322</w:t>
            </w:r>
          </w:p>
        </w:tc>
        <w:tc>
          <w:tcPr>
            <w:tcW w:w="2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84,785</w:t>
            </w:r>
          </w:p>
        </w:tc>
        <w:tc>
          <w:tcPr>
            <w:tcW w:w="1300" w:type="dxa"/>
            <w:vAlign w:val="bottom"/>
            <w:gridSpan w:val="2"/>
            <w:shd w:val="clear" w:color="auto" w:fill="CFF0FC"/>
          </w:tcPr>
          <w:p>
            <w:pPr>
              <w:jc w:val="center"/>
              <w:ind w:left="130"/>
              <w:spacing w:after="0"/>
              <w:rPr>
                <w:sz w:val="20"/>
                <w:szCs w:val="20"/>
                <w:color w:val="auto"/>
              </w:rPr>
            </w:pPr>
            <w:r>
              <w:rPr>
                <w:rFonts w:ascii="Arial" w:cs="Arial" w:eastAsia="Arial" w:hAnsi="Arial"/>
                <w:sz w:val="18"/>
                <w:szCs w:val="18"/>
                <w:color w:val="auto"/>
                <w:w w:val="88"/>
              </w:rPr>
              <w:t>34%</w:t>
            </w:r>
          </w:p>
        </w:tc>
        <w:tc>
          <w:tcPr>
            <w:tcW w:w="2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387,196</w:t>
            </w:r>
          </w:p>
        </w:tc>
        <w:tc>
          <w:tcPr>
            <w:tcW w:w="2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229,550</w:t>
            </w:r>
          </w:p>
        </w:tc>
        <w:tc>
          <w:tcPr>
            <w:tcW w:w="1280" w:type="dxa"/>
            <w:vAlign w:val="bottom"/>
            <w:gridSpan w:val="2"/>
            <w:shd w:val="clear" w:color="auto" w:fill="CFF0FC"/>
          </w:tcPr>
          <w:p>
            <w:pPr>
              <w:jc w:val="center"/>
              <w:ind w:left="110"/>
              <w:spacing w:after="0"/>
              <w:rPr>
                <w:sz w:val="20"/>
                <w:szCs w:val="20"/>
                <w:color w:val="auto"/>
              </w:rPr>
            </w:pPr>
            <w:r>
              <w:rPr>
                <w:rFonts w:ascii="Arial" w:cs="Arial" w:eastAsia="Arial" w:hAnsi="Arial"/>
                <w:sz w:val="18"/>
                <w:szCs w:val="18"/>
                <w:color w:val="auto"/>
                <w:w w:val="88"/>
              </w:rPr>
              <w:t>69%</w:t>
            </w:r>
          </w:p>
        </w:tc>
        <w:tc>
          <w:tcPr>
            <w:tcW w:w="0" w:type="dxa"/>
            <w:vAlign w:val="bottom"/>
          </w:tcPr>
          <w:p>
            <w:pPr>
              <w:spacing w:after="0"/>
              <w:rPr>
                <w:sz w:val="1"/>
                <w:szCs w:val="1"/>
                <w:color w:val="auto"/>
              </w:rPr>
            </w:pPr>
          </w:p>
        </w:tc>
      </w:tr>
      <w:tr>
        <w:trPr>
          <w:trHeight w:val="256"/>
        </w:trPr>
        <w:tc>
          <w:tcPr>
            <w:tcW w:w="3320" w:type="dxa"/>
            <w:vAlign w:val="bottom"/>
          </w:tcPr>
          <w:p>
            <w:pPr>
              <w:ind w:left="120"/>
              <w:spacing w:after="0"/>
              <w:rPr>
                <w:sz w:val="20"/>
                <w:szCs w:val="20"/>
                <w:color w:val="auto"/>
              </w:rPr>
            </w:pPr>
            <w:r>
              <w:rPr>
                <w:rFonts w:ascii="Arial" w:cs="Arial" w:eastAsia="Arial" w:hAnsi="Arial"/>
                <w:sz w:val="18"/>
                <w:szCs w:val="18"/>
                <w:color w:val="auto"/>
              </w:rPr>
              <w:t>Equity-based compensation</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38,050</w:t>
            </w:r>
          </w:p>
        </w:tc>
        <w:tc>
          <w:tcPr>
            <w:tcW w:w="2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6,120</w:t>
            </w:r>
          </w:p>
        </w:tc>
        <w:tc>
          <w:tcPr>
            <w:tcW w:w="220" w:type="dxa"/>
            <w:vAlign w:val="bottom"/>
          </w:tcPr>
          <w:p>
            <w:pPr>
              <w:spacing w:after="0"/>
              <w:rPr>
                <w:sz w:val="22"/>
                <w:szCs w:val="22"/>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522%</w:t>
            </w:r>
          </w:p>
        </w:tc>
        <w:tc>
          <w:tcPr>
            <w:tcW w:w="2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51,272</w:t>
            </w:r>
          </w:p>
        </w:tc>
        <w:tc>
          <w:tcPr>
            <w:tcW w:w="2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18,484</w:t>
            </w:r>
          </w:p>
        </w:tc>
        <w:tc>
          <w:tcPr>
            <w:tcW w:w="200" w:type="dxa"/>
            <w:vAlign w:val="bottom"/>
          </w:tcPr>
          <w:p>
            <w:pPr>
              <w:spacing w:after="0"/>
              <w:rPr>
                <w:sz w:val="22"/>
                <w:szCs w:val="22"/>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177%</w:t>
            </w:r>
          </w:p>
        </w:tc>
        <w:tc>
          <w:tcPr>
            <w:tcW w:w="0" w:type="dxa"/>
            <w:vAlign w:val="bottom"/>
          </w:tcPr>
          <w:p>
            <w:pPr>
              <w:spacing w:after="0"/>
              <w:rPr>
                <w:sz w:val="1"/>
                <w:szCs w:val="1"/>
                <w:color w:val="auto"/>
              </w:rPr>
            </w:pPr>
          </w:p>
        </w:tc>
      </w:tr>
      <w:tr>
        <w:trPr>
          <w:trHeight w:val="250"/>
        </w:trPr>
        <w:tc>
          <w:tcPr>
            <w:tcW w:w="33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Total compensation and benefits</w:t>
            </w:r>
          </w:p>
        </w:tc>
        <w:tc>
          <w:tcPr>
            <w:tcW w:w="24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151,372</w:t>
            </w: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90,905</w:t>
            </w:r>
          </w:p>
        </w:tc>
        <w:tc>
          <w:tcPr>
            <w:tcW w:w="1300" w:type="dxa"/>
            <w:vAlign w:val="bottom"/>
            <w:gridSpan w:val="2"/>
            <w:shd w:val="clear" w:color="auto" w:fill="CFF0FC"/>
          </w:tcPr>
          <w:p>
            <w:pPr>
              <w:jc w:val="center"/>
              <w:ind w:left="130"/>
              <w:spacing w:after="0"/>
              <w:rPr>
                <w:sz w:val="20"/>
                <w:szCs w:val="20"/>
                <w:color w:val="auto"/>
              </w:rPr>
            </w:pPr>
            <w:r>
              <w:rPr>
                <w:rFonts w:ascii="Arial" w:cs="Arial" w:eastAsia="Arial" w:hAnsi="Arial"/>
                <w:sz w:val="18"/>
                <w:szCs w:val="18"/>
                <w:color w:val="auto"/>
                <w:w w:val="88"/>
              </w:rPr>
              <w:t>67%</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438,468</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248,034</w:t>
            </w:r>
          </w:p>
        </w:tc>
        <w:tc>
          <w:tcPr>
            <w:tcW w:w="1280" w:type="dxa"/>
            <w:vAlign w:val="bottom"/>
            <w:gridSpan w:val="2"/>
            <w:shd w:val="clear" w:color="auto" w:fill="CFF0FC"/>
          </w:tcPr>
          <w:p>
            <w:pPr>
              <w:jc w:val="center"/>
              <w:ind w:left="110"/>
              <w:spacing w:after="0"/>
              <w:rPr>
                <w:sz w:val="20"/>
                <w:szCs w:val="20"/>
                <w:color w:val="auto"/>
              </w:rPr>
            </w:pPr>
            <w:r>
              <w:rPr>
                <w:rFonts w:ascii="Arial" w:cs="Arial" w:eastAsia="Arial" w:hAnsi="Arial"/>
                <w:sz w:val="18"/>
                <w:szCs w:val="18"/>
                <w:color w:val="auto"/>
                <w:w w:val="88"/>
              </w:rPr>
              <w:t>77%</w:t>
            </w:r>
          </w:p>
        </w:tc>
        <w:tc>
          <w:tcPr>
            <w:tcW w:w="0" w:type="dxa"/>
            <w:vAlign w:val="bottom"/>
          </w:tcPr>
          <w:p>
            <w:pPr>
              <w:spacing w:after="0"/>
              <w:rPr>
                <w:sz w:val="1"/>
                <w:szCs w:val="1"/>
                <w:color w:val="auto"/>
              </w:rPr>
            </w:pPr>
          </w:p>
        </w:tc>
      </w:tr>
      <w:tr>
        <w:trPr>
          <w:trHeight w:val="257"/>
        </w:trPr>
        <w:tc>
          <w:tcPr>
            <w:tcW w:w="3320" w:type="dxa"/>
            <w:vAlign w:val="bottom"/>
          </w:tcPr>
          <w:p>
            <w:pPr>
              <w:ind w:left="120"/>
              <w:spacing w:after="0"/>
              <w:rPr>
                <w:sz w:val="20"/>
                <w:szCs w:val="20"/>
                <w:color w:val="auto"/>
              </w:rPr>
            </w:pPr>
            <w:r>
              <w:rPr>
                <w:rFonts w:ascii="Arial" w:cs="Arial" w:eastAsia="Arial" w:hAnsi="Arial"/>
                <w:sz w:val="18"/>
                <w:szCs w:val="18"/>
                <w:color w:val="auto"/>
              </w:rPr>
              <w:t>Non-compensation expenses</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36,382</w:t>
            </w:r>
          </w:p>
        </w:tc>
        <w:tc>
          <w:tcPr>
            <w:tcW w:w="2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30,407</w:t>
            </w:r>
          </w:p>
        </w:tc>
        <w:tc>
          <w:tcPr>
            <w:tcW w:w="220" w:type="dxa"/>
            <w:vAlign w:val="bottom"/>
          </w:tcPr>
          <w:p>
            <w:pPr>
              <w:spacing w:after="0"/>
              <w:rPr>
                <w:sz w:val="22"/>
                <w:szCs w:val="22"/>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20%</w:t>
            </w:r>
          </w:p>
        </w:tc>
        <w:tc>
          <w:tcPr>
            <w:tcW w:w="2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97,078</w:t>
            </w:r>
          </w:p>
        </w:tc>
        <w:tc>
          <w:tcPr>
            <w:tcW w:w="2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104,571</w:t>
            </w:r>
          </w:p>
        </w:tc>
        <w:tc>
          <w:tcPr>
            <w:tcW w:w="200" w:type="dxa"/>
            <w:vAlign w:val="bottom"/>
          </w:tcPr>
          <w:p>
            <w:pPr>
              <w:spacing w:after="0"/>
              <w:rPr>
                <w:sz w:val="22"/>
                <w:szCs w:val="22"/>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(7%)</w:t>
            </w:r>
          </w:p>
        </w:tc>
        <w:tc>
          <w:tcPr>
            <w:tcW w:w="0" w:type="dxa"/>
            <w:vAlign w:val="bottom"/>
          </w:tcPr>
          <w:p>
            <w:pPr>
              <w:spacing w:after="0"/>
              <w:rPr>
                <w:sz w:val="1"/>
                <w:szCs w:val="1"/>
                <w:color w:val="auto"/>
              </w:rPr>
            </w:pPr>
          </w:p>
        </w:tc>
      </w:tr>
      <w:tr>
        <w:trPr>
          <w:trHeight w:val="250"/>
        </w:trPr>
        <w:tc>
          <w:tcPr>
            <w:tcW w:w="33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Total operating expenses</w:t>
            </w:r>
          </w:p>
        </w:tc>
        <w:tc>
          <w:tcPr>
            <w:tcW w:w="24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187,754</w:t>
            </w: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121,312</w:t>
            </w:r>
          </w:p>
        </w:tc>
        <w:tc>
          <w:tcPr>
            <w:tcW w:w="1300" w:type="dxa"/>
            <w:vAlign w:val="bottom"/>
            <w:gridSpan w:val="2"/>
            <w:shd w:val="clear" w:color="auto" w:fill="CFF0FC"/>
          </w:tcPr>
          <w:p>
            <w:pPr>
              <w:jc w:val="center"/>
              <w:ind w:left="130"/>
              <w:spacing w:after="0"/>
              <w:rPr>
                <w:sz w:val="20"/>
                <w:szCs w:val="20"/>
                <w:color w:val="auto"/>
              </w:rPr>
            </w:pPr>
            <w:r>
              <w:rPr>
                <w:rFonts w:ascii="Arial" w:cs="Arial" w:eastAsia="Arial" w:hAnsi="Arial"/>
                <w:sz w:val="18"/>
                <w:szCs w:val="18"/>
                <w:color w:val="auto"/>
                <w:w w:val="88"/>
              </w:rPr>
              <w:t>55%</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535,546</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352,605</w:t>
            </w:r>
          </w:p>
        </w:tc>
        <w:tc>
          <w:tcPr>
            <w:tcW w:w="1280" w:type="dxa"/>
            <w:vAlign w:val="bottom"/>
            <w:gridSpan w:val="2"/>
            <w:shd w:val="clear" w:color="auto" w:fill="CFF0FC"/>
          </w:tcPr>
          <w:p>
            <w:pPr>
              <w:jc w:val="center"/>
              <w:ind w:left="110"/>
              <w:spacing w:after="0"/>
              <w:rPr>
                <w:sz w:val="20"/>
                <w:szCs w:val="20"/>
                <w:color w:val="auto"/>
              </w:rPr>
            </w:pPr>
            <w:r>
              <w:rPr>
                <w:rFonts w:ascii="Arial" w:cs="Arial" w:eastAsia="Arial" w:hAnsi="Arial"/>
                <w:sz w:val="18"/>
                <w:szCs w:val="18"/>
                <w:color w:val="auto"/>
                <w:w w:val="88"/>
              </w:rPr>
              <w:t>52%</w:t>
            </w:r>
          </w:p>
        </w:tc>
        <w:tc>
          <w:tcPr>
            <w:tcW w:w="0" w:type="dxa"/>
            <w:vAlign w:val="bottom"/>
          </w:tcPr>
          <w:p>
            <w:pPr>
              <w:spacing w:after="0"/>
              <w:rPr>
                <w:sz w:val="1"/>
                <w:szCs w:val="1"/>
                <w:color w:val="auto"/>
              </w:rPr>
            </w:pPr>
          </w:p>
        </w:tc>
      </w:tr>
      <w:tr>
        <w:trPr>
          <w:trHeight w:val="243"/>
        </w:trPr>
        <w:tc>
          <w:tcPr>
            <w:tcW w:w="332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2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(10,327 )</w:t>
            </w:r>
          </w:p>
        </w:tc>
        <w:tc>
          <w:tcPr>
            <w:tcW w:w="200" w:type="dxa"/>
            <w:vAlign w:val="bottom"/>
            <w:tcBorders>
              <w:top w:val="single" w:sz="8" w:color="CFF0FC"/>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1,532</w:t>
            </w:r>
          </w:p>
        </w:tc>
        <w:tc>
          <w:tcPr>
            <w:tcW w:w="220" w:type="dxa"/>
            <w:vAlign w:val="bottom"/>
            <w:tcBorders>
              <w:top w:val="single" w:sz="8" w:color="CFF0FC"/>
            </w:tcBorders>
          </w:tcPr>
          <w:p>
            <w:pPr>
              <w:spacing w:after="0"/>
              <w:rPr>
                <w:sz w:val="21"/>
                <w:szCs w:val="21"/>
                <w:color w:val="auto"/>
              </w:rPr>
            </w:pP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NM</w:t>
            </w:r>
          </w:p>
        </w:tc>
        <w:tc>
          <w:tcPr>
            <w:tcW w:w="200" w:type="dxa"/>
            <w:vAlign w:val="bottom"/>
            <w:tcBorders>
              <w:top w:val="single" w:sz="8" w:color="CFF0FC"/>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67,203</w:t>
            </w:r>
          </w:p>
        </w:tc>
        <w:tc>
          <w:tcPr>
            <w:tcW w:w="200" w:type="dxa"/>
            <w:vAlign w:val="bottom"/>
            <w:tcBorders>
              <w:top w:val="single" w:sz="8" w:color="CFF0FC"/>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(22,764 )</w:t>
            </w:r>
          </w:p>
        </w:tc>
        <w:tc>
          <w:tcPr>
            <w:tcW w:w="200" w:type="dxa"/>
            <w:vAlign w:val="bottom"/>
            <w:tcBorders>
              <w:top w:val="single" w:sz="8" w:color="CFF0FC"/>
            </w:tcBorders>
          </w:tcPr>
          <w:p>
            <w:pPr>
              <w:spacing w:after="0"/>
              <w:rPr>
                <w:sz w:val="21"/>
                <w:szCs w:val="21"/>
                <w:color w:val="auto"/>
              </w:rPr>
            </w:pP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63"/>
        </w:trPr>
        <w:tc>
          <w:tcPr>
            <w:tcW w:w="33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Non-operating income (expenses)</w:t>
            </w:r>
          </w:p>
        </w:tc>
        <w:tc>
          <w:tcPr>
            <w:tcW w:w="24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0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320" w:type="dxa"/>
            <w:vAlign w:val="bottom"/>
          </w:tcPr>
          <w:p>
            <w:pPr>
              <w:ind w:left="120"/>
              <w:spacing w:after="0"/>
              <w:rPr>
                <w:sz w:val="20"/>
                <w:szCs w:val="20"/>
                <w:color w:val="auto"/>
              </w:rPr>
            </w:pPr>
            <w:r>
              <w:rPr>
                <w:rFonts w:ascii="Arial" w:cs="Arial" w:eastAsia="Arial" w:hAnsi="Arial"/>
                <w:sz w:val="18"/>
                <w:szCs w:val="18"/>
                <w:color w:val="auto"/>
              </w:rPr>
              <w:t>Related party income</w:t>
            </w:r>
          </w:p>
        </w:tc>
        <w:tc>
          <w:tcPr>
            <w:tcW w:w="24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1,529</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2,412</w:t>
            </w:r>
          </w:p>
        </w:tc>
        <w:tc>
          <w:tcPr>
            <w:tcW w:w="1300" w:type="dxa"/>
            <w:vAlign w:val="bottom"/>
            <w:gridSpan w:val="2"/>
          </w:tcPr>
          <w:p>
            <w:pPr>
              <w:jc w:val="center"/>
              <w:ind w:left="130"/>
              <w:spacing w:after="0"/>
              <w:rPr>
                <w:sz w:val="20"/>
                <w:szCs w:val="20"/>
                <w:color w:val="auto"/>
              </w:rPr>
            </w:pPr>
            <w:r>
              <w:rPr>
                <w:rFonts w:ascii="Arial" w:cs="Arial" w:eastAsia="Arial" w:hAnsi="Arial"/>
                <w:sz w:val="18"/>
                <w:szCs w:val="18"/>
                <w:color w:val="auto"/>
                <w:w w:val="91"/>
              </w:rPr>
              <w:t>(37%)</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5,303</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7,183</w:t>
            </w:r>
          </w:p>
        </w:tc>
        <w:tc>
          <w:tcPr>
            <w:tcW w:w="1280" w:type="dxa"/>
            <w:vAlign w:val="bottom"/>
            <w:gridSpan w:val="2"/>
          </w:tcPr>
          <w:p>
            <w:pPr>
              <w:jc w:val="center"/>
              <w:ind w:left="110"/>
              <w:spacing w:after="0"/>
              <w:rPr>
                <w:sz w:val="20"/>
                <w:szCs w:val="20"/>
                <w:color w:val="auto"/>
              </w:rPr>
            </w:pPr>
            <w:r>
              <w:rPr>
                <w:rFonts w:ascii="Arial" w:cs="Arial" w:eastAsia="Arial" w:hAnsi="Arial"/>
                <w:sz w:val="18"/>
                <w:szCs w:val="18"/>
                <w:color w:val="auto"/>
                <w:w w:val="91"/>
              </w:rPr>
              <w:t>(26%)</w:t>
            </w:r>
          </w:p>
        </w:tc>
        <w:tc>
          <w:tcPr>
            <w:tcW w:w="0" w:type="dxa"/>
            <w:vAlign w:val="bottom"/>
          </w:tcPr>
          <w:p>
            <w:pPr>
              <w:spacing w:after="0"/>
              <w:rPr>
                <w:sz w:val="1"/>
                <w:szCs w:val="1"/>
                <w:color w:val="auto"/>
              </w:rPr>
            </w:pPr>
          </w:p>
        </w:tc>
      </w:tr>
      <w:tr>
        <w:trPr>
          <w:trHeight w:val="263"/>
        </w:trPr>
        <w:tc>
          <w:tcPr>
            <w:tcW w:w="33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Other income (expense)</w:t>
            </w:r>
          </w:p>
        </w:tc>
        <w:tc>
          <w:tcPr>
            <w:tcW w:w="240" w:type="dxa"/>
            <w:vAlign w:val="bottom"/>
            <w:shd w:val="clear" w:color="auto" w:fill="CFF0FC"/>
          </w:tcPr>
          <w:p>
            <w:pPr>
              <w:spacing w:after="0"/>
              <w:rPr>
                <w:sz w:val="22"/>
                <w:szCs w:val="22"/>
                <w:color w:val="auto"/>
              </w:rPr>
            </w:pPr>
          </w:p>
        </w:tc>
        <w:tc>
          <w:tcPr>
            <w:tcW w:w="10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2,564</w:t>
            </w:r>
          </w:p>
        </w:tc>
        <w:tc>
          <w:tcPr>
            <w:tcW w:w="2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(126 )</w:t>
            </w:r>
          </w:p>
        </w:tc>
        <w:tc>
          <w:tcPr>
            <w:tcW w:w="220" w:type="dxa"/>
            <w:vAlign w:val="bottom"/>
            <w:shd w:val="clear" w:color="auto" w:fill="CFF0FC"/>
          </w:tcPr>
          <w:p>
            <w:pPr>
              <w:spacing w:after="0"/>
              <w:rPr>
                <w:sz w:val="22"/>
                <w:szCs w:val="22"/>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NM</w:t>
            </w:r>
          </w:p>
        </w:tc>
        <w:tc>
          <w:tcPr>
            <w:tcW w:w="2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1,236</w:t>
            </w:r>
          </w:p>
        </w:tc>
        <w:tc>
          <w:tcPr>
            <w:tcW w:w="2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2,724</w:t>
            </w:r>
          </w:p>
        </w:tc>
        <w:tc>
          <w:tcPr>
            <w:tcW w:w="1280" w:type="dxa"/>
            <w:vAlign w:val="bottom"/>
            <w:gridSpan w:val="2"/>
            <w:shd w:val="clear" w:color="auto" w:fill="CFF0FC"/>
          </w:tcPr>
          <w:p>
            <w:pPr>
              <w:jc w:val="center"/>
              <w:ind w:left="110"/>
              <w:spacing w:after="0"/>
              <w:rPr>
                <w:sz w:val="20"/>
                <w:szCs w:val="20"/>
                <w:color w:val="auto"/>
              </w:rPr>
            </w:pPr>
            <w:r>
              <w:rPr>
                <w:rFonts w:ascii="Arial" w:cs="Arial" w:eastAsia="Arial" w:hAnsi="Arial"/>
                <w:sz w:val="18"/>
                <w:szCs w:val="18"/>
                <w:color w:val="auto"/>
                <w:w w:val="91"/>
              </w:rPr>
              <w:t>(55%)</w:t>
            </w:r>
          </w:p>
        </w:tc>
        <w:tc>
          <w:tcPr>
            <w:tcW w:w="0" w:type="dxa"/>
            <w:vAlign w:val="bottom"/>
          </w:tcPr>
          <w:p>
            <w:pPr>
              <w:spacing w:after="0"/>
              <w:rPr>
                <w:sz w:val="1"/>
                <w:szCs w:val="1"/>
                <w:color w:val="auto"/>
              </w:rPr>
            </w:pPr>
          </w:p>
        </w:tc>
      </w:tr>
      <w:tr>
        <w:trPr>
          <w:trHeight w:val="250"/>
        </w:trPr>
        <w:tc>
          <w:tcPr>
            <w:tcW w:w="3320" w:type="dxa"/>
            <w:vAlign w:val="bottom"/>
          </w:tcPr>
          <w:p>
            <w:pPr>
              <w:ind w:left="120"/>
              <w:spacing w:after="0"/>
              <w:rPr>
                <w:sz w:val="20"/>
                <w:szCs w:val="20"/>
                <w:color w:val="auto"/>
              </w:rPr>
            </w:pPr>
            <w:r>
              <w:rPr>
                <w:rFonts w:ascii="Arial" w:cs="Arial" w:eastAsia="Arial" w:hAnsi="Arial"/>
                <w:sz w:val="18"/>
                <w:szCs w:val="18"/>
                <w:color w:val="auto"/>
                <w:w w:val="99"/>
              </w:rPr>
              <w:t>Change in fair value of warrant liabilities</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(3,006 )</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center"/>
              <w:ind w:left="110"/>
              <w:spacing w:after="0"/>
              <w:rPr>
                <w:sz w:val="20"/>
                <w:szCs w:val="20"/>
                <w:color w:val="auto"/>
              </w:rPr>
            </w:pPr>
            <w:r>
              <w:rPr>
                <w:rFonts w:ascii="Arial" w:cs="Arial" w:eastAsia="Arial" w:hAnsi="Arial"/>
                <w:sz w:val="18"/>
                <w:szCs w:val="18"/>
                <w:color w:val="auto"/>
                <w:w w:val="91"/>
              </w:rPr>
              <w:t>100%</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(2,058 )</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center"/>
              <w:ind w:left="13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63"/>
        </w:trPr>
        <w:tc>
          <w:tcPr>
            <w:tcW w:w="33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Loss on debt extinguishment</w:t>
            </w:r>
          </w:p>
        </w:tc>
        <w:tc>
          <w:tcPr>
            <w:tcW w:w="240" w:type="dxa"/>
            <w:vAlign w:val="bottom"/>
            <w:shd w:val="clear" w:color="auto" w:fill="CFF0FC"/>
          </w:tcPr>
          <w:p>
            <w:pPr>
              <w:spacing w:after="0"/>
              <w:rPr>
                <w:sz w:val="22"/>
                <w:szCs w:val="22"/>
                <w:color w:val="auto"/>
              </w:rPr>
            </w:pPr>
          </w:p>
        </w:tc>
        <w:tc>
          <w:tcPr>
            <w:tcW w:w="10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center"/>
              <w:ind w:left="110"/>
              <w:spacing w:after="0"/>
              <w:rPr>
                <w:sz w:val="20"/>
                <w:szCs w:val="20"/>
                <w:color w:val="auto"/>
              </w:rPr>
            </w:pPr>
            <w:r>
              <w:rPr>
                <w:rFonts w:ascii="Arial" w:cs="Arial" w:eastAsia="Arial" w:hAnsi="Arial"/>
                <w:sz w:val="18"/>
                <w:szCs w:val="18"/>
                <w:color w:val="auto"/>
                <w:w w:val="92"/>
              </w:rPr>
              <w:t>(100%)</w:t>
            </w:r>
          </w:p>
        </w:tc>
        <w:tc>
          <w:tcPr>
            <w:tcW w:w="2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(39,408 )</w:t>
            </w:r>
          </w:p>
        </w:tc>
        <w:tc>
          <w:tcPr>
            <w:tcW w:w="2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center"/>
              <w:ind w:left="110"/>
              <w:spacing w:after="0"/>
              <w:rPr>
                <w:sz w:val="20"/>
                <w:szCs w:val="20"/>
                <w:color w:val="auto"/>
              </w:rPr>
            </w:pPr>
            <w:r>
              <w:rPr>
                <w:rFonts w:ascii="Arial" w:cs="Arial" w:eastAsia="Arial" w:hAnsi="Arial"/>
                <w:sz w:val="18"/>
                <w:szCs w:val="18"/>
                <w:color w:val="auto"/>
                <w:w w:val="89"/>
              </w:rPr>
              <w:t>(100%)</w:t>
            </w:r>
          </w:p>
        </w:tc>
        <w:tc>
          <w:tcPr>
            <w:tcW w:w="0" w:type="dxa"/>
            <w:vAlign w:val="bottom"/>
          </w:tcPr>
          <w:p>
            <w:pPr>
              <w:spacing w:after="0"/>
              <w:rPr>
                <w:sz w:val="1"/>
                <w:szCs w:val="1"/>
                <w:color w:val="auto"/>
              </w:rPr>
            </w:pPr>
          </w:p>
        </w:tc>
      </w:tr>
      <w:tr>
        <w:trPr>
          <w:trHeight w:val="257"/>
        </w:trPr>
        <w:tc>
          <w:tcPr>
            <w:tcW w:w="332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(72 )</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(3,913 )</w:t>
            </w:r>
          </w:p>
        </w:tc>
        <w:tc>
          <w:tcPr>
            <w:tcW w:w="1300" w:type="dxa"/>
            <w:vAlign w:val="bottom"/>
            <w:gridSpan w:val="2"/>
          </w:tcPr>
          <w:p>
            <w:pPr>
              <w:jc w:val="center"/>
              <w:ind w:left="130"/>
              <w:spacing w:after="0"/>
              <w:rPr>
                <w:sz w:val="20"/>
                <w:szCs w:val="20"/>
                <w:color w:val="auto"/>
              </w:rPr>
            </w:pPr>
            <w:r>
              <w:rPr>
                <w:rFonts w:ascii="Arial" w:cs="Arial" w:eastAsia="Arial" w:hAnsi="Arial"/>
                <w:sz w:val="18"/>
                <w:szCs w:val="18"/>
                <w:color w:val="auto"/>
                <w:w w:val="88"/>
              </w:rPr>
              <w:t>98%</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(7,536 )</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(11,883 )</w:t>
            </w:r>
          </w:p>
        </w:tc>
        <w:tc>
          <w:tcPr>
            <w:tcW w:w="1280" w:type="dxa"/>
            <w:vAlign w:val="bottom"/>
            <w:gridSpan w:val="2"/>
          </w:tcPr>
          <w:p>
            <w:pPr>
              <w:jc w:val="center"/>
              <w:ind w:left="110"/>
              <w:spacing w:after="0"/>
              <w:rPr>
                <w:sz w:val="20"/>
                <w:szCs w:val="20"/>
                <w:color w:val="auto"/>
              </w:rPr>
            </w:pPr>
            <w:r>
              <w:rPr>
                <w:rFonts w:ascii="Arial" w:cs="Arial" w:eastAsia="Arial" w:hAnsi="Arial"/>
                <w:sz w:val="18"/>
                <w:szCs w:val="18"/>
                <w:color w:val="auto"/>
                <w:w w:val="88"/>
              </w:rPr>
              <w:t>37%</w:t>
            </w:r>
          </w:p>
        </w:tc>
        <w:tc>
          <w:tcPr>
            <w:tcW w:w="0" w:type="dxa"/>
            <w:vAlign w:val="bottom"/>
          </w:tcPr>
          <w:p>
            <w:pPr>
              <w:spacing w:after="0"/>
              <w:rPr>
                <w:sz w:val="1"/>
                <w:szCs w:val="1"/>
                <w:color w:val="auto"/>
              </w:rPr>
            </w:pPr>
          </w:p>
        </w:tc>
      </w:tr>
      <w:tr>
        <w:trPr>
          <w:trHeight w:val="250"/>
        </w:trPr>
        <w:tc>
          <w:tcPr>
            <w:tcW w:w="33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w w:val="97"/>
              </w:rPr>
              <w:t>Total non-operating income (expenses)</w:t>
            </w:r>
          </w:p>
        </w:tc>
        <w:tc>
          <w:tcPr>
            <w:tcW w:w="240" w:type="dxa"/>
            <w:vAlign w:val="bottom"/>
            <w:tcBorders>
              <w:top w:val="single" w:sz="8" w:color="auto"/>
            </w:tcBorders>
            <w:shd w:val="clear" w:color="auto" w:fill="CFF0FC"/>
          </w:tcPr>
          <w:p>
            <w:pPr>
              <w:spacing w:after="0"/>
              <w:rPr>
                <w:sz w:val="21"/>
                <w:szCs w:val="21"/>
                <w:color w:val="auto"/>
              </w:rPr>
            </w:pPr>
          </w:p>
        </w:tc>
        <w:tc>
          <w:tcPr>
            <w:tcW w:w="102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1,015</w:t>
            </w:r>
          </w:p>
        </w:tc>
        <w:tc>
          <w:tcPr>
            <w:tcW w:w="200" w:type="dxa"/>
            <w:vAlign w:val="bottom"/>
            <w:shd w:val="clear" w:color="auto" w:fill="CFF0FC"/>
          </w:tcPr>
          <w:p>
            <w:pPr>
              <w:spacing w:after="0"/>
              <w:rPr>
                <w:sz w:val="21"/>
                <w:szCs w:val="21"/>
                <w:color w:val="auto"/>
              </w:rPr>
            </w:pPr>
          </w:p>
        </w:tc>
        <w:tc>
          <w:tcPr>
            <w:tcW w:w="220" w:type="dxa"/>
            <w:vAlign w:val="bottom"/>
            <w:tcBorders>
              <w:top w:val="single" w:sz="8" w:color="auto"/>
            </w:tcBorders>
            <w:shd w:val="clear" w:color="auto" w:fill="CFF0FC"/>
          </w:tcPr>
          <w:p>
            <w:pPr>
              <w:spacing w:after="0"/>
              <w:rPr>
                <w:sz w:val="21"/>
                <w:szCs w:val="21"/>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(1,627 )</w:t>
            </w:r>
          </w:p>
        </w:tc>
        <w:tc>
          <w:tcPr>
            <w:tcW w:w="220" w:type="dxa"/>
            <w:vAlign w:val="bottom"/>
            <w:shd w:val="clear" w:color="auto" w:fill="CFF0FC"/>
          </w:tcPr>
          <w:p>
            <w:pPr>
              <w:spacing w:after="0"/>
              <w:rPr>
                <w:sz w:val="21"/>
                <w:szCs w:val="21"/>
                <w:color w:val="auto"/>
              </w:rPr>
            </w:pPr>
          </w:p>
        </w:tc>
        <w:tc>
          <w:tcPr>
            <w:tcW w:w="10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NM</w:t>
            </w:r>
          </w:p>
        </w:tc>
        <w:tc>
          <w:tcPr>
            <w:tcW w:w="200" w:type="dxa"/>
            <w:vAlign w:val="bottom"/>
            <w:shd w:val="clear" w:color="auto" w:fill="CFF0FC"/>
          </w:tcPr>
          <w:p>
            <w:pPr>
              <w:spacing w:after="0"/>
              <w:rPr>
                <w:sz w:val="21"/>
                <w:szCs w:val="21"/>
                <w:color w:val="auto"/>
              </w:rPr>
            </w:pPr>
          </w:p>
        </w:tc>
        <w:tc>
          <w:tcPr>
            <w:tcW w:w="240" w:type="dxa"/>
            <w:vAlign w:val="bottom"/>
            <w:tcBorders>
              <w:top w:val="single" w:sz="8" w:color="auto"/>
            </w:tcBorders>
            <w:shd w:val="clear" w:color="auto" w:fill="CFF0FC"/>
          </w:tcPr>
          <w:p>
            <w:pPr>
              <w:spacing w:after="0"/>
              <w:rPr>
                <w:sz w:val="21"/>
                <w:szCs w:val="21"/>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(42,463 )</w:t>
            </w:r>
          </w:p>
        </w:tc>
        <w:tc>
          <w:tcPr>
            <w:tcW w:w="200" w:type="dxa"/>
            <w:vAlign w:val="bottom"/>
            <w:shd w:val="clear" w:color="auto" w:fill="CFF0FC"/>
          </w:tcPr>
          <w:p>
            <w:pPr>
              <w:spacing w:after="0"/>
              <w:rPr>
                <w:sz w:val="21"/>
                <w:szCs w:val="21"/>
                <w:color w:val="auto"/>
              </w:rPr>
            </w:pPr>
          </w:p>
        </w:tc>
        <w:tc>
          <w:tcPr>
            <w:tcW w:w="240" w:type="dxa"/>
            <w:vAlign w:val="bottom"/>
            <w:tcBorders>
              <w:top w:val="single" w:sz="8" w:color="auto"/>
            </w:tcBorders>
            <w:shd w:val="clear" w:color="auto" w:fill="CFF0FC"/>
          </w:tcPr>
          <w:p>
            <w:pPr>
              <w:spacing w:after="0"/>
              <w:rPr>
                <w:sz w:val="21"/>
                <w:szCs w:val="21"/>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(1,976 )</w:t>
            </w:r>
          </w:p>
        </w:tc>
        <w:tc>
          <w:tcPr>
            <w:tcW w:w="200" w:type="dxa"/>
            <w:vAlign w:val="bottom"/>
            <w:shd w:val="clear" w:color="auto" w:fill="CFF0FC"/>
          </w:tcPr>
          <w:p>
            <w:pPr>
              <w:spacing w:after="0"/>
              <w:rPr>
                <w:sz w:val="21"/>
                <w:szCs w:val="21"/>
                <w:color w:val="auto"/>
              </w:rPr>
            </w:pPr>
          </w:p>
        </w:tc>
        <w:tc>
          <w:tcPr>
            <w:tcW w:w="10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50"/>
        </w:trPr>
        <w:tc>
          <w:tcPr>
            <w:tcW w:w="3320" w:type="dxa"/>
            <w:vAlign w:val="bottom"/>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(9,312 )</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(95 )</w:t>
            </w:r>
          </w:p>
        </w:tc>
        <w:tc>
          <w:tcPr>
            <w:tcW w:w="22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NM</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24,740</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(24,740 )</w:t>
            </w:r>
          </w:p>
        </w:tc>
        <w:tc>
          <w:tcPr>
            <w:tcW w:w="20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63"/>
        </w:trPr>
        <w:tc>
          <w:tcPr>
            <w:tcW w:w="33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Income tax benefit (expense)</w:t>
            </w:r>
          </w:p>
        </w:tc>
        <w:tc>
          <w:tcPr>
            <w:tcW w:w="24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(150 )</w:t>
            </w:r>
          </w:p>
        </w:tc>
        <w:tc>
          <w:tcPr>
            <w:tcW w:w="2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(974 )</w:t>
            </w:r>
          </w:p>
        </w:tc>
        <w:tc>
          <w:tcPr>
            <w:tcW w:w="1300" w:type="dxa"/>
            <w:vAlign w:val="bottom"/>
            <w:tcBorders>
              <w:bottom w:val="single" w:sz="8" w:color="CFF0FC"/>
            </w:tcBorders>
            <w:gridSpan w:val="2"/>
            <w:shd w:val="clear" w:color="auto" w:fill="CFF0FC"/>
          </w:tcPr>
          <w:p>
            <w:pPr>
              <w:jc w:val="center"/>
              <w:ind w:left="130"/>
              <w:spacing w:after="0"/>
              <w:rPr>
                <w:sz w:val="20"/>
                <w:szCs w:val="20"/>
                <w:color w:val="auto"/>
              </w:rPr>
            </w:pPr>
            <w:r>
              <w:rPr>
                <w:rFonts w:ascii="Arial" w:cs="Arial" w:eastAsia="Arial" w:hAnsi="Arial"/>
                <w:sz w:val="18"/>
                <w:szCs w:val="18"/>
                <w:color w:val="auto"/>
                <w:w w:val="88"/>
              </w:rPr>
              <w:t>85%</w:t>
            </w:r>
          </w:p>
        </w:tc>
        <w:tc>
          <w:tcPr>
            <w:tcW w:w="20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(2,695 )</w:t>
            </w:r>
          </w:p>
        </w:tc>
        <w:tc>
          <w:tcPr>
            <w:tcW w:w="20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(2,518 )</w:t>
            </w:r>
          </w:p>
        </w:tc>
        <w:tc>
          <w:tcPr>
            <w:tcW w:w="1280" w:type="dxa"/>
            <w:vAlign w:val="bottom"/>
            <w:tcBorders>
              <w:bottom w:val="single" w:sz="8" w:color="CFF0FC"/>
            </w:tcBorders>
            <w:gridSpan w:val="2"/>
            <w:shd w:val="clear" w:color="auto" w:fill="CFF0FC"/>
          </w:tcPr>
          <w:p>
            <w:pPr>
              <w:jc w:val="center"/>
              <w:ind w:left="110"/>
              <w:spacing w:after="0"/>
              <w:rPr>
                <w:sz w:val="20"/>
                <w:szCs w:val="20"/>
                <w:color w:val="auto"/>
              </w:rPr>
            </w:pPr>
            <w:r>
              <w:rPr>
                <w:rFonts w:ascii="Arial" w:cs="Arial" w:eastAsia="Arial" w:hAnsi="Arial"/>
                <w:sz w:val="18"/>
                <w:szCs w:val="18"/>
                <w:color w:val="auto"/>
                <w:w w:val="94"/>
              </w:rPr>
              <w:t>(7%)</w:t>
            </w:r>
          </w:p>
        </w:tc>
        <w:tc>
          <w:tcPr>
            <w:tcW w:w="0" w:type="dxa"/>
            <w:vAlign w:val="bottom"/>
          </w:tcPr>
          <w:p>
            <w:pPr>
              <w:spacing w:after="0"/>
              <w:rPr>
                <w:sz w:val="1"/>
                <w:szCs w:val="1"/>
                <w:color w:val="auto"/>
              </w:rPr>
            </w:pPr>
          </w:p>
        </w:tc>
      </w:tr>
      <w:tr>
        <w:trPr>
          <w:trHeight w:val="243"/>
        </w:trPr>
        <w:tc>
          <w:tcPr>
            <w:tcW w:w="3320" w:type="dxa"/>
            <w:vAlign w:val="bottom"/>
          </w:tcPr>
          <w:p>
            <w:pPr>
              <w:ind w:left="20"/>
              <w:spacing w:after="0"/>
              <w:rPr>
                <w:sz w:val="20"/>
                <w:szCs w:val="20"/>
                <w:color w:val="auto"/>
              </w:rPr>
            </w:pPr>
            <w:r>
              <w:rPr>
                <w:rFonts w:ascii="Arial" w:cs="Arial" w:eastAsia="Arial" w:hAnsi="Arial"/>
                <w:sz w:val="18"/>
                <w:szCs w:val="18"/>
                <w:b w:val="1"/>
                <w:bCs w:val="1"/>
                <w:color w:val="auto"/>
              </w:rPr>
              <w:t>Net income (loss)</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(9,462 )</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(1,069 )</w:t>
            </w:r>
          </w:p>
        </w:tc>
        <w:tc>
          <w:tcPr>
            <w:tcW w:w="1300" w:type="dxa"/>
            <w:vAlign w:val="bottom"/>
            <w:gridSpan w:val="2"/>
          </w:tcPr>
          <w:p>
            <w:pPr>
              <w:jc w:val="center"/>
              <w:ind w:left="110"/>
              <w:spacing w:after="0"/>
              <w:rPr>
                <w:sz w:val="20"/>
                <w:szCs w:val="20"/>
                <w:color w:val="auto"/>
              </w:rPr>
            </w:pPr>
            <w:r>
              <w:rPr>
                <w:rFonts w:ascii="Arial" w:cs="Arial" w:eastAsia="Arial" w:hAnsi="Arial"/>
                <w:sz w:val="18"/>
                <w:szCs w:val="18"/>
                <w:color w:val="auto"/>
                <w:w w:val="92"/>
              </w:rPr>
              <w:t>(785%)</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22,045</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(27,258 )</w:t>
            </w:r>
          </w:p>
        </w:tc>
        <w:tc>
          <w:tcPr>
            <w:tcW w:w="20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45"/>
        </w:trPr>
        <w:tc>
          <w:tcPr>
            <w:tcW w:w="33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income (loss) attributable to</w:t>
            </w:r>
          </w:p>
        </w:tc>
        <w:tc>
          <w:tcPr>
            <w:tcW w:w="240" w:type="dxa"/>
            <w:vAlign w:val="bottom"/>
            <w:shd w:val="clear" w:color="auto" w:fill="CFF0FC"/>
          </w:tcPr>
          <w:p>
            <w:pPr>
              <w:spacing w:after="0"/>
              <w:rPr>
                <w:sz w:val="21"/>
                <w:szCs w:val="21"/>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(12,938 )</w:t>
            </w: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31,068</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non-controlling interests</w:t>
            </w:r>
          </w:p>
        </w:tc>
        <w:tc>
          <w:tcPr>
            <w:tcW w:w="24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vMerge w:val="continue"/>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vMerge w:val="continue"/>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320" w:type="dxa"/>
            <w:vAlign w:val="bottom"/>
          </w:tcPr>
          <w:p>
            <w:pPr>
              <w:ind w:left="20"/>
              <w:spacing w:after="0"/>
              <w:rPr>
                <w:sz w:val="20"/>
                <w:szCs w:val="20"/>
                <w:color w:val="auto"/>
              </w:rPr>
            </w:pPr>
            <w:r>
              <w:rPr>
                <w:rFonts w:ascii="Arial" w:cs="Arial" w:eastAsia="Arial" w:hAnsi="Arial"/>
                <w:sz w:val="18"/>
                <w:szCs w:val="18"/>
                <w:b w:val="1"/>
                <w:bCs w:val="1"/>
                <w:color w:val="auto"/>
              </w:rPr>
              <w:t>Net income (loss) attributable to</w:t>
            </w: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vMerge w:val="restart"/>
          </w:tcPr>
          <w:p>
            <w:pPr>
              <w:jc w:val="right"/>
              <w:ind w:right="50"/>
              <w:spacing w:after="0"/>
              <w:rPr>
                <w:sz w:val="20"/>
                <w:szCs w:val="20"/>
                <w:color w:val="auto"/>
              </w:rPr>
            </w:pPr>
            <w:r>
              <w:rPr>
                <w:rFonts w:ascii="Arial" w:cs="Arial" w:eastAsia="Arial" w:hAnsi="Arial"/>
                <w:sz w:val="18"/>
                <w:szCs w:val="18"/>
                <w:color w:val="auto"/>
              </w:rPr>
              <w:t>3,476</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(9,023 )</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3320" w:type="dxa"/>
            <w:vAlign w:val="bottom"/>
          </w:tcPr>
          <w:p>
            <w:pPr>
              <w:ind w:left="20"/>
              <w:spacing w:after="0"/>
              <w:rPr>
                <w:sz w:val="20"/>
                <w:szCs w:val="20"/>
                <w:color w:val="auto"/>
              </w:rPr>
            </w:pPr>
            <w:r>
              <w:rPr>
                <w:rFonts w:ascii="Arial" w:cs="Arial" w:eastAsia="Arial" w:hAnsi="Arial"/>
                <w:sz w:val="18"/>
                <w:szCs w:val="18"/>
                <w:b w:val="1"/>
                <w:bCs w:val="1"/>
                <w:color w:val="auto"/>
              </w:rPr>
              <w:t>Perella Weinberg Partners</w:t>
            </w:r>
          </w:p>
        </w:tc>
        <w:tc>
          <w:tcPr>
            <w:tcW w:w="24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-2430780</wp:posOffset>
            </wp:positionV>
            <wp:extent cx="137160" cy="57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-2430780</wp:posOffset>
            </wp:positionV>
            <wp:extent cx="137160" cy="57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-2430780</wp:posOffset>
            </wp:positionV>
            <wp:extent cx="128905" cy="57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-2430780</wp:posOffset>
            </wp:positionV>
            <wp:extent cx="128905" cy="57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-2430780</wp:posOffset>
            </wp:positionV>
            <wp:extent cx="128905" cy="57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-784860</wp:posOffset>
            </wp:positionV>
            <wp:extent cx="137160" cy="57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-784860</wp:posOffset>
            </wp:positionV>
            <wp:extent cx="137160" cy="57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-784860</wp:posOffset>
            </wp:positionV>
            <wp:extent cx="128905" cy="57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-784860</wp:posOffset>
            </wp:positionV>
            <wp:extent cx="128905" cy="57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-313690</wp:posOffset>
            </wp:positionV>
            <wp:extent cx="137160" cy="57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-313690</wp:posOffset>
            </wp:positionV>
            <wp:extent cx="128905" cy="57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6319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NM = Not meaningful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39" w:lineRule="exact"/>
        <w:rPr>
          <w:sz w:val="20"/>
          <w:szCs w:val="20"/>
          <w:color w:val="auto"/>
        </w:rPr>
      </w:pPr>
    </w:p>
    <w:p>
      <w:pPr>
        <w:jc w:val="both"/>
        <w:ind w:firstLine="464"/>
        <w:spacing w:after="0" w:line="309" w:lineRule="auto"/>
        <w:rPr>
          <w:sz w:val="20"/>
          <w:szCs w:val="20"/>
          <w:color w:val="auto"/>
        </w:rPr>
      </w:pPr>
      <w:r>
        <w:rPr>
          <w:rFonts w:ascii="Arial" w:cs="Arial" w:eastAsia="Arial" w:hAnsi="Arial"/>
          <w:sz w:val="16"/>
          <w:szCs w:val="16"/>
          <w:color w:val="auto"/>
        </w:rPr>
        <w:t>We operate in a highly competitive environment. Each revenue-generating engagement is separately solicited, awarded and negotiated, and there are limited long-term sources of revenue in the form of recurring retainers. Therefore, our fee-paying client engagements are not predictable, and high levels of revenues in one quarter are not necessarily predictive of continued high levels of revenues in future periods. To develop new business, our professionals maintain an active business dialogue with a large number of existing and potential clients. We expect to add new clients each year as our advisory professionals continue to expand their relationships, as we hire senior advisory professionals who bring their client relationships and as we receive introductions from our relationship network of senior executives, board members, attorneys and other third parties. We also lose clients each year as a result of the sale or merger of clients, changes in clients’ senior management, competition from other financial services firms and other reasons.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8" w:name="page49"/>
    <w:bookmarkEnd w:id="48"/>
    <w:p>
      <w:pPr>
        <w:jc w:val="both"/>
        <w:ind w:firstLine="464"/>
        <w:spacing w:after="0" w:line="285" w:lineRule="auto"/>
        <w:rPr>
          <w:sz w:val="20"/>
          <w:szCs w:val="20"/>
          <w:color w:val="auto"/>
        </w:rPr>
      </w:pPr>
      <w:r>
        <w:rPr>
          <w:rFonts w:ascii="Arial" w:cs="Arial" w:eastAsia="Arial" w:hAnsi="Arial"/>
          <w:sz w:val="17"/>
          <w:szCs w:val="17"/>
          <w:color w:val="auto"/>
        </w:rPr>
        <w:t>In many cases, revenue is not recognized until the successful completion of an underlying transaction. Complications that may terminate or delay a transaction include failure to agree upon final terms with the counterparty, failure to obtain regulatory consents, failure to obtain board or stockholder approvals, failure to secure financing, adverse market conditions or unexpected operating or financial problems related to either party to the transaction (or their customer base). While transactions typically close within a 12 month period post-announcement of such transaction, they can occasionally extend longer. Such delays often occur with larger transactions and can contribute to unpredictability in the timing of such revenues. In other circumstances, we often do not receive the same level of advisory fees that would have been received if the transaction had been completed, and in some cases we may receive no advisory fee despite the fact that we may have devoted considerable time and resources to the transaction. Other barriers to the completion of a restructuring transaction specifically may include a lack of anticipated bidders for the assets or securities of our client, the inability of our client to restructure its operations, the absence of court approval in a bankruptcy proceeding, or a failure to reach agreement with a client’s creditors. In these circumstances, our advisory fees are generally limited to monthly retainer fees (if any). In the case of bankruptcy engagements, fees are subject to approval by the applicable court. In most cases, even if a transaction is not successfully completed, we are reimbursed for certain out-of-pocket expenses incurred in connection with the engagement.</w:t>
      </w:r>
    </w:p>
    <w:p>
      <w:pPr>
        <w:spacing w:after="0" w:line="185" w:lineRule="exact"/>
        <w:rPr>
          <w:sz w:val="20"/>
          <w:szCs w:val="20"/>
          <w:color w:val="auto"/>
        </w:rPr>
      </w:pPr>
    </w:p>
    <w:p>
      <w:pPr>
        <w:jc w:val="both"/>
        <w:ind w:firstLine="464"/>
        <w:spacing w:after="0" w:line="270" w:lineRule="auto"/>
        <w:rPr>
          <w:sz w:val="20"/>
          <w:szCs w:val="20"/>
          <w:color w:val="auto"/>
        </w:rPr>
      </w:pPr>
      <w:r>
        <w:rPr>
          <w:rFonts w:ascii="Arial" w:cs="Arial" w:eastAsia="Arial" w:hAnsi="Arial"/>
          <w:sz w:val="18"/>
          <w:szCs w:val="18"/>
          <w:color w:val="auto"/>
        </w:rPr>
        <w:t>We do not present our revenue by the type of advice we provide because of the complexity of the transactions on which we may earn revenue and our holistic approach to client service. For example, (i) a restructuring engagement may evolve to require a sale of all or a portion of the client, (ii) M&amp;A assignments can develop from relationships established on prior restructuring engagements, (iii) capital markets expertise can be instrumental on both M&amp;A and restructuring assignments, and (iv) capital markets revenue can be generated through the provision of capital markets advisory work, capital raising assignments or the issuance of focused equity research services. We dedicate the resources and expertise needed on any given assignment regardless of product lines and focus on achieving the desired outcome for our clients. Such an approach does not lend itself to tracking the type of advisory service offered in each instance.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September 30, 2021 Compared to Three Months Ended September 30, 2020</w:t>
      </w:r>
    </w:p>
    <w:p>
      <w:pPr>
        <w:spacing w:after="0" w:line="239"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8"/>
          <w:szCs w:val="18"/>
          <w:color w:val="auto"/>
        </w:rPr>
        <w:t>Revenues were $177.4 million for the three months ended September 30, 2021 as compared with $122.8 million for the same period in 2020, representing an increase of 44%. The quarter-on-quarter increase in revenue reflects high levels of activity across certain service lines, sectors and geographies, particularly in M&amp;A advice.</w:t>
      </w:r>
    </w:p>
    <w:p>
      <w:pPr>
        <w:spacing w:after="0" w:line="183" w:lineRule="exact"/>
        <w:rPr>
          <w:sz w:val="20"/>
          <w:szCs w:val="20"/>
          <w:color w:val="auto"/>
        </w:rPr>
      </w:pPr>
    </w:p>
    <w:p>
      <w:pPr>
        <w:jc w:val="both"/>
        <w:ind w:firstLine="464"/>
        <w:spacing w:after="0" w:line="275" w:lineRule="auto"/>
        <w:rPr>
          <w:sz w:val="20"/>
          <w:szCs w:val="20"/>
          <w:color w:val="auto"/>
        </w:rPr>
      </w:pPr>
      <w:r>
        <w:rPr>
          <w:rFonts w:ascii="Arial" w:cs="Arial" w:eastAsia="Arial" w:hAnsi="Arial"/>
          <w:sz w:val="18"/>
          <w:szCs w:val="18"/>
          <w:color w:val="auto"/>
        </w:rPr>
        <w:t>For the three months ended September 30, 2021 and 2020, we earned revenues from 90 and 88 advisory clients, respectively. The number of advisory clients who paid fees equal to or greater than $1.0 million increased to 38 for the three months ended September 30, 2021 compared to 28 advisory clients for the three months ended September 30, 2020. The average fee size increased to $1.9 million for the three months ended September 30, 2021 from $1.4 million for the three months ended September 30, 2020.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2021 Compared to Nine Months Ended September 30, 2020</w:t>
      </w:r>
    </w:p>
    <w:p>
      <w:pPr>
        <w:spacing w:after="0" w:line="239" w:lineRule="exact"/>
        <w:rPr>
          <w:sz w:val="20"/>
          <w:szCs w:val="20"/>
          <w:color w:val="auto"/>
        </w:rPr>
      </w:pPr>
    </w:p>
    <w:p>
      <w:pPr>
        <w:jc w:val="both"/>
        <w:ind w:firstLine="464"/>
        <w:spacing w:after="0" w:line="275" w:lineRule="auto"/>
        <w:rPr>
          <w:sz w:val="20"/>
          <w:szCs w:val="20"/>
          <w:color w:val="auto"/>
        </w:rPr>
      </w:pPr>
      <w:r>
        <w:rPr>
          <w:rFonts w:ascii="Arial" w:cs="Arial" w:eastAsia="Arial" w:hAnsi="Arial"/>
          <w:sz w:val="18"/>
          <w:szCs w:val="18"/>
          <w:color w:val="auto"/>
        </w:rPr>
        <w:t>Revenues were $602.7 million for the nine months ended September 30, 2021 as compared with $329.8 million for the same period in 2020, representing an increase of 83%. The period-over-period growth reflects high levels of activity across substantially all sectors and geographies, with particularly strong M&amp;A activity driving service line growth, when compared to the decreased M&amp;A activity in the prior year period primarily due to the COVID-19 pandemic.</w:t>
      </w:r>
    </w:p>
    <w:p>
      <w:pPr>
        <w:spacing w:after="0" w:line="185" w:lineRule="exact"/>
        <w:rPr>
          <w:sz w:val="20"/>
          <w:szCs w:val="20"/>
          <w:color w:val="auto"/>
        </w:rPr>
      </w:pPr>
    </w:p>
    <w:p>
      <w:pPr>
        <w:jc w:val="both"/>
        <w:ind w:firstLine="464"/>
        <w:spacing w:after="0" w:line="275" w:lineRule="auto"/>
        <w:rPr>
          <w:sz w:val="20"/>
          <w:szCs w:val="20"/>
          <w:color w:val="auto"/>
        </w:rPr>
      </w:pPr>
      <w:r>
        <w:rPr>
          <w:rFonts w:ascii="Arial" w:cs="Arial" w:eastAsia="Arial" w:hAnsi="Arial"/>
          <w:sz w:val="18"/>
          <w:szCs w:val="18"/>
          <w:color w:val="auto"/>
        </w:rPr>
        <w:t>For the nine months ended September 30, 2021 and 2020, we earned revenues from 188 and 137 advisory clients, respectively. The number of advisory clients who paid fees equal to or greater than $1.0 million increased to 106 advisory clients for the nine months ended September 30, 2021 compared to 68 advisory clients for the nine months ended September 30, 2020. The average fee size increased to $3.2 million for the nine months ended September 30, 2021 from $2.3 million for the nine months ended September 30, 2020.</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45"/>
        </w:trPr>
        <w:tc>
          <w:tcPr>
            <w:tcW w:w="6160" w:type="dxa"/>
            <w:vAlign w:val="bottom"/>
            <w:gridSpan w:val="6"/>
          </w:tcPr>
          <w:p>
            <w:pPr>
              <w:ind w:left="480"/>
              <w:spacing w:after="0"/>
              <w:rPr>
                <w:sz w:val="20"/>
                <w:szCs w:val="20"/>
                <w:color w:val="auto"/>
              </w:rPr>
            </w:pPr>
            <w:r>
              <w:rPr>
                <w:rFonts w:ascii="Arial" w:cs="Arial" w:eastAsia="Arial" w:hAnsi="Arial"/>
                <w:sz w:val="18"/>
                <w:szCs w:val="18"/>
                <w:color w:val="auto"/>
                <w:w w:val="93"/>
              </w:rPr>
              <w:t>The following table sets forth information relating to our operating expenses:</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66"/>
        </w:trPr>
        <w:tc>
          <w:tcPr>
            <w:tcW w:w="36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gridSpan w:val="6"/>
          </w:tcPr>
          <w:p>
            <w:pPr>
              <w:ind w:left="280"/>
              <w:spacing w:after="0"/>
              <w:rPr>
                <w:sz w:val="20"/>
                <w:szCs w:val="20"/>
                <w:color w:val="auto"/>
              </w:rPr>
            </w:pPr>
            <w:r>
              <w:rPr>
                <w:rFonts w:ascii="Arial" w:cs="Arial" w:eastAsia="Arial" w:hAnsi="Arial"/>
                <w:sz w:val="18"/>
                <w:szCs w:val="18"/>
                <w:b w:val="1"/>
                <w:bCs w:val="1"/>
                <w:color w:val="auto"/>
              </w:rPr>
              <w:t>Three Months Ended September 30,</w:t>
            </w: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6"/>
          </w:tcPr>
          <w:p>
            <w:pPr>
              <w:ind w:left="280"/>
              <w:spacing w:after="0"/>
              <w:rPr>
                <w:sz w:val="20"/>
                <w:szCs w:val="20"/>
                <w:color w:val="auto"/>
              </w:rPr>
            </w:pPr>
            <w:r>
              <w:rPr>
                <w:rFonts w:ascii="Arial" w:cs="Arial" w:eastAsia="Arial" w:hAnsi="Arial"/>
                <w:sz w:val="18"/>
                <w:szCs w:val="18"/>
                <w:b w:val="1"/>
                <w:bCs w:val="1"/>
                <w:color w:val="auto"/>
              </w:rPr>
              <w:t>Nine Months Ended September 30,</w:t>
            </w:r>
          </w:p>
        </w:tc>
      </w:tr>
      <w:tr>
        <w:trPr>
          <w:trHeight w:val="513"/>
        </w:trPr>
        <w:tc>
          <w:tcPr>
            <w:tcW w:w="3620" w:type="dxa"/>
            <w:vAlign w:val="bottom"/>
          </w:tcPr>
          <w:p>
            <w:pPr>
              <w:ind w:left="20"/>
              <w:spacing w:after="0"/>
              <w:rPr>
                <w:sz w:val="20"/>
                <w:szCs w:val="20"/>
                <w:color w:val="auto"/>
              </w:rPr>
            </w:pPr>
            <w:r>
              <w:rPr>
                <w:rFonts w:ascii="Arial" w:cs="Arial" w:eastAsia="Arial" w:hAnsi="Arial"/>
                <w:sz w:val="18"/>
                <w:szCs w:val="18"/>
                <w:b w:val="1"/>
                <w:bCs w:val="1"/>
                <w:color w:val="auto"/>
              </w:rPr>
              <w:t>(Dollars in thousands)</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4"/>
                <w:szCs w:val="2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2021 vs. 2020</w:t>
            </w: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24"/>
                <w:szCs w:val="2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2021 vs. 2020</w:t>
            </w:r>
          </w:p>
        </w:tc>
      </w:tr>
      <w:tr>
        <w:trPr>
          <w:trHeight w:val="250"/>
        </w:trPr>
        <w:tc>
          <w:tcPr>
            <w:tcW w:w="36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Expenses</w:t>
            </w:r>
          </w:p>
        </w:tc>
        <w:tc>
          <w:tcPr>
            <w:tcW w:w="22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r>
      <w:tr>
        <w:trPr>
          <w:trHeight w:val="250"/>
        </w:trPr>
        <w:tc>
          <w:tcPr>
            <w:tcW w:w="3620" w:type="dxa"/>
            <w:vAlign w:val="bottom"/>
          </w:tcPr>
          <w:p>
            <w:pPr>
              <w:ind w:left="120"/>
              <w:spacing w:after="0"/>
              <w:rPr>
                <w:sz w:val="20"/>
                <w:szCs w:val="20"/>
                <w:color w:val="auto"/>
              </w:rPr>
            </w:pPr>
            <w:r>
              <w:rPr>
                <w:rFonts w:ascii="Arial" w:cs="Arial" w:eastAsia="Arial" w:hAnsi="Arial"/>
                <w:sz w:val="18"/>
                <w:szCs w:val="18"/>
                <w:color w:val="auto"/>
              </w:rPr>
              <w:t>Compensation and benefits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113,322</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84,785</w:t>
            </w:r>
          </w:p>
        </w:tc>
        <w:tc>
          <w:tcPr>
            <w:tcW w:w="1260" w:type="dxa"/>
            <w:vAlign w:val="bottom"/>
            <w:gridSpan w:val="2"/>
          </w:tcPr>
          <w:p>
            <w:pPr>
              <w:jc w:val="center"/>
              <w:ind w:left="70"/>
              <w:spacing w:after="0"/>
              <w:rPr>
                <w:sz w:val="20"/>
                <w:szCs w:val="20"/>
                <w:color w:val="auto"/>
              </w:rPr>
            </w:pPr>
            <w:r>
              <w:rPr>
                <w:rFonts w:ascii="Arial" w:cs="Arial" w:eastAsia="Arial" w:hAnsi="Arial"/>
                <w:sz w:val="18"/>
                <w:szCs w:val="18"/>
                <w:color w:val="auto"/>
                <w:w w:val="94"/>
              </w:rPr>
              <w:t>34%</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387,196</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229,550</w:t>
            </w:r>
          </w:p>
        </w:tc>
        <w:tc>
          <w:tcPr>
            <w:tcW w:w="1240" w:type="dxa"/>
            <w:vAlign w:val="bottom"/>
            <w:gridSpan w:val="2"/>
          </w:tcPr>
          <w:p>
            <w:pPr>
              <w:jc w:val="center"/>
              <w:ind w:left="50"/>
              <w:spacing w:after="0"/>
              <w:rPr>
                <w:sz w:val="20"/>
                <w:szCs w:val="20"/>
                <w:color w:val="auto"/>
              </w:rPr>
            </w:pPr>
            <w:r>
              <w:rPr>
                <w:rFonts w:ascii="Arial" w:cs="Arial" w:eastAsia="Arial" w:hAnsi="Arial"/>
                <w:sz w:val="18"/>
                <w:szCs w:val="18"/>
                <w:color w:val="auto"/>
                <w:w w:val="94"/>
              </w:rPr>
              <w:t>69%</w:t>
            </w:r>
          </w:p>
        </w:tc>
      </w:tr>
      <w:tr>
        <w:trPr>
          <w:trHeight w:val="263"/>
        </w:trPr>
        <w:tc>
          <w:tcPr>
            <w:tcW w:w="3620" w:type="dxa"/>
            <w:vAlign w:val="bottom"/>
            <w:shd w:val="clear" w:color="auto" w:fill="CFF0FC"/>
          </w:tcPr>
          <w:p>
            <w:pPr>
              <w:ind w:left="120"/>
              <w:spacing w:after="0"/>
              <w:rPr>
                <w:sz w:val="20"/>
                <w:szCs w:val="20"/>
                <w:color w:val="auto"/>
              </w:rPr>
            </w:pPr>
            <w:r>
              <w:rPr>
                <w:rFonts w:ascii="Arial" w:cs="Arial" w:eastAsia="Arial" w:hAnsi="Arial"/>
                <w:sz w:val="18"/>
                <w:szCs w:val="18"/>
                <w:i w:val="1"/>
                <w:iCs w:val="1"/>
                <w:color w:val="auto"/>
              </w:rPr>
              <w:t>% of revenues</w:t>
            </w:r>
          </w:p>
        </w:tc>
        <w:tc>
          <w:tcPr>
            <w:tcW w:w="220" w:type="dxa"/>
            <w:vAlign w:val="bottom"/>
            <w:shd w:val="clear" w:color="auto" w:fill="CFF0FC"/>
          </w:tcPr>
          <w:p>
            <w:pPr>
              <w:spacing w:after="0"/>
              <w:rPr>
                <w:sz w:val="22"/>
                <w:szCs w:val="22"/>
                <w:color w:val="auto"/>
              </w:rPr>
            </w:pP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i w:val="1"/>
                <w:iCs w:val="1"/>
                <w:color w:val="auto"/>
              </w:rPr>
              <w:t>64%</w:t>
            </w:r>
          </w:p>
        </w:tc>
        <w:tc>
          <w:tcPr>
            <w:tcW w:w="1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i w:val="1"/>
                <w:iCs w:val="1"/>
                <w:color w:val="auto"/>
              </w:rPr>
              <w:t>69%</w:t>
            </w:r>
          </w:p>
        </w:tc>
        <w:tc>
          <w:tcPr>
            <w:tcW w:w="160" w:type="dxa"/>
            <w:vAlign w:val="bottom"/>
            <w:shd w:val="clear" w:color="auto" w:fill="CFF0FC"/>
          </w:tcPr>
          <w:p>
            <w:pPr>
              <w:spacing w:after="0"/>
              <w:rPr>
                <w:sz w:val="22"/>
                <w:szCs w:val="22"/>
                <w:color w:val="auto"/>
              </w:rPr>
            </w:pPr>
          </w:p>
        </w:tc>
        <w:tc>
          <w:tcPr>
            <w:tcW w:w="11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20" w:type="dxa"/>
            <w:vAlign w:val="bottom"/>
            <w:shd w:val="clear" w:color="auto" w:fill="CFF0FC"/>
          </w:tcPr>
          <w:p>
            <w:pPr>
              <w:jc w:val="right"/>
              <w:ind w:right="10"/>
              <w:spacing w:after="0"/>
              <w:rPr>
                <w:sz w:val="20"/>
                <w:szCs w:val="20"/>
                <w:color w:val="auto"/>
              </w:rPr>
            </w:pPr>
            <w:r>
              <w:rPr>
                <w:rFonts w:ascii="Arial" w:cs="Arial" w:eastAsia="Arial" w:hAnsi="Arial"/>
                <w:sz w:val="18"/>
                <w:szCs w:val="18"/>
                <w:i w:val="1"/>
                <w:iCs w:val="1"/>
                <w:color w:val="auto"/>
              </w:rPr>
              <w:t>64%</w:t>
            </w:r>
          </w:p>
        </w:tc>
        <w:tc>
          <w:tcPr>
            <w:tcW w:w="1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i w:val="1"/>
                <w:iCs w:val="1"/>
                <w:color w:val="auto"/>
              </w:rPr>
              <w:t>70%</w:t>
            </w:r>
          </w:p>
        </w:tc>
        <w:tc>
          <w:tcPr>
            <w:tcW w:w="140" w:type="dxa"/>
            <w:vAlign w:val="bottom"/>
            <w:shd w:val="clear" w:color="auto" w:fill="CFF0FC"/>
          </w:tcPr>
          <w:p>
            <w:pPr>
              <w:spacing w:after="0"/>
              <w:rPr>
                <w:sz w:val="22"/>
                <w:szCs w:val="22"/>
                <w:color w:val="auto"/>
              </w:rPr>
            </w:pPr>
          </w:p>
        </w:tc>
        <w:tc>
          <w:tcPr>
            <w:tcW w:w="1100" w:type="dxa"/>
            <w:vAlign w:val="bottom"/>
            <w:shd w:val="clear" w:color="auto" w:fill="CFF0FC"/>
          </w:tcPr>
          <w:p>
            <w:pPr>
              <w:spacing w:after="0"/>
              <w:rPr>
                <w:sz w:val="22"/>
                <w:szCs w:val="22"/>
                <w:color w:val="auto"/>
              </w:rPr>
            </w:pPr>
          </w:p>
        </w:tc>
      </w:tr>
      <w:tr>
        <w:trPr>
          <w:trHeight w:val="250"/>
        </w:trPr>
        <w:tc>
          <w:tcPr>
            <w:tcW w:w="3620" w:type="dxa"/>
            <w:vAlign w:val="bottom"/>
          </w:tcPr>
          <w:p>
            <w:pPr>
              <w:ind w:left="120"/>
              <w:spacing w:after="0"/>
              <w:rPr>
                <w:sz w:val="20"/>
                <w:szCs w:val="20"/>
                <w:color w:val="auto"/>
              </w:rPr>
            </w:pPr>
            <w:r>
              <w:rPr>
                <w:rFonts w:ascii="Arial" w:cs="Arial" w:eastAsia="Arial" w:hAnsi="Arial"/>
                <w:sz w:val="18"/>
                <w:szCs w:val="18"/>
                <w:color w:val="auto"/>
              </w:rPr>
              <w:t>Equity-based compensation</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38,050</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6,120</w:t>
            </w:r>
          </w:p>
        </w:tc>
        <w:tc>
          <w:tcPr>
            <w:tcW w:w="1260" w:type="dxa"/>
            <w:vAlign w:val="bottom"/>
            <w:gridSpan w:val="2"/>
          </w:tcPr>
          <w:p>
            <w:pPr>
              <w:jc w:val="center"/>
              <w:ind w:left="70"/>
              <w:spacing w:after="0"/>
              <w:rPr>
                <w:sz w:val="20"/>
                <w:szCs w:val="20"/>
                <w:color w:val="auto"/>
              </w:rPr>
            </w:pPr>
            <w:r>
              <w:rPr>
                <w:rFonts w:ascii="Arial" w:cs="Arial" w:eastAsia="Arial" w:hAnsi="Arial"/>
                <w:sz w:val="18"/>
                <w:szCs w:val="18"/>
                <w:color w:val="auto"/>
                <w:w w:val="91"/>
              </w:rPr>
              <w:t>522%</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51,272</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18,484</w:t>
            </w:r>
          </w:p>
        </w:tc>
        <w:tc>
          <w:tcPr>
            <w:tcW w:w="1240" w:type="dxa"/>
            <w:vAlign w:val="bottom"/>
            <w:gridSpan w:val="2"/>
          </w:tcPr>
          <w:p>
            <w:pPr>
              <w:jc w:val="center"/>
              <w:ind w:left="50"/>
              <w:spacing w:after="0"/>
              <w:rPr>
                <w:sz w:val="20"/>
                <w:szCs w:val="20"/>
                <w:color w:val="auto"/>
              </w:rPr>
            </w:pPr>
            <w:r>
              <w:rPr>
                <w:rFonts w:ascii="Arial" w:cs="Arial" w:eastAsia="Arial" w:hAnsi="Arial"/>
                <w:sz w:val="18"/>
                <w:szCs w:val="18"/>
                <w:color w:val="auto"/>
                <w:w w:val="91"/>
              </w:rPr>
              <w:t>177%</w:t>
            </w:r>
          </w:p>
        </w:tc>
      </w:tr>
      <w:tr>
        <w:trPr>
          <w:trHeight w:val="263"/>
        </w:trPr>
        <w:tc>
          <w:tcPr>
            <w:tcW w:w="3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i w:val="1"/>
                <w:iCs w:val="1"/>
                <w:color w:val="auto"/>
              </w:rPr>
              <w:t>% of revenues</w:t>
            </w:r>
          </w:p>
        </w:tc>
        <w:tc>
          <w:tcPr>
            <w:tcW w:w="22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i w:val="1"/>
                <w:iCs w:val="1"/>
                <w:color w:val="auto"/>
              </w:rPr>
              <w:t>21%</w:t>
            </w:r>
          </w:p>
        </w:tc>
        <w:tc>
          <w:tcPr>
            <w:tcW w:w="1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i w:val="1"/>
                <w:iCs w:val="1"/>
                <w:color w:val="auto"/>
              </w:rPr>
              <w:t>5%</w:t>
            </w:r>
          </w:p>
        </w:tc>
        <w:tc>
          <w:tcPr>
            <w:tcW w:w="16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i w:val="1"/>
                <w:iCs w:val="1"/>
                <w:color w:val="auto"/>
              </w:rPr>
              <w:t>9%</w:t>
            </w:r>
          </w:p>
        </w:tc>
        <w:tc>
          <w:tcPr>
            <w:tcW w:w="16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i w:val="1"/>
                <w:iCs w:val="1"/>
                <w:color w:val="auto"/>
              </w:rPr>
              <w:t>6%</w:t>
            </w:r>
          </w:p>
        </w:tc>
        <w:tc>
          <w:tcPr>
            <w:tcW w:w="14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spacing w:after="0"/>
              <w:rPr>
                <w:sz w:val="22"/>
                <w:szCs w:val="22"/>
                <w:color w:val="auto"/>
              </w:rPr>
            </w:pP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Total compensation and benefits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151,372</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90,905</w:t>
            </w:r>
          </w:p>
        </w:tc>
        <w:tc>
          <w:tcPr>
            <w:tcW w:w="1260" w:type="dxa"/>
            <w:vAlign w:val="bottom"/>
            <w:gridSpan w:val="2"/>
          </w:tcPr>
          <w:p>
            <w:pPr>
              <w:jc w:val="center"/>
              <w:ind w:left="70"/>
              <w:spacing w:after="0"/>
              <w:rPr>
                <w:sz w:val="20"/>
                <w:szCs w:val="20"/>
                <w:color w:val="auto"/>
              </w:rPr>
            </w:pPr>
            <w:r>
              <w:rPr>
                <w:rFonts w:ascii="Arial" w:cs="Arial" w:eastAsia="Arial" w:hAnsi="Arial"/>
                <w:sz w:val="18"/>
                <w:szCs w:val="18"/>
                <w:color w:val="auto"/>
                <w:w w:val="94"/>
              </w:rPr>
              <w:t>67%</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438,468</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248,034</w:t>
            </w:r>
          </w:p>
        </w:tc>
        <w:tc>
          <w:tcPr>
            <w:tcW w:w="1240" w:type="dxa"/>
            <w:vAlign w:val="bottom"/>
            <w:gridSpan w:val="2"/>
          </w:tcPr>
          <w:p>
            <w:pPr>
              <w:jc w:val="center"/>
              <w:ind w:left="50"/>
              <w:spacing w:after="0"/>
              <w:rPr>
                <w:sz w:val="20"/>
                <w:szCs w:val="20"/>
                <w:color w:val="auto"/>
              </w:rPr>
            </w:pPr>
            <w:r>
              <w:rPr>
                <w:rFonts w:ascii="Arial" w:cs="Arial" w:eastAsia="Arial" w:hAnsi="Arial"/>
                <w:sz w:val="18"/>
                <w:szCs w:val="18"/>
                <w:color w:val="auto"/>
                <w:w w:val="94"/>
              </w:rPr>
              <w:t>77%</w:t>
            </w:r>
          </w:p>
        </w:tc>
      </w:tr>
      <w:tr>
        <w:trPr>
          <w:trHeight w:val="263"/>
        </w:trPr>
        <w:tc>
          <w:tcPr>
            <w:tcW w:w="3620" w:type="dxa"/>
            <w:vAlign w:val="bottom"/>
            <w:shd w:val="clear" w:color="auto" w:fill="CFF0FC"/>
          </w:tcPr>
          <w:p>
            <w:pPr>
              <w:ind w:left="120"/>
              <w:spacing w:after="0"/>
              <w:rPr>
                <w:sz w:val="20"/>
                <w:szCs w:val="20"/>
                <w:color w:val="auto"/>
              </w:rPr>
            </w:pPr>
            <w:r>
              <w:rPr>
                <w:rFonts w:ascii="Arial" w:cs="Arial" w:eastAsia="Arial" w:hAnsi="Arial"/>
                <w:sz w:val="18"/>
                <w:szCs w:val="18"/>
                <w:i w:val="1"/>
                <w:iCs w:val="1"/>
                <w:color w:val="auto"/>
              </w:rPr>
              <w:t>% of revenues</w:t>
            </w:r>
          </w:p>
        </w:tc>
        <w:tc>
          <w:tcPr>
            <w:tcW w:w="220" w:type="dxa"/>
            <w:vAlign w:val="bottom"/>
            <w:shd w:val="clear" w:color="auto" w:fill="CFF0FC"/>
          </w:tcPr>
          <w:p>
            <w:pPr>
              <w:spacing w:after="0"/>
              <w:rPr>
                <w:sz w:val="22"/>
                <w:szCs w:val="22"/>
                <w:color w:val="auto"/>
              </w:rPr>
            </w:pP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i w:val="1"/>
                <w:iCs w:val="1"/>
                <w:color w:val="auto"/>
              </w:rPr>
              <w:t>85%</w:t>
            </w:r>
          </w:p>
        </w:tc>
        <w:tc>
          <w:tcPr>
            <w:tcW w:w="1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i w:val="1"/>
                <w:iCs w:val="1"/>
                <w:color w:val="auto"/>
              </w:rPr>
              <w:t>74%</w:t>
            </w:r>
          </w:p>
        </w:tc>
        <w:tc>
          <w:tcPr>
            <w:tcW w:w="160" w:type="dxa"/>
            <w:vAlign w:val="bottom"/>
            <w:shd w:val="clear" w:color="auto" w:fill="CFF0FC"/>
          </w:tcPr>
          <w:p>
            <w:pPr>
              <w:spacing w:after="0"/>
              <w:rPr>
                <w:sz w:val="22"/>
                <w:szCs w:val="22"/>
                <w:color w:val="auto"/>
              </w:rPr>
            </w:pPr>
          </w:p>
        </w:tc>
        <w:tc>
          <w:tcPr>
            <w:tcW w:w="11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20" w:type="dxa"/>
            <w:vAlign w:val="bottom"/>
            <w:shd w:val="clear" w:color="auto" w:fill="CFF0FC"/>
          </w:tcPr>
          <w:p>
            <w:pPr>
              <w:jc w:val="right"/>
              <w:ind w:right="10"/>
              <w:spacing w:after="0"/>
              <w:rPr>
                <w:sz w:val="20"/>
                <w:szCs w:val="20"/>
                <w:color w:val="auto"/>
              </w:rPr>
            </w:pPr>
            <w:r>
              <w:rPr>
                <w:rFonts w:ascii="Arial" w:cs="Arial" w:eastAsia="Arial" w:hAnsi="Arial"/>
                <w:sz w:val="18"/>
                <w:szCs w:val="18"/>
                <w:i w:val="1"/>
                <w:iCs w:val="1"/>
                <w:color w:val="auto"/>
              </w:rPr>
              <w:t>73%</w:t>
            </w:r>
          </w:p>
        </w:tc>
        <w:tc>
          <w:tcPr>
            <w:tcW w:w="1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i w:val="1"/>
                <w:iCs w:val="1"/>
                <w:color w:val="auto"/>
              </w:rPr>
              <w:t>75%</w:t>
            </w:r>
          </w:p>
        </w:tc>
        <w:tc>
          <w:tcPr>
            <w:tcW w:w="140" w:type="dxa"/>
            <w:vAlign w:val="bottom"/>
            <w:shd w:val="clear" w:color="auto" w:fill="CFF0FC"/>
          </w:tcPr>
          <w:p>
            <w:pPr>
              <w:spacing w:after="0"/>
              <w:rPr>
                <w:sz w:val="22"/>
                <w:szCs w:val="22"/>
                <w:color w:val="auto"/>
              </w:rPr>
            </w:pPr>
          </w:p>
        </w:tc>
        <w:tc>
          <w:tcPr>
            <w:tcW w:w="1100" w:type="dxa"/>
            <w:vAlign w:val="bottom"/>
            <w:shd w:val="clear" w:color="auto" w:fill="CFF0FC"/>
          </w:tcPr>
          <w:p>
            <w:pPr>
              <w:spacing w:after="0"/>
              <w:rPr>
                <w:sz w:val="22"/>
                <w:szCs w:val="22"/>
                <w:color w:val="auto"/>
              </w:rPr>
            </w:pPr>
          </w:p>
        </w:tc>
      </w:tr>
      <w:tr>
        <w:trPr>
          <w:trHeight w:val="250"/>
        </w:trPr>
        <w:tc>
          <w:tcPr>
            <w:tcW w:w="3620" w:type="dxa"/>
            <w:vAlign w:val="bottom"/>
          </w:tcPr>
          <w:p>
            <w:pPr>
              <w:ind w:left="120"/>
              <w:spacing w:after="0"/>
              <w:rPr>
                <w:sz w:val="20"/>
                <w:szCs w:val="20"/>
                <w:color w:val="auto"/>
              </w:rPr>
            </w:pPr>
            <w:r>
              <w:rPr>
                <w:rFonts w:ascii="Arial" w:cs="Arial" w:eastAsia="Arial" w:hAnsi="Arial"/>
                <w:sz w:val="18"/>
                <w:szCs w:val="18"/>
                <w:color w:val="auto"/>
              </w:rPr>
              <w:t>Non-compensation expenses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36,382</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30,407</w:t>
            </w:r>
          </w:p>
        </w:tc>
        <w:tc>
          <w:tcPr>
            <w:tcW w:w="1260" w:type="dxa"/>
            <w:vAlign w:val="bottom"/>
            <w:gridSpan w:val="2"/>
          </w:tcPr>
          <w:p>
            <w:pPr>
              <w:jc w:val="center"/>
              <w:ind w:left="70"/>
              <w:spacing w:after="0"/>
              <w:rPr>
                <w:sz w:val="20"/>
                <w:szCs w:val="20"/>
                <w:color w:val="auto"/>
              </w:rPr>
            </w:pPr>
            <w:r>
              <w:rPr>
                <w:rFonts w:ascii="Arial" w:cs="Arial" w:eastAsia="Arial" w:hAnsi="Arial"/>
                <w:sz w:val="18"/>
                <w:szCs w:val="18"/>
                <w:color w:val="auto"/>
                <w:w w:val="94"/>
              </w:rPr>
              <w:t>20%</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97,078</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104,571</w:t>
            </w:r>
          </w:p>
        </w:tc>
        <w:tc>
          <w:tcPr>
            <w:tcW w:w="1240" w:type="dxa"/>
            <w:vAlign w:val="bottom"/>
            <w:gridSpan w:val="2"/>
          </w:tcPr>
          <w:p>
            <w:pPr>
              <w:jc w:val="center"/>
              <w:ind w:left="70"/>
              <w:spacing w:after="0"/>
              <w:rPr>
                <w:sz w:val="20"/>
                <w:szCs w:val="20"/>
                <w:color w:val="auto"/>
              </w:rPr>
            </w:pPr>
            <w:r>
              <w:rPr>
                <w:rFonts w:ascii="Arial" w:cs="Arial" w:eastAsia="Arial" w:hAnsi="Arial"/>
                <w:sz w:val="18"/>
                <w:szCs w:val="18"/>
                <w:color w:val="auto"/>
                <w:w w:val="94"/>
              </w:rPr>
              <w:t>(7%)</w:t>
            </w:r>
          </w:p>
        </w:tc>
      </w:tr>
      <w:tr>
        <w:trPr>
          <w:trHeight w:val="263"/>
        </w:trPr>
        <w:tc>
          <w:tcPr>
            <w:tcW w:w="3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i w:val="1"/>
                <w:iCs w:val="1"/>
                <w:color w:val="auto"/>
              </w:rPr>
              <w:t>% of revenues</w:t>
            </w:r>
          </w:p>
        </w:tc>
        <w:tc>
          <w:tcPr>
            <w:tcW w:w="22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i w:val="1"/>
                <w:iCs w:val="1"/>
                <w:color w:val="auto"/>
              </w:rPr>
              <w:t>21%</w:t>
            </w:r>
          </w:p>
        </w:tc>
        <w:tc>
          <w:tcPr>
            <w:tcW w:w="1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i w:val="1"/>
                <w:iCs w:val="1"/>
                <w:color w:val="auto"/>
              </w:rPr>
              <w:t>25%</w:t>
            </w:r>
          </w:p>
        </w:tc>
        <w:tc>
          <w:tcPr>
            <w:tcW w:w="16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i w:val="1"/>
                <w:iCs w:val="1"/>
                <w:color w:val="auto"/>
              </w:rPr>
              <w:t>16%</w:t>
            </w:r>
          </w:p>
        </w:tc>
        <w:tc>
          <w:tcPr>
            <w:tcW w:w="16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i w:val="1"/>
                <w:iCs w:val="1"/>
                <w:color w:val="auto"/>
              </w:rPr>
              <w:t>32%</w:t>
            </w:r>
          </w:p>
        </w:tc>
        <w:tc>
          <w:tcPr>
            <w:tcW w:w="14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spacing w:after="0"/>
              <w:rPr>
                <w:sz w:val="22"/>
                <w:szCs w:val="22"/>
                <w:color w:val="auto"/>
              </w:rPr>
            </w:pP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187,754</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121,312</w:t>
            </w:r>
          </w:p>
        </w:tc>
        <w:tc>
          <w:tcPr>
            <w:tcW w:w="1260" w:type="dxa"/>
            <w:vAlign w:val="bottom"/>
            <w:gridSpan w:val="2"/>
          </w:tcPr>
          <w:p>
            <w:pPr>
              <w:jc w:val="center"/>
              <w:ind w:left="70"/>
              <w:spacing w:after="0"/>
              <w:rPr>
                <w:sz w:val="20"/>
                <w:szCs w:val="20"/>
                <w:color w:val="auto"/>
              </w:rPr>
            </w:pPr>
            <w:r>
              <w:rPr>
                <w:rFonts w:ascii="Arial" w:cs="Arial" w:eastAsia="Arial" w:hAnsi="Arial"/>
                <w:sz w:val="18"/>
                <w:szCs w:val="18"/>
                <w:color w:val="auto"/>
                <w:w w:val="94"/>
              </w:rPr>
              <w:t>55%</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535,546</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352,605</w:t>
            </w:r>
          </w:p>
        </w:tc>
        <w:tc>
          <w:tcPr>
            <w:tcW w:w="1240" w:type="dxa"/>
            <w:vAlign w:val="bottom"/>
            <w:gridSpan w:val="2"/>
          </w:tcPr>
          <w:p>
            <w:pPr>
              <w:jc w:val="center"/>
              <w:ind w:left="50"/>
              <w:spacing w:after="0"/>
              <w:rPr>
                <w:sz w:val="20"/>
                <w:szCs w:val="20"/>
                <w:color w:val="auto"/>
              </w:rPr>
            </w:pPr>
            <w:r>
              <w:rPr>
                <w:rFonts w:ascii="Arial" w:cs="Arial" w:eastAsia="Arial" w:hAnsi="Arial"/>
                <w:sz w:val="18"/>
                <w:szCs w:val="18"/>
                <w:color w:val="auto"/>
                <w:w w:val="94"/>
              </w:rPr>
              <w:t>52%</w:t>
            </w:r>
          </w:p>
        </w:tc>
      </w:tr>
      <w:tr>
        <w:trPr>
          <w:trHeight w:val="257"/>
        </w:trPr>
        <w:tc>
          <w:tcPr>
            <w:tcW w:w="3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i w:val="1"/>
                <w:iCs w:val="1"/>
                <w:color w:val="auto"/>
              </w:rPr>
              <w:t>% of revenues</w:t>
            </w:r>
          </w:p>
        </w:tc>
        <w:tc>
          <w:tcPr>
            <w:tcW w:w="22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i w:val="1"/>
                <w:iCs w:val="1"/>
                <w:color w:val="auto"/>
              </w:rPr>
              <w:t>106%</w:t>
            </w:r>
          </w:p>
        </w:tc>
        <w:tc>
          <w:tcPr>
            <w:tcW w:w="1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i w:val="1"/>
                <w:iCs w:val="1"/>
                <w:color w:val="auto"/>
              </w:rPr>
              <w:t>99%</w:t>
            </w:r>
          </w:p>
        </w:tc>
        <w:tc>
          <w:tcPr>
            <w:tcW w:w="16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i w:val="1"/>
                <w:iCs w:val="1"/>
                <w:color w:val="auto"/>
              </w:rPr>
              <w:t>89%</w:t>
            </w:r>
          </w:p>
        </w:tc>
        <w:tc>
          <w:tcPr>
            <w:tcW w:w="16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i w:val="1"/>
                <w:iCs w:val="1"/>
                <w:color w:val="auto"/>
              </w:rPr>
              <w:t>107%</w:t>
            </w:r>
          </w:p>
        </w:tc>
        <w:tc>
          <w:tcPr>
            <w:tcW w:w="14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spacing w:after="0"/>
              <w:rPr>
                <w:sz w:val="22"/>
                <w:szCs w:val="22"/>
                <w:color w:val="auto"/>
              </w:rPr>
            </w:pPr>
          </w:p>
        </w:tc>
      </w:tr>
      <w:tr>
        <w:trPr>
          <w:trHeight w:val="250"/>
        </w:trPr>
        <w:tc>
          <w:tcPr>
            <w:tcW w:w="362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(9,312 )</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(95 )</w:t>
            </w:r>
          </w:p>
        </w:tc>
        <w:tc>
          <w:tcPr>
            <w:tcW w:w="16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rPr>
              <w:t>NM</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24,740</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(24,740 )</w:t>
            </w:r>
          </w:p>
        </w:tc>
        <w:tc>
          <w:tcPr>
            <w:tcW w:w="14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rPr>
              <w:t>NM</w:t>
            </w:r>
          </w:p>
        </w:tc>
      </w:tr>
      <w:tr>
        <w:trPr>
          <w:trHeight w:val="263"/>
        </w:trPr>
        <w:tc>
          <w:tcPr>
            <w:tcW w:w="3620" w:type="dxa"/>
            <w:vAlign w:val="bottom"/>
            <w:shd w:val="clear" w:color="auto" w:fill="CFF0FC"/>
          </w:tcPr>
          <w:p>
            <w:pPr>
              <w:ind w:left="20"/>
              <w:spacing w:after="0"/>
              <w:rPr>
                <w:sz w:val="20"/>
                <w:szCs w:val="20"/>
                <w:color w:val="auto"/>
              </w:rPr>
            </w:pPr>
            <w:r>
              <w:rPr>
                <w:rFonts w:ascii="Arial" w:cs="Arial" w:eastAsia="Arial" w:hAnsi="Arial"/>
                <w:sz w:val="18"/>
                <w:szCs w:val="18"/>
                <w:i w:val="1"/>
                <w:iCs w:val="1"/>
                <w:color w:val="auto"/>
              </w:rPr>
              <w:t>% of revenues</w:t>
            </w:r>
          </w:p>
        </w:tc>
        <w:tc>
          <w:tcPr>
            <w:tcW w:w="220" w:type="dxa"/>
            <w:vAlign w:val="bottom"/>
            <w:shd w:val="clear" w:color="auto" w:fill="CFF0FC"/>
          </w:tcPr>
          <w:p>
            <w:pPr>
              <w:spacing w:after="0"/>
              <w:rPr>
                <w:sz w:val="22"/>
                <w:szCs w:val="22"/>
                <w:color w:val="auto"/>
              </w:rPr>
            </w:pP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i w:val="1"/>
                <w:iCs w:val="1"/>
                <w:color w:val="auto"/>
              </w:rPr>
              <w:t>(5%)</w:t>
            </w:r>
          </w:p>
        </w:tc>
        <w:tc>
          <w:tcPr>
            <w:tcW w:w="1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i w:val="1"/>
                <w:iCs w:val="1"/>
                <w:color w:val="auto"/>
              </w:rPr>
              <w:t>(0%)</w:t>
            </w:r>
          </w:p>
        </w:tc>
        <w:tc>
          <w:tcPr>
            <w:tcW w:w="160" w:type="dxa"/>
            <w:vAlign w:val="bottom"/>
            <w:shd w:val="clear" w:color="auto" w:fill="CFF0FC"/>
          </w:tcPr>
          <w:p>
            <w:pPr>
              <w:spacing w:after="0"/>
              <w:rPr>
                <w:sz w:val="22"/>
                <w:szCs w:val="22"/>
                <w:color w:val="auto"/>
              </w:rPr>
            </w:pPr>
          </w:p>
        </w:tc>
        <w:tc>
          <w:tcPr>
            <w:tcW w:w="11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20" w:type="dxa"/>
            <w:vAlign w:val="bottom"/>
            <w:shd w:val="clear" w:color="auto" w:fill="CFF0FC"/>
          </w:tcPr>
          <w:p>
            <w:pPr>
              <w:jc w:val="right"/>
              <w:ind w:right="10"/>
              <w:spacing w:after="0"/>
              <w:rPr>
                <w:sz w:val="20"/>
                <w:szCs w:val="20"/>
                <w:color w:val="auto"/>
              </w:rPr>
            </w:pPr>
            <w:r>
              <w:rPr>
                <w:rFonts w:ascii="Arial" w:cs="Arial" w:eastAsia="Arial" w:hAnsi="Arial"/>
                <w:sz w:val="18"/>
                <w:szCs w:val="18"/>
                <w:i w:val="1"/>
                <w:iCs w:val="1"/>
                <w:color w:val="auto"/>
              </w:rPr>
              <w:t>4%</w:t>
            </w:r>
          </w:p>
        </w:tc>
        <w:tc>
          <w:tcPr>
            <w:tcW w:w="1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i w:val="1"/>
                <w:iCs w:val="1"/>
                <w:color w:val="auto"/>
              </w:rPr>
              <w:t>(8%)</w:t>
            </w:r>
          </w:p>
        </w:tc>
        <w:tc>
          <w:tcPr>
            <w:tcW w:w="140" w:type="dxa"/>
            <w:vAlign w:val="bottom"/>
            <w:shd w:val="clear" w:color="auto" w:fill="CFF0FC"/>
          </w:tcPr>
          <w:p>
            <w:pPr>
              <w:spacing w:after="0"/>
              <w:rPr>
                <w:sz w:val="22"/>
                <w:szCs w:val="22"/>
                <w:color w:val="auto"/>
              </w:rPr>
            </w:pPr>
          </w:p>
        </w:tc>
        <w:tc>
          <w:tcPr>
            <w:tcW w:w="1100" w:type="dxa"/>
            <w:vAlign w:val="bottom"/>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3048000</wp:posOffset>
            </wp:positionH>
            <wp:positionV relativeFrom="paragraph">
              <wp:posOffset>-1325245</wp:posOffset>
            </wp:positionV>
            <wp:extent cx="102870" cy="57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-1325245</wp:posOffset>
            </wp:positionV>
            <wp:extent cx="102870" cy="57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-1325245</wp:posOffset>
            </wp:positionV>
            <wp:extent cx="94615" cy="57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-1325245</wp:posOffset>
            </wp:positionV>
            <wp:extent cx="94615" cy="57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-1325245</wp:posOffset>
            </wp:positionV>
            <wp:extent cx="93980" cy="57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-664845</wp:posOffset>
            </wp:positionV>
            <wp:extent cx="102870" cy="57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-664845</wp:posOffset>
            </wp:positionV>
            <wp:extent cx="102870" cy="57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-664845</wp:posOffset>
            </wp:positionV>
            <wp:extent cx="94615" cy="57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-664845</wp:posOffset>
            </wp:positionV>
            <wp:extent cx="94615" cy="57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-664845</wp:posOffset>
            </wp:positionV>
            <wp:extent cx="93980" cy="57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-330835</wp:posOffset>
            </wp:positionV>
            <wp:extent cx="102870" cy="57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-330835</wp:posOffset>
            </wp:positionV>
            <wp:extent cx="102870" cy="57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-330835</wp:posOffset>
            </wp:positionV>
            <wp:extent cx="94615" cy="57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-330835</wp:posOffset>
            </wp:positionV>
            <wp:extent cx="94615" cy="57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-330835</wp:posOffset>
            </wp:positionV>
            <wp:extent cx="93980" cy="57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93980" cy="5715"/>
                    </a:xfrm>
                    <a:prstGeom prst="rect">
                      <a:avLst/>
                    </a:prstGeom>
                    <a:noFill/>
                  </pic:spPr>
                </pic:pic>
              </a:graphicData>
            </a:graphic>
          </wp:anchor>
        </w:drawing>
      </w:r>
    </w:p>
    <w:p>
      <w:pPr>
        <w:spacing w:after="0" w:line="195" w:lineRule="exact"/>
        <w:rPr>
          <w:sz w:val="20"/>
          <w:szCs w:val="20"/>
          <w:color w:val="auto"/>
        </w:rPr>
      </w:pPr>
    </w:p>
    <w:p>
      <w:pPr>
        <w:jc w:val="both"/>
        <w:ind w:firstLine="464"/>
        <w:spacing w:after="0" w:line="271" w:lineRule="auto"/>
        <w:rPr>
          <w:sz w:val="20"/>
          <w:szCs w:val="20"/>
          <w:color w:val="auto"/>
        </w:rPr>
      </w:pPr>
      <w:r>
        <w:rPr>
          <w:rFonts w:ascii="Arial" w:cs="Arial" w:eastAsia="Arial" w:hAnsi="Arial"/>
          <w:sz w:val="18"/>
          <w:szCs w:val="18"/>
          <w:color w:val="auto"/>
        </w:rPr>
        <w:t>Our operating expenses are classified as (i) compensation and benefits expenses and equity-based compensation and (ii) non-compensation expenses. Headcount is the primary driver of the level of our operating expenses. Compensation and benefits expenses account for the majority of our operating expenses. Compensation expenses also include expense associated with hiring which has been a significant focus of the Company in all of the historical periods described herein. Non-compensation expenses, which include the costs of professional fees, travel and related expenses, technology and infrastructure, rent and occupancy, depreciation and amortization, and general, administrative and other expenses generally have been less significant in comparison with compensation and benefits expenses.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September 30, 2021 Compared to Three Months Ended September 30, 2020</w:t>
      </w:r>
    </w:p>
    <w:p>
      <w:pPr>
        <w:spacing w:after="0" w:line="239" w:lineRule="exact"/>
        <w:rPr>
          <w:sz w:val="20"/>
          <w:szCs w:val="20"/>
          <w:color w:val="auto"/>
        </w:rPr>
      </w:pPr>
    </w:p>
    <w:p>
      <w:pPr>
        <w:jc w:val="both"/>
        <w:ind w:firstLine="464"/>
        <w:spacing w:after="0" w:line="285" w:lineRule="auto"/>
        <w:rPr>
          <w:sz w:val="20"/>
          <w:szCs w:val="20"/>
          <w:color w:val="auto"/>
        </w:rPr>
      </w:pPr>
      <w:r>
        <w:rPr>
          <w:rFonts w:ascii="Arial" w:cs="Arial" w:eastAsia="Arial" w:hAnsi="Arial"/>
          <w:sz w:val="17"/>
          <w:szCs w:val="17"/>
          <w:color w:val="auto"/>
        </w:rPr>
        <w:t>Operating expenses were $187.8 million for the three months ended September 30, 2021 and represented 106% of revenues, compared with $121.3 million for the three months ended September 30, 2020, which represented 99% of revenues. The increase in operating expenses was primarily driven by an increase in equity-based compensation expense, which was $38.1 million, for the three months ended September 30, 2021 compared to $6.1 million, for the three months ended September 30, 2020, an increase in compensation and benefits expenses, which were $113.3 million, for the three months ended September 30, 2021 compared to $84.8 million, for the three months ended September 30, 2020, and higher non-compensation expenses which were $36.4 million for the three months ended September 30, 2021 compared to $30.4 million for the three months ended September 30, 2020. The increase in equity-based compensation expense was driven by the incentive compensation awards granted in the current year period in accordance with the Perella Weinberg Partners 2021 Omnibus Incentive Plan (the “PWP Incentive Plan”) due principally to awards granted in connection with the Business Combination. The increase in compensation and benefits expenses was primarily due to a larger bonus accrual associated with the increase in revenue despite a lower compensation margin. The increase in non-compensation expense was primarily driven by an increase in professional fees compared to the prior year period due to increased consulting, recruiting and legal expenses, increased public company costs including D&amp;O insurance and a modest increase in travel and related expenses as pandemic-related travel restrictions ease. These increases were partially offset by the recovery of a previously written off client receivable.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i w:val="1"/>
          <w:iCs w:val="1"/>
          <w:color w:val="auto"/>
        </w:rPr>
        <w:t>Nine Months Ended September 30, 2021 Compared to Nine Months Ended September 30, 2020</w:t>
      </w:r>
    </w:p>
    <w:p>
      <w:pPr>
        <w:spacing w:after="0" w:line="239" w:lineRule="exact"/>
        <w:rPr>
          <w:sz w:val="20"/>
          <w:szCs w:val="20"/>
          <w:color w:val="auto"/>
        </w:rPr>
      </w:pPr>
    </w:p>
    <w:p>
      <w:pPr>
        <w:jc w:val="both"/>
        <w:ind w:firstLine="464"/>
        <w:spacing w:after="0" w:line="285" w:lineRule="auto"/>
        <w:rPr>
          <w:sz w:val="20"/>
          <w:szCs w:val="20"/>
          <w:color w:val="auto"/>
        </w:rPr>
      </w:pPr>
      <w:r>
        <w:rPr>
          <w:rFonts w:ascii="Arial" w:cs="Arial" w:eastAsia="Arial" w:hAnsi="Arial"/>
          <w:sz w:val="17"/>
          <w:szCs w:val="17"/>
          <w:color w:val="auto"/>
        </w:rPr>
        <w:t>Operating expenses were $535.5 million for the nine months ended September 30, 2021 and represented 89% of revenues, compared with $352.6 million for the nine months ended September 30, 2020, which represented 107% of revenues. The increase in operating expenses was primarily driven by an increase in compensation and benefits expenses, which were $387.2 million for the nine months ended September 30, 2021 compared to $229.6 million for the nine months ended September 30, 2020 and an increase in equity-based compensation expense which was $51.3 million for the nine months ended September 30, 2021 compared to $18.5 million for the nine months ended September 30, 2020, partially offset by lower non-compensation expenses which were $97.1 million for the nine months ended September 30, 2021 compared to $104.6 million for the nine months ended September 30, 2020. The increase in compensation and benefits expense was primarily due to a larger bonus accrual associated with the increase in revenue despite a lower compensation margin. The increase in equity-based compensation expense was driven by the incentive compensation awards granted in the current year period in accordance with the PWP Incentive Plan due principally to awards granted in connection with the Business Combination. The decrease in non-compensation expense was primarily driven by decreased professional fees compared to the prior year period which included the write-off of certain previously deferred offering costs due to the termination of a public company transaction process in May 2020 and lower travel and related expense as a result of the COVID-19 pandemic. The decrease in non-compensation was partially offset by increased recruiting and increased public company costs including D&amp;O insurance.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and Benefits Expenses</w:t>
      </w:r>
    </w:p>
    <w:p>
      <w:pPr>
        <w:spacing w:after="0" w:line="239" w:lineRule="exact"/>
        <w:rPr>
          <w:sz w:val="20"/>
          <w:szCs w:val="20"/>
          <w:color w:val="auto"/>
        </w:rPr>
      </w:pPr>
    </w:p>
    <w:p>
      <w:pPr>
        <w:jc w:val="both"/>
        <w:ind w:firstLine="464"/>
        <w:spacing w:after="0" w:line="272" w:lineRule="auto"/>
        <w:rPr>
          <w:sz w:val="20"/>
          <w:szCs w:val="20"/>
          <w:color w:val="auto"/>
        </w:rPr>
      </w:pPr>
      <w:r>
        <w:rPr>
          <w:rFonts w:ascii="Arial" w:cs="Arial" w:eastAsia="Arial" w:hAnsi="Arial"/>
          <w:sz w:val="18"/>
          <w:szCs w:val="18"/>
          <w:color w:val="auto"/>
        </w:rPr>
        <w:t>Our compensation and benefits expenses are determined by management based on revenues earned, the competitiveness of the prevailing labor market and anticipated compensation requirements for our employees, the level of recruitment of new partners, the amount of compensation expense amortized for equity awards and other relevant factors. Such factors can fluctuate, including headcount, and as a result, our compensation expenses may fluctuate materially in any particular period. Accordingly, the amount of compensation expenses recognized in any particular period may not be consistent with prior periods or indicative of future periods.</w:t>
      </w:r>
    </w:p>
    <w:p>
      <w:pPr>
        <w:spacing w:after="0" w:line="191" w:lineRule="exact"/>
        <w:rPr>
          <w:sz w:val="20"/>
          <w:szCs w:val="20"/>
          <w:color w:val="auto"/>
        </w:rPr>
      </w:pPr>
    </w:p>
    <w:p>
      <w:pPr>
        <w:jc w:val="both"/>
        <w:ind w:firstLine="464"/>
        <w:spacing w:after="0" w:line="311" w:lineRule="auto"/>
        <w:rPr>
          <w:sz w:val="20"/>
          <w:szCs w:val="20"/>
          <w:color w:val="auto"/>
        </w:rPr>
      </w:pPr>
      <w:r>
        <w:rPr>
          <w:rFonts w:ascii="Arial" w:cs="Arial" w:eastAsia="Arial" w:hAnsi="Arial"/>
          <w:sz w:val="16"/>
          <w:szCs w:val="16"/>
          <w:color w:val="auto"/>
        </w:rPr>
        <w:t>Our compensation expenses consist of base salary, benefits, payroll taxes, annual incentive compensation payable as cash bonus awards, deferred compensation awards, profit sharing arrangements and amortization of equity-based compensation awards. Compensation expenses also include signing bonuses and compensation paid pursuant to guarantees for new hires. These amounts have historically been significant. Base salary and benefits are paid ratably throughout the year. Depending on the plan, deferred compensation and profit-sharing awards vest immediately, at future dates, or upon the occurrence of certain events. Cash bonuses, which are accrued each quarter, are discretionary and dependent upon many factors, including the performance of the Company, and are generally paid during the first quarter of each calendar year with respect to prior year performance.</w:t>
      </w:r>
    </w:p>
    <w:p>
      <w:pPr>
        <w:spacing w:after="0" w:line="163" w:lineRule="exact"/>
        <w:rPr>
          <w:sz w:val="20"/>
          <w:szCs w:val="20"/>
          <w:color w:val="auto"/>
        </w:rPr>
      </w:pPr>
    </w:p>
    <w:p>
      <w:pPr>
        <w:jc w:val="both"/>
        <w:ind w:firstLine="464"/>
        <w:spacing w:after="0" w:line="287" w:lineRule="auto"/>
        <w:rPr>
          <w:sz w:val="20"/>
          <w:szCs w:val="20"/>
          <w:color w:val="auto"/>
        </w:rPr>
      </w:pPr>
      <w:r>
        <w:rPr>
          <w:rFonts w:ascii="Arial" w:cs="Arial" w:eastAsia="Arial" w:hAnsi="Arial"/>
          <w:sz w:val="17"/>
          <w:szCs w:val="17"/>
          <w:color w:val="auto"/>
        </w:rPr>
        <w:t>Equity awards are measured at fair value on the grant date and recognized on a straight-line basis over the vesting period. The awards are subject to a service vesting condition, and in some cases a market-based performance vesting condition, and vest ratably on a graded vesting schedule of up to five years. The awards are recorded within equity as they are expensed. The vesting of Legacy Awards granted prior to the Business Combination and the various Professional Partners awards issued in connection with the Business Combination have no economic impact on, and do not dilute, PWP shareholders relative to Professional Partners. The awards do not change the economic allocations between Professional Partners and PWP shareholders, nor do they change the Professional Partners’ interest in PWP OpCo. As a result, all of the compensation expense and corresponding capital contribution associated with the Professional Partners Awards is allocated to non-controlling interests on the Condensed Consolidated Statements of Operations and Condensed Consolidated Statements of Financial Condition.</w:t>
      </w:r>
    </w:p>
    <w:p>
      <w:pPr>
        <w:spacing w:after="0" w:line="182" w:lineRule="exact"/>
        <w:rPr>
          <w:sz w:val="20"/>
          <w:szCs w:val="20"/>
          <w:color w:val="auto"/>
        </w:rPr>
      </w:pPr>
    </w:p>
    <w:p>
      <w:pPr>
        <w:jc w:val="both"/>
        <w:ind w:firstLine="464"/>
        <w:spacing w:after="0" w:line="308" w:lineRule="auto"/>
        <w:rPr>
          <w:sz w:val="20"/>
          <w:szCs w:val="20"/>
          <w:color w:val="auto"/>
        </w:rPr>
      </w:pPr>
      <w:r>
        <w:rPr>
          <w:rFonts w:ascii="Arial" w:cs="Arial" w:eastAsia="Arial" w:hAnsi="Arial"/>
          <w:sz w:val="16"/>
          <w:szCs w:val="16"/>
          <w:color w:val="auto"/>
        </w:rPr>
        <w:t>Beginning in the third quarter of 2021, the Company granted incentive compensation awards in accordance with the PWP Incentive Plan. The Company uses shares of PWP Class A common stock to satisfy vested awards under the plan. The vesting of these awards for employees are recorded as equity-based compensation expense and awards for non-employees are recorded as professional fees at PWP OpCo for U.S. GAAP accounting purposes. Due to the accounting for this equity-based compensation expense, we may experience operating losses in future periods. We intend to compensate our personnel competitively in order to continue building our business and growing our firm. Certain awards were granted in conjunction with the Business Combination and directly related to this transaction milestone event. These awards were outside the Company's normal and recurring compensation processes. Total future amortization which will be recognized over the next five years before accounting for forfeitures is $115.2 million for the Transaction Pool RSUs and Transaction Pool PSUs and $82.3 million for the Management PSUs granted in conjunction with the Business Combination.</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i w:val="1"/>
          <w:iCs w:val="1"/>
          <w:color w:val="auto"/>
        </w:rPr>
        <w:t>Three Months Ended September 30, 2021 Compared to Three Months Ended September 30, 2020</w:t>
      </w:r>
    </w:p>
    <w:p>
      <w:pPr>
        <w:spacing w:after="0" w:line="239" w:lineRule="exact"/>
        <w:rPr>
          <w:sz w:val="20"/>
          <w:szCs w:val="20"/>
          <w:color w:val="auto"/>
        </w:rPr>
      </w:pPr>
    </w:p>
    <w:p>
      <w:pPr>
        <w:jc w:val="both"/>
        <w:ind w:firstLine="464"/>
        <w:spacing w:after="0" w:line="271" w:lineRule="auto"/>
        <w:rPr>
          <w:sz w:val="20"/>
          <w:szCs w:val="20"/>
          <w:color w:val="auto"/>
        </w:rPr>
      </w:pPr>
      <w:r>
        <w:rPr>
          <w:rFonts w:ascii="Arial" w:cs="Arial" w:eastAsia="Arial" w:hAnsi="Arial"/>
          <w:sz w:val="18"/>
          <w:szCs w:val="18"/>
          <w:color w:val="auto"/>
        </w:rPr>
        <w:t>For the three months ended September 30, 2021, total compensation and benefits expenses of $151.4 million represented 85% of revenues, compared with $90.9 million of compensation-related expenses, which represented 74% of revenues for the three months ended September 30, 2020. Included in total compensation-related expense was $38.1 million and $6.1 million amortization of equity awards for the three months ended September 30, 2021 and 2020, respectively. The increase in total compensation and benefit expenses was due to a larger bonus accrual associated with the increase in revenue despite a lower compensation margin as well as increased equity-based compensation due principally to awards granted in connection with the Business Combination.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2021 Compared to Nine Months Ended September 30, 2020</w:t>
      </w:r>
    </w:p>
    <w:p>
      <w:pPr>
        <w:spacing w:after="0" w:line="239" w:lineRule="exact"/>
        <w:rPr>
          <w:sz w:val="20"/>
          <w:szCs w:val="20"/>
          <w:color w:val="auto"/>
        </w:rPr>
      </w:pPr>
    </w:p>
    <w:p>
      <w:pPr>
        <w:jc w:val="both"/>
        <w:ind w:firstLine="464"/>
        <w:spacing w:after="0" w:line="271" w:lineRule="auto"/>
        <w:rPr>
          <w:sz w:val="20"/>
          <w:szCs w:val="20"/>
          <w:color w:val="auto"/>
        </w:rPr>
      </w:pPr>
      <w:r>
        <w:rPr>
          <w:rFonts w:ascii="Arial" w:cs="Arial" w:eastAsia="Arial" w:hAnsi="Arial"/>
          <w:sz w:val="18"/>
          <w:szCs w:val="18"/>
          <w:color w:val="auto"/>
        </w:rPr>
        <w:t>For the nine months ended September 30, 2021, total compensation and benefits expenses of $438.5 million represented 73% of revenues, compared with $248.0 million of compensation-related expenses, which represented 75% of revenues for the nine months ended September 30, 2020. Included in total compensation-related expense was $51.3 million and $18.5 million amortization of equity awards for the nine months ended September 30, 2021 and 2020, respectively. The increase in total compensation and benefit expenses was due to a larger bonus accrual associated with the increase in revenue despite a lower compensation margin as well as increased equity-based compensation due principally to awards granted in connection with the Business Combination.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Non-Compensation Expenses</w:t>
      </w:r>
    </w:p>
    <w:p>
      <w:pPr>
        <w:spacing w:after="0" w:line="239" w:lineRule="exact"/>
        <w:rPr>
          <w:sz w:val="20"/>
          <w:szCs w:val="20"/>
          <w:color w:val="auto"/>
        </w:rPr>
      </w:pPr>
    </w:p>
    <w:p>
      <w:pPr>
        <w:jc w:val="both"/>
        <w:ind w:firstLine="464"/>
        <w:spacing w:after="0" w:line="275" w:lineRule="auto"/>
        <w:rPr>
          <w:sz w:val="20"/>
          <w:szCs w:val="20"/>
          <w:color w:val="auto"/>
        </w:rPr>
      </w:pPr>
      <w:r>
        <w:rPr>
          <w:rFonts w:ascii="Arial" w:cs="Arial" w:eastAsia="Arial" w:hAnsi="Arial"/>
          <w:sz w:val="18"/>
          <w:szCs w:val="18"/>
          <w:color w:val="auto"/>
        </w:rPr>
        <w:t>Our non-compensation expenses include the costs of professional fees, travel and related expenses, technology and infrastructure, rent and occupancy, depreciation and amortization and general, administrative and other expenses including certain co-advisory fees and expenses reimbursed by our clients. Any expenses reimbursed by clients and the co-advisory fees are also presented within revenues on our Condensed Consolidated Statements of Operations.</w:t>
      </w:r>
    </w:p>
    <w:p>
      <w:pPr>
        <w:spacing w:after="0" w:line="185" w:lineRule="exact"/>
        <w:rPr>
          <w:sz w:val="20"/>
          <w:szCs w:val="20"/>
          <w:color w:val="auto"/>
        </w:rPr>
      </w:pPr>
    </w:p>
    <w:p>
      <w:pPr>
        <w:jc w:val="both"/>
        <w:ind w:firstLine="464"/>
        <w:spacing w:after="0" w:line="275" w:lineRule="auto"/>
        <w:rPr>
          <w:sz w:val="20"/>
          <w:szCs w:val="20"/>
          <w:color w:val="auto"/>
        </w:rPr>
      </w:pPr>
      <w:r>
        <w:rPr>
          <w:rFonts w:ascii="Arial" w:cs="Arial" w:eastAsia="Arial" w:hAnsi="Arial"/>
          <w:sz w:val="18"/>
          <w:szCs w:val="18"/>
          <w:color w:val="auto"/>
        </w:rPr>
        <w:t>Historically, our non-compensation expenses associated with business development have increased as we have increased our headcount. These costs include costs such as travel and related expenses. Growth in our headcount has increased rent and occupancy expenses while geographic expansion has increased regulatory expenses. This trend may continue as we expand into new sectors, geographies and products to serve our clients’ growing needs, domestically and internationally.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September 30, 2021 Compared to Three Months Ended September 30, 2020</w:t>
      </w:r>
    </w:p>
    <w:p>
      <w:pPr>
        <w:spacing w:after="0" w:line="239" w:lineRule="exact"/>
        <w:rPr>
          <w:sz w:val="20"/>
          <w:szCs w:val="20"/>
          <w:color w:val="auto"/>
        </w:rPr>
      </w:pPr>
    </w:p>
    <w:p>
      <w:pPr>
        <w:jc w:val="both"/>
        <w:ind w:firstLine="464"/>
        <w:spacing w:after="0" w:line="314" w:lineRule="auto"/>
        <w:rPr>
          <w:sz w:val="20"/>
          <w:szCs w:val="20"/>
          <w:color w:val="auto"/>
        </w:rPr>
      </w:pPr>
      <w:r>
        <w:rPr>
          <w:rFonts w:ascii="Arial" w:cs="Arial" w:eastAsia="Arial" w:hAnsi="Arial"/>
          <w:sz w:val="16"/>
          <w:szCs w:val="16"/>
          <w:color w:val="auto"/>
        </w:rPr>
        <w:t>For the three months ended September 30, 2021, non-compensation expenses of $36.4 million represented 21% of revenues, compared with $30.4 million, which represented 25% of revenues, for the three months ended September 30, 2020. The increase in non-compensation expense was primarily driven by a $4.9 million increase in professional fees due to increased consulting, recruiting and legal expenses and a $1.2 million increase in travel and related expenses as pandemic-related travel restrictions ease. While general, administrative and other expenses were relatively flat, they included increased public company costs such as D&amp;O insurance which were largely offset by the recovery of a previously written off client receivable.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2021 Compared to Nine Months Ended September 30, 2020</w:t>
      </w:r>
    </w:p>
    <w:p>
      <w:pPr>
        <w:spacing w:after="0" w:line="239" w:lineRule="exact"/>
        <w:rPr>
          <w:sz w:val="20"/>
          <w:szCs w:val="20"/>
          <w:color w:val="auto"/>
        </w:rPr>
      </w:pPr>
    </w:p>
    <w:p>
      <w:pPr>
        <w:jc w:val="both"/>
        <w:ind w:firstLine="464"/>
        <w:spacing w:after="0" w:line="288" w:lineRule="auto"/>
        <w:rPr>
          <w:sz w:val="20"/>
          <w:szCs w:val="20"/>
          <w:color w:val="auto"/>
        </w:rPr>
      </w:pPr>
      <w:r>
        <w:rPr>
          <w:rFonts w:ascii="Arial" w:cs="Arial" w:eastAsia="Arial" w:hAnsi="Arial"/>
          <w:sz w:val="17"/>
          <w:szCs w:val="17"/>
          <w:color w:val="auto"/>
        </w:rPr>
        <w:t>For the nine months ended September 30, 2021, non-compensation expenses of $97.1 million represented 16% of revenues, compared with $104.6 million, which represented 32% of revenues, for the nine months ended September 30, 2020. The decrease in non-compensation expense was primarily driven by a $5.5 million decrease in professional fees. This reduction is largely due to elevated professional fees during the nine months ended September 30, 2020 as previously deferred offering costs of $14.8 million were expensed due to the termination of a public company transaction process in May 2020. Excluding this write-off, professional fees during the nine months ended September 30, 2021 increased $9.3 million, including $4.6 million of transaction-related expenses as well as increased consulting and recruiting expenses. The decrease in non-compensation expense was also due to a $1.5 million decrease in travel and related expenses as a result of the COVID-19 pandemic.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Income (Expenses)</w:t>
      </w:r>
    </w:p>
    <w:p>
      <w:pPr>
        <w:spacing w:after="0" w:line="239" w:lineRule="exact"/>
        <w:rPr>
          <w:sz w:val="20"/>
          <w:szCs w:val="20"/>
          <w:color w:val="auto"/>
        </w:rPr>
      </w:pPr>
    </w:p>
    <w:p>
      <w:pPr>
        <w:jc w:val="both"/>
        <w:ind w:firstLine="464"/>
        <w:spacing w:after="0" w:line="324" w:lineRule="auto"/>
        <w:rPr>
          <w:sz w:val="20"/>
          <w:szCs w:val="20"/>
          <w:color w:val="auto"/>
        </w:rPr>
      </w:pPr>
      <w:r>
        <w:rPr>
          <w:rFonts w:ascii="Arial" w:cs="Arial" w:eastAsia="Arial" w:hAnsi="Arial"/>
          <w:sz w:val="17"/>
          <w:szCs w:val="17"/>
          <w:color w:val="auto"/>
        </w:rPr>
        <w:t>Non-operating income (expenses) includes the impact of income and expense items that we consider to be non-operational in nature, including related party income, interest expense, change in the fair value of warrant liabilities, loss on debt extinguishment and other income (expense).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i w:val="1"/>
          <w:iCs w:val="1"/>
          <w:color w:val="auto"/>
        </w:rPr>
        <w:t>Three Months Ended September 30, 2021 Compared to Three Months Ended September 30, 2020</w:t>
      </w:r>
    </w:p>
    <w:p>
      <w:pPr>
        <w:spacing w:after="0" w:line="239"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8"/>
          <w:szCs w:val="18"/>
          <w:color w:val="auto"/>
        </w:rPr>
        <w:t>For the three months ended September 30, 2021, non-operating income (expenses) were $1.0 million of income compared to $1.6 million of expense for the three months ended September 30, 2020. The change included the decrease in interest expense related to the repayment of all indebtedness in connection with the Business Combination and the change in the fair value of warrant liabilities.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2021 Compared to Nine Months Ended September 30, 2020</w:t>
      </w:r>
    </w:p>
    <w:p>
      <w:pPr>
        <w:spacing w:after="0" w:line="239" w:lineRule="exact"/>
        <w:rPr>
          <w:sz w:val="20"/>
          <w:szCs w:val="20"/>
          <w:color w:val="auto"/>
        </w:rPr>
      </w:pPr>
    </w:p>
    <w:p>
      <w:pPr>
        <w:jc w:val="both"/>
        <w:ind w:firstLine="464"/>
        <w:spacing w:after="0" w:line="311" w:lineRule="auto"/>
        <w:rPr>
          <w:sz w:val="20"/>
          <w:szCs w:val="20"/>
          <w:color w:val="auto"/>
        </w:rPr>
      </w:pPr>
      <w:r>
        <w:rPr>
          <w:rFonts w:ascii="Arial" w:cs="Arial" w:eastAsia="Arial" w:hAnsi="Arial"/>
          <w:sz w:val="16"/>
          <w:szCs w:val="16"/>
          <w:color w:val="auto"/>
        </w:rPr>
        <w:t>For the nine months ended September 30, 2021, non-operating income (expenses) was $42.5 million of expense compared to $2.0 million of expense for the nine months ended September 30, 2020. The most significant component and change from the prior year period was the $39.4 million loss on debt extinguishment which was related to the redemption of the $150.0 million aggregate principal of the Convertible Notes concurrent with the Business Combination. The loss is composed of the $10.9 million premium and $28.5 million of unamortized debt discount and issuance costs. Additionally, the increase in non-operating expense during the current year period was also driven by the change in the fair value of warrant liabilities. These increases were partially offset by a decrease in interest expense related to the repayment of all indebtedness in connection with the Business Combination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 (Expense)</w:t>
      </w:r>
    </w:p>
    <w:p>
      <w:pPr>
        <w:spacing w:after="0" w:line="239" w:lineRule="exact"/>
        <w:rPr>
          <w:sz w:val="20"/>
          <w:szCs w:val="20"/>
          <w:color w:val="auto"/>
        </w:rPr>
      </w:pPr>
    </w:p>
    <w:p>
      <w:pPr>
        <w:jc w:val="both"/>
        <w:ind w:firstLine="464"/>
        <w:spacing w:after="0" w:line="275" w:lineRule="auto"/>
        <w:rPr>
          <w:sz w:val="20"/>
          <w:szCs w:val="20"/>
          <w:color w:val="auto"/>
        </w:rPr>
      </w:pPr>
      <w:r>
        <w:rPr>
          <w:rFonts w:ascii="Arial" w:cs="Arial" w:eastAsia="Arial" w:hAnsi="Arial"/>
          <w:sz w:val="18"/>
          <w:szCs w:val="18"/>
          <w:color w:val="auto"/>
        </w:rPr>
        <w:t>Prior to the Business Combination, the Company operated as a partnership, and therefore, was generally not subject to U.S. federal and state corporate income taxes. Subsequent to the Business Combination, PWP is a corporation and is subject to U.S. federal and state corporate income taxes on its proportionate share of taxable income generated by the operating partnership, PWP OpCo, as well as any standalone income (or loss) generated at the PWP entity level.</w:t>
      </w:r>
    </w:p>
    <w:p>
      <w:pPr>
        <w:spacing w:after="0" w:line="185" w:lineRule="exact"/>
        <w:rPr>
          <w:sz w:val="20"/>
          <w:szCs w:val="20"/>
          <w:color w:val="auto"/>
        </w:rPr>
      </w:pPr>
    </w:p>
    <w:p>
      <w:pPr>
        <w:jc w:val="both"/>
        <w:ind w:firstLine="464"/>
        <w:spacing w:after="0" w:line="329" w:lineRule="auto"/>
        <w:rPr>
          <w:sz w:val="20"/>
          <w:szCs w:val="20"/>
          <w:color w:val="auto"/>
        </w:rPr>
      </w:pPr>
      <w:r>
        <w:rPr>
          <w:rFonts w:ascii="Arial" w:cs="Arial" w:eastAsia="Arial" w:hAnsi="Arial"/>
          <w:sz w:val="16"/>
          <w:szCs w:val="16"/>
          <w:color w:val="auto"/>
        </w:rPr>
        <w:t>The Company’s income tax provision and the corresponding annual effective tax rate are based on projected U.S. GAAP income and the currently enacted statutory tax rates in the various jurisdictions in which the Company operates. For interim reporting, the Company estimates the annual effective tax rate based on projected income for the full year and records a quarterly tax provision in accordance with the annual effective tax rate.</w:t>
      </w:r>
    </w:p>
    <w:p>
      <w:pPr>
        <w:spacing w:after="0" w:line="148" w:lineRule="exact"/>
        <w:rPr>
          <w:sz w:val="20"/>
          <w:szCs w:val="20"/>
          <w:color w:val="auto"/>
        </w:rPr>
      </w:pPr>
    </w:p>
    <w:p>
      <w:pPr>
        <w:jc w:val="both"/>
        <w:ind w:firstLine="464"/>
        <w:spacing w:after="0" w:line="290" w:lineRule="auto"/>
        <w:rPr>
          <w:sz w:val="20"/>
          <w:szCs w:val="20"/>
          <w:color w:val="auto"/>
        </w:rPr>
      </w:pPr>
      <w:r>
        <w:rPr>
          <w:rFonts w:ascii="Arial" w:cs="Arial" w:eastAsia="Arial" w:hAnsi="Arial"/>
          <w:sz w:val="17"/>
          <w:szCs w:val="17"/>
          <w:color w:val="auto"/>
        </w:rPr>
        <w:t>The Company’s effective tax rate is dependent on many factors, including the estimated amount of income subject to tax. Consequently, the effective tax rate can vary from period to period. The Company’s overall effective tax rate in each of the periods described above varies from the U.S. federal statutory rate primarily because (i) the Company was not subject to U.S. federal corporate income taxes prior to the Business Combination, (ii) a portion of equity-based compensation expense is non-deductible, both prior to the Business Combination and for the subsequent period and (iii) a portion of the Company’s income is allocated to non-controlling interests held in PWP OpCo in which the majority of any tax liability on such income is borne by the holders of such non-controlling interests and reported outside of the condensed consolidated financial statements.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43" w:lineRule="exact"/>
        <w:rPr>
          <w:sz w:val="20"/>
          <w:szCs w:val="20"/>
          <w:color w:val="auto"/>
        </w:rPr>
      </w:pPr>
    </w:p>
    <w:p>
      <w:pPr>
        <w:jc w:val="both"/>
        <w:ind w:firstLine="464"/>
        <w:spacing w:after="0" w:line="293" w:lineRule="auto"/>
        <w:rPr>
          <w:sz w:val="20"/>
          <w:szCs w:val="20"/>
          <w:color w:val="auto"/>
        </w:rPr>
      </w:pPr>
      <w:r>
        <w:rPr>
          <w:rFonts w:ascii="Arial" w:cs="Arial" w:eastAsia="Arial" w:hAnsi="Arial"/>
          <w:sz w:val="18"/>
          <w:szCs w:val="18"/>
          <w:color w:val="auto"/>
        </w:rPr>
        <w:t>We regularly monitor our liquidity position, including cash and cash equivalents, working capital assets and liabilities, commitments and other liquidity requirements. Our primary sources of liquidity are our cash balances and net cash generated from operations.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53" w:name="page54"/>
    <w:bookmarkEnd w:id="53"/>
    <w:p>
      <w:pPr>
        <w:jc w:val="both"/>
        <w:ind w:firstLine="464"/>
        <w:spacing w:after="0" w:line="306" w:lineRule="auto"/>
        <w:rPr>
          <w:sz w:val="20"/>
          <w:szCs w:val="20"/>
          <w:color w:val="auto"/>
        </w:rPr>
      </w:pPr>
      <w:r>
        <w:rPr>
          <w:rFonts w:ascii="Arial" w:cs="Arial" w:eastAsia="Arial" w:hAnsi="Arial"/>
          <w:sz w:val="16"/>
          <w:szCs w:val="16"/>
          <w:color w:val="auto"/>
        </w:rPr>
        <w:t>Our current assets are primarily composed of cash, short-term liquid investments, receivables related to fees earned from providing advisory services and due from related parties. Our current liabilities are primarily composed of accounts payable, accrued expenses, accrued and deferred employee compensation and due to related parties. Due from related parties primarily includes amounts due from PWP Capital Holdings LP. We pay a significant portion of our annual incentive compensation, in the form of cash bonuses, during the first quarter of each calendar year with respect to the prior year’s results. Therefore, levels of cash generally decline during the first quarter of each year after our annual incentive compensation has been paid to our employees. Cash then typically builds over the remainder of the year. The Company made partner tax distributions of $7.0 million and $54.4 million during the three and nine months ended September 30, 2021, respectively, and $2.4 million and $11.8 million during the three and nine months ended September 30, 2020, respectively. Additionally, as a public company, we may pay dividends throughout the year and may consider share repurchases as well. During the three and nine months ended September 30, 2021, the Company paid $3.0 million in cash dividends and repurchased 1,000,000 shares at a purchase price of $12.00 per share for a total purchase price of $12.0 million, which are being held in treasury stock.</w:t>
      </w:r>
    </w:p>
    <w:p>
      <w:pPr>
        <w:spacing w:after="0" w:line="165" w:lineRule="exact"/>
        <w:rPr>
          <w:sz w:val="20"/>
          <w:szCs w:val="20"/>
          <w:color w:val="auto"/>
        </w:rPr>
      </w:pPr>
    </w:p>
    <w:p>
      <w:pPr>
        <w:jc w:val="both"/>
        <w:ind w:firstLine="464"/>
        <w:spacing w:after="0" w:line="314" w:lineRule="auto"/>
        <w:rPr>
          <w:sz w:val="20"/>
          <w:szCs w:val="20"/>
          <w:color w:val="auto"/>
        </w:rPr>
      </w:pPr>
      <w:r>
        <w:rPr>
          <w:rFonts w:ascii="Arial" w:cs="Arial" w:eastAsia="Arial" w:hAnsi="Arial"/>
          <w:sz w:val="16"/>
          <w:szCs w:val="16"/>
          <w:color w:val="auto"/>
        </w:rPr>
        <w:t>We evaluate our cash needs on a regular basis in light of current market conditions. Cash and cash equivalents include short-term highly liquid investments that are readily convertible to known amounts of cash and have original maturities of three months or less from the date of purchase. The Company had no cash equivalents as of September 30, 2021 and December 31, 2020. As of September 30, 2021 and December 31, 2020, the Company had cash balances of $415.8 million and $329.1 million, respectively, maintained in U.S. and non-U.S. bank accounts, of which most bank account balances exceeded the U.S. Federal Deposit Insurance Corporation (“FDIC”) and U.K. Financial Services Compensation Scheme (“FSCS”) coverage limits.</w:t>
      </w:r>
    </w:p>
    <w:p>
      <w:pPr>
        <w:spacing w:after="0" w:line="160" w:lineRule="exact"/>
        <w:rPr>
          <w:sz w:val="20"/>
          <w:szCs w:val="20"/>
          <w:color w:val="auto"/>
        </w:rPr>
      </w:pPr>
    </w:p>
    <w:p>
      <w:pPr>
        <w:jc w:val="both"/>
        <w:ind w:right="20" w:firstLine="464"/>
        <w:spacing w:after="0" w:line="303" w:lineRule="auto"/>
        <w:rPr>
          <w:sz w:val="20"/>
          <w:szCs w:val="20"/>
          <w:color w:val="auto"/>
        </w:rPr>
      </w:pPr>
      <w:r>
        <w:rPr>
          <w:rFonts w:ascii="Arial" w:cs="Arial" w:eastAsia="Arial" w:hAnsi="Arial"/>
          <w:sz w:val="17"/>
          <w:szCs w:val="17"/>
          <w:color w:val="auto"/>
        </w:rPr>
        <w:t>Our liquidity is highly dependent upon cash receipts from clients, which generally require the successful completion of transactions. Accounts receivable generally have net terms of 30 days. Accounts receivable was $66.0 million, with $2.0 million of allowance for credit losses balance as of September 30, 2021. Accounts receivable was $40.8 million, with $1.0 million of allowance for credit losses balance as of December 31, 2020.</w:t>
      </w:r>
    </w:p>
    <w:p>
      <w:pPr>
        <w:spacing w:after="0" w:line="164" w:lineRule="exact"/>
        <w:rPr>
          <w:sz w:val="20"/>
          <w:szCs w:val="20"/>
          <w:color w:val="auto"/>
        </w:rPr>
      </w:pPr>
    </w:p>
    <w:p>
      <w:pPr>
        <w:jc w:val="both"/>
        <w:ind w:firstLine="464"/>
        <w:spacing w:after="0" w:line="286" w:lineRule="auto"/>
        <w:rPr>
          <w:sz w:val="20"/>
          <w:szCs w:val="20"/>
          <w:color w:val="auto"/>
        </w:rPr>
      </w:pPr>
      <w:r>
        <w:rPr>
          <w:rFonts w:ascii="Arial" w:cs="Arial" w:eastAsia="Arial" w:hAnsi="Arial"/>
          <w:sz w:val="17"/>
          <w:szCs w:val="17"/>
          <w:color w:val="auto"/>
        </w:rPr>
        <w:t>In December 2018, the Company amended the Credit Agreement to modify a term loan to a revolving credit facility with a line of credit of $50.0 million (the “Revolving Credit Facility”). During the nine months ended September 30, 2020, the Company made principal payments on the Revolving Credit Facility of $32.0 million as well as drawdowns of $22.0 million. Upon consummation of the Business Combination, the Company repaid all of the outstanding borrowings under the Credit Agreement, which included $27.7 million principal amount plus accrued and unpaid interest. As of the Closing Date, the Credit Agreement was amended such that (i) the maturity was extended from April 1, 2022 to July 1, 2025, (ii) interest accrues at LIBOR plus a fixed rate of 2.00% per annum (with a 0.25% LIBOR floor) with an alternate base rate option equal to Cadence Bank’s prime rate minus 1.00% (with a 3.25% floor), (iii) up to $15.0 million of the Revolving Credit Facility may be used for the issuance of letters of credit, (iv) up to $20.0 million of incremental revolving commitments above the $50.0 million commitment amount may be incurred under the Credit Agreement, and (v) certain financial covenants were amended. As of September 30, 2021, the Company had no outstanding balance related to the Revolving Credit Facility and no incremental revolving commitments were incurred. For further information on the Revolving Credit Facility, refer to Note 10 – Debt in the notes to condensed consolidated financial statements included elsewhere in this Form 10-Q.</w:t>
      </w:r>
    </w:p>
    <w:p>
      <w:pPr>
        <w:spacing w:after="0" w:line="178"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8"/>
          <w:szCs w:val="18"/>
          <w:color w:val="auto"/>
        </w:rPr>
        <w:t>Based on current market conditions, we believe that the cash we retain post-transaction, the net cash generated from operations and the available borrowing capacity under our Revolving Credit Facility will be sufficient to meet our operating needs and commitments for the next twelve months; however, if these sources of liquidity are not sufficient, we may seek additional debt or equity financing.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Capital</w:t>
      </w:r>
    </w:p>
    <w:p>
      <w:pPr>
        <w:spacing w:after="0" w:line="239" w:lineRule="exact"/>
        <w:rPr>
          <w:sz w:val="20"/>
          <w:szCs w:val="20"/>
          <w:color w:val="auto"/>
        </w:rPr>
      </w:pPr>
    </w:p>
    <w:p>
      <w:pPr>
        <w:jc w:val="both"/>
        <w:ind w:firstLine="464"/>
        <w:spacing w:after="0" w:line="308" w:lineRule="auto"/>
        <w:rPr>
          <w:sz w:val="20"/>
          <w:szCs w:val="20"/>
          <w:color w:val="auto"/>
        </w:rPr>
      </w:pPr>
      <w:r>
        <w:rPr>
          <w:rFonts w:ascii="Arial" w:cs="Arial" w:eastAsia="Arial" w:hAnsi="Arial"/>
          <w:sz w:val="16"/>
          <w:szCs w:val="16"/>
          <w:color w:val="auto"/>
        </w:rPr>
        <w:t>We actively monitor our regulatory capital base. Our principal subsidiaries are subject to regulatory requirements in their respective jurisdictions to ensure general financial soundness and liquidity. This requires, among other things, that we comply with certain minimum capital requirements, record-keeping, reporting procedures, experience and training requirements for employees and certain other requirements and procedures. These regulatory requirements may restrict the flow of funds to and from affiliates. Refer to Note 7 – Regulatory Requirements in the notes to condensed consolidated financial statements included elsewhere in this Form 10-Q for further information. These regulations differ in the United States, United Kingdom, Canada, France and other countries in which we operate a registered broker-dealer or regionally similar construct. The license or regulatory framework under which we operate in each such country is meant to comply with applicable laws and regulations to conduct an advisory business. We believe that we provide each of our subsidiaries with sufficient capital and liquidity, consistent with their business and regulatory requirements to effectively operate in each jurisdiction.</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Exchange Rights</w:t>
      </w:r>
    </w:p>
    <w:p>
      <w:pPr>
        <w:spacing w:after="0" w:line="239" w:lineRule="exact"/>
        <w:rPr>
          <w:sz w:val="20"/>
          <w:szCs w:val="20"/>
          <w:color w:val="auto"/>
        </w:rPr>
      </w:pPr>
    </w:p>
    <w:p>
      <w:pPr>
        <w:jc w:val="both"/>
        <w:ind w:firstLine="599"/>
        <w:spacing w:after="0" w:line="279" w:lineRule="auto"/>
        <w:rPr>
          <w:sz w:val="20"/>
          <w:szCs w:val="20"/>
          <w:color w:val="auto"/>
        </w:rPr>
      </w:pPr>
      <w:r>
        <w:rPr>
          <w:rFonts w:ascii="Arial" w:cs="Arial" w:eastAsia="Arial" w:hAnsi="Arial"/>
          <w:sz w:val="18"/>
          <w:szCs w:val="18"/>
          <w:color w:val="auto"/>
        </w:rPr>
        <w:t>In accordance with the PWP OpCo LPA, PWP OpCo Unitholders (other than the Company) may exchange these units for (i) shares of Class A common stock on a one-for-one basis or (ii) cash from an offering of shares of Class A common stock with the form of consideration determined by the Company.</w:t>
      </w:r>
    </w:p>
    <w:p>
      <w:pPr>
        <w:spacing w:after="0" w:line="183" w:lineRule="exact"/>
        <w:rPr>
          <w:sz w:val="20"/>
          <w:szCs w:val="20"/>
          <w:color w:val="auto"/>
        </w:rPr>
      </w:pPr>
    </w:p>
    <w:p>
      <w:pPr>
        <w:jc w:val="both"/>
        <w:ind w:firstLine="539"/>
        <w:spacing w:after="0" w:line="269" w:lineRule="auto"/>
        <w:rPr>
          <w:sz w:val="20"/>
          <w:szCs w:val="20"/>
          <w:color w:val="auto"/>
        </w:rPr>
      </w:pPr>
      <w:r>
        <w:rPr>
          <w:rFonts w:ascii="Arial" w:cs="Arial" w:eastAsia="Arial" w:hAnsi="Arial"/>
          <w:sz w:val="18"/>
          <w:szCs w:val="18"/>
          <w:color w:val="auto"/>
        </w:rPr>
        <w:t>The PWP OpCo LPA contains restrictions on the ability to exchange PWP OpCo Units for shares of Class A common stock or cash from an offering of shares of Class A common stock, for the following periods: (i) PWP OpCo Units held by Professional Partners will be subject to a restriction for time periods that are fully back-to-back with the lock-up periods contemplated in the amended and restated limited partnership agreement of Professional Partners (generally speaking, such lock-up periods (a) for former working partners, will be 180 days after Closing; and (b) for working partners of PWP, will be between three to five years after the Closing), (ii) PWP OpCo Units held by ILPs existing at the time of the Business Combination will be subject to such restriction for 180 days after the Closing, and (iii) any other outstanding PWP OpCo Units not previously covered by clauses (i) and (ii) above will be subject to such restriction for a period of twelve months following the date on which such PWP OpCo Units were acquired. PWP GP may waive, and in certain cases has waived, the foregoing restrictions for any holder with respect to all or a portion of such holder’s units, with no obligation to do so for any other holder.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Sponsor Share Surrender and Share Restriction Agreement</w:t>
      </w:r>
    </w:p>
    <w:p>
      <w:pPr>
        <w:spacing w:after="0" w:line="239" w:lineRule="exact"/>
        <w:rPr>
          <w:sz w:val="20"/>
          <w:szCs w:val="20"/>
          <w:color w:val="auto"/>
        </w:rPr>
      </w:pPr>
    </w:p>
    <w:p>
      <w:pPr>
        <w:jc w:val="both"/>
        <w:ind w:firstLine="464"/>
        <w:spacing w:after="0" w:line="271" w:lineRule="auto"/>
        <w:rPr>
          <w:sz w:val="20"/>
          <w:szCs w:val="20"/>
          <w:color w:val="auto"/>
        </w:rPr>
      </w:pPr>
      <w:r>
        <w:rPr>
          <w:rFonts w:ascii="Arial" w:cs="Arial" w:eastAsia="Arial" w:hAnsi="Arial"/>
          <w:sz w:val="18"/>
          <w:szCs w:val="18"/>
          <w:color w:val="auto"/>
        </w:rPr>
        <w:t>Concurrent with the Business Combination Agreement, FTIV, PWP OpCo and certain other parties entered into the Sponsor Share Surrender and Share Restriction Agreement with the Sponsor, which was amended on May 4, 2021. Pursuant to this agreement, if, prior to the fourth anniversary of the Closing, the closing share price is greater than $12.00 per share or $15.00 per share for any 20 trading days out of 30 consecutive trading days (each a “Trigger Date”), then, during the 15 day period following such Trigger Date, the Company shall have the right to purchase from the Sponsor up to an aggregate of 1,000,000 founder shares per Trigger Date for a purchase price of $12.00 per share or $15.00 per share, respectively, by providing written notice of such repurchase election to the Sponsor.</w:t>
      </w:r>
    </w:p>
    <w:p>
      <w:pPr>
        <w:spacing w:after="0" w:line="191" w:lineRule="exact"/>
        <w:rPr>
          <w:sz w:val="20"/>
          <w:szCs w:val="20"/>
          <w:color w:val="auto"/>
        </w:rPr>
      </w:pPr>
    </w:p>
    <w:p>
      <w:pPr>
        <w:jc w:val="both"/>
        <w:ind w:firstLine="464"/>
        <w:spacing w:after="0" w:line="293" w:lineRule="auto"/>
        <w:rPr>
          <w:sz w:val="20"/>
          <w:szCs w:val="20"/>
          <w:color w:val="auto"/>
        </w:rPr>
      </w:pPr>
      <w:r>
        <w:rPr>
          <w:rFonts w:ascii="Arial" w:cs="Arial" w:eastAsia="Arial" w:hAnsi="Arial"/>
          <w:sz w:val="18"/>
          <w:szCs w:val="18"/>
          <w:color w:val="auto"/>
        </w:rPr>
        <w:t>On August 9, 2021, the Company repurchased 1,000,000 founder shares from the Sponsor at $12.00 per share for a total purchase price of $12.0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39" w:lineRule="exact"/>
        <w:rPr>
          <w:sz w:val="20"/>
          <w:szCs w:val="20"/>
          <w:color w:val="auto"/>
        </w:rPr>
      </w:pPr>
    </w:p>
    <w:p>
      <w:pPr>
        <w:jc w:val="both"/>
        <w:ind w:firstLine="464"/>
        <w:spacing w:after="0" w:line="272" w:lineRule="auto"/>
        <w:rPr>
          <w:sz w:val="20"/>
          <w:szCs w:val="20"/>
          <w:color w:val="auto"/>
        </w:rPr>
      </w:pPr>
      <w:r>
        <w:rPr>
          <w:rFonts w:ascii="Arial" w:cs="Arial" w:eastAsia="Arial" w:hAnsi="Arial"/>
          <w:sz w:val="18"/>
          <w:szCs w:val="18"/>
          <w:color w:val="auto"/>
        </w:rPr>
        <w:t>Our operating cash flows are primarily influenced by the amount and timing of receipt of advisory fees, which generally have net terms of 30 days, and the payment of operating expenses, including payments of incentive compensation to our employees. We pay a significant portion of incentive compensation during the first quarter of each calendar year with respect to the prior year’s results. Our investing and financing cash flows are primarily influenced by debt payments and distributions to partners, and in the nine months ended September 30, 2021, the proceeds and distributions related to the Business Combination.</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40" w:type="dxa"/>
            <w:vAlign w:val="bottom"/>
          </w:tcPr>
          <w:p>
            <w:pPr>
              <w:ind w:left="480"/>
              <w:spacing w:after="0"/>
              <w:rPr>
                <w:sz w:val="20"/>
                <w:szCs w:val="20"/>
                <w:color w:val="auto"/>
              </w:rPr>
            </w:pPr>
            <w:r>
              <w:rPr>
                <w:rFonts w:ascii="Arial" w:cs="Arial" w:eastAsia="Arial" w:hAnsi="Arial"/>
                <w:sz w:val="18"/>
                <w:szCs w:val="18"/>
                <w:color w:val="auto"/>
              </w:rPr>
              <w:t>A summary of our operating, investing and financing cash flows is as follows:</w:t>
            </w:r>
          </w:p>
        </w:tc>
        <w:tc>
          <w:tcPr>
            <w:tcW w:w="3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9"/>
        </w:trPr>
        <w:tc>
          <w:tcPr>
            <w:tcW w:w="72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8"/>
                <w:szCs w:val="18"/>
                <w:b w:val="1"/>
                <w:bCs w:val="1"/>
                <w:color w:val="auto"/>
                <w:w w:val="98"/>
              </w:rPr>
              <w:t>Nine Months Ended September 30,</w:t>
            </w:r>
          </w:p>
        </w:tc>
        <w:tc>
          <w:tcPr>
            <w:tcW w:w="0" w:type="dxa"/>
            <w:vAlign w:val="bottom"/>
          </w:tcPr>
          <w:p>
            <w:pPr>
              <w:spacing w:after="0"/>
              <w:rPr>
                <w:sz w:val="1"/>
                <w:szCs w:val="1"/>
                <w:color w:val="auto"/>
              </w:rPr>
            </w:pPr>
          </w:p>
        </w:tc>
      </w:tr>
      <w:tr>
        <w:trPr>
          <w:trHeight w:val="250"/>
        </w:trPr>
        <w:tc>
          <w:tcPr>
            <w:tcW w:w="7240" w:type="dxa"/>
            <w:vAlign w:val="bottom"/>
          </w:tcPr>
          <w:p>
            <w:pPr>
              <w:ind w:left="20"/>
              <w:spacing w:after="0"/>
              <w:rPr>
                <w:sz w:val="20"/>
                <w:szCs w:val="20"/>
                <w:color w:val="auto"/>
              </w:rPr>
            </w:pPr>
            <w:r>
              <w:rPr>
                <w:rFonts w:ascii="Arial" w:cs="Arial" w:eastAsia="Arial" w:hAnsi="Arial"/>
                <w:sz w:val="18"/>
                <w:szCs w:val="18"/>
                <w:b w:val="1"/>
                <w:bCs w:val="1"/>
                <w:color w:val="auto"/>
              </w:rPr>
              <w:t>(Dollars in thousands)</w:t>
            </w:r>
          </w:p>
        </w:tc>
        <w:tc>
          <w:tcPr>
            <w:tcW w:w="3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56"/>
        </w:trPr>
        <w:tc>
          <w:tcPr>
            <w:tcW w:w="72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Provided By (Used In)</w:t>
            </w:r>
          </w:p>
        </w:tc>
        <w:tc>
          <w:tcPr>
            <w:tcW w:w="360" w:type="dxa"/>
            <w:vAlign w:val="bottom"/>
            <w:shd w:val="clear" w:color="auto" w:fill="CFF0FC"/>
          </w:tcPr>
          <w:p>
            <w:pPr>
              <w:spacing w:after="0"/>
              <w:rPr>
                <w:sz w:val="22"/>
                <w:szCs w:val="22"/>
                <w:color w:val="auto"/>
              </w:rPr>
            </w:pPr>
          </w:p>
        </w:tc>
        <w:tc>
          <w:tcPr>
            <w:tcW w:w="15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14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240" w:type="dxa"/>
            <w:vAlign w:val="bottom"/>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2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Net income (loss)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22,045</w:t>
            </w:r>
          </w:p>
        </w:tc>
        <w:tc>
          <w:tcPr>
            <w:tcW w:w="6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(27,258 )</w:t>
            </w:r>
          </w:p>
        </w:tc>
        <w:tc>
          <w:tcPr>
            <w:tcW w:w="0" w:type="dxa"/>
            <w:vAlign w:val="bottom"/>
          </w:tcPr>
          <w:p>
            <w:pPr>
              <w:spacing w:after="0"/>
              <w:rPr>
                <w:sz w:val="1"/>
                <w:szCs w:val="1"/>
                <w:color w:val="auto"/>
              </w:rPr>
            </w:pPr>
          </w:p>
        </w:tc>
      </w:tr>
      <w:tr>
        <w:trPr>
          <w:trHeight w:val="250"/>
        </w:trPr>
        <w:tc>
          <w:tcPr>
            <w:tcW w:w="7240" w:type="dxa"/>
            <w:vAlign w:val="bottom"/>
          </w:tcPr>
          <w:p>
            <w:pPr>
              <w:ind w:left="160"/>
              <w:spacing w:after="0"/>
              <w:rPr>
                <w:sz w:val="20"/>
                <w:szCs w:val="20"/>
                <w:color w:val="auto"/>
              </w:rPr>
            </w:pPr>
            <w:r>
              <w:rPr>
                <w:rFonts w:ascii="Arial" w:cs="Arial" w:eastAsia="Arial" w:hAnsi="Arial"/>
                <w:sz w:val="18"/>
                <w:szCs w:val="18"/>
                <w:color w:val="auto"/>
              </w:rPr>
              <w:t>Non-cash charges and other operating activity adjustments</w:t>
            </w:r>
          </w:p>
        </w:tc>
        <w:tc>
          <w:tcPr>
            <w:tcW w:w="36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118,945</w:t>
            </w: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48,709</w:t>
            </w:r>
          </w:p>
        </w:tc>
        <w:tc>
          <w:tcPr>
            <w:tcW w:w="0" w:type="dxa"/>
            <w:vAlign w:val="bottom"/>
          </w:tcPr>
          <w:p>
            <w:pPr>
              <w:spacing w:after="0"/>
              <w:rPr>
                <w:sz w:val="1"/>
                <w:szCs w:val="1"/>
                <w:color w:val="auto"/>
              </w:rPr>
            </w:pPr>
          </w:p>
        </w:tc>
      </w:tr>
      <w:tr>
        <w:trPr>
          <w:trHeight w:val="257"/>
        </w:trPr>
        <w:tc>
          <w:tcPr>
            <w:tcW w:w="724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8"/>
                <w:szCs w:val="18"/>
                <w:color w:val="auto"/>
              </w:rPr>
              <w:t>Other operating activities</w:t>
            </w:r>
          </w:p>
        </w:tc>
        <w:tc>
          <w:tcPr>
            <w:tcW w:w="360" w:type="dxa"/>
            <w:vAlign w:val="bottom"/>
            <w:tcBorders>
              <w:bottom w:val="single" w:sz="8" w:color="auto"/>
            </w:tcBorders>
            <w:shd w:val="clear" w:color="auto" w:fill="CFF0FC"/>
          </w:tcPr>
          <w:p>
            <w:pPr>
              <w:spacing w:after="0"/>
              <w:rPr>
                <w:sz w:val="22"/>
                <w:szCs w:val="22"/>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(14,949 )</w:t>
            </w:r>
          </w:p>
        </w:tc>
        <w:tc>
          <w:tcPr>
            <w:tcW w:w="18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bottom w:val="single" w:sz="8" w:color="auto"/>
            </w:tcBorders>
            <w:shd w:val="clear" w:color="auto" w:fill="CFF0FC"/>
          </w:tcPr>
          <w:p>
            <w:pPr>
              <w:spacing w:after="0"/>
              <w:rPr>
                <w:sz w:val="22"/>
                <w:szCs w:val="22"/>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(73,057 )</w:t>
            </w:r>
          </w:p>
        </w:tc>
        <w:tc>
          <w:tcPr>
            <w:tcW w:w="0" w:type="dxa"/>
            <w:vAlign w:val="bottom"/>
          </w:tcPr>
          <w:p>
            <w:pPr>
              <w:spacing w:after="0"/>
              <w:rPr>
                <w:sz w:val="1"/>
                <w:szCs w:val="1"/>
                <w:color w:val="auto"/>
              </w:rPr>
            </w:pPr>
          </w:p>
        </w:tc>
      </w:tr>
      <w:tr>
        <w:trPr>
          <w:trHeight w:val="250"/>
        </w:trPr>
        <w:tc>
          <w:tcPr>
            <w:tcW w:w="7240" w:type="dxa"/>
            <w:vAlign w:val="bottom"/>
          </w:tcPr>
          <w:p>
            <w:pPr>
              <w:ind w:left="20"/>
              <w:spacing w:after="0"/>
              <w:rPr>
                <w:sz w:val="20"/>
                <w:szCs w:val="20"/>
                <w:color w:val="auto"/>
              </w:rPr>
            </w:pPr>
            <w:r>
              <w:rPr>
                <w:rFonts w:ascii="Arial" w:cs="Arial" w:eastAsia="Arial" w:hAnsi="Arial"/>
                <w:sz w:val="18"/>
                <w:szCs w:val="18"/>
                <w:color w:val="auto"/>
              </w:rPr>
              <w:t>Total operating activities</w:t>
            </w:r>
          </w:p>
        </w:tc>
        <w:tc>
          <w:tcPr>
            <w:tcW w:w="36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126,041</w:t>
            </w: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(51,606 )</w:t>
            </w:r>
          </w:p>
        </w:tc>
        <w:tc>
          <w:tcPr>
            <w:tcW w:w="0" w:type="dxa"/>
            <w:vAlign w:val="bottom"/>
          </w:tcPr>
          <w:p>
            <w:pPr>
              <w:spacing w:after="0"/>
              <w:rPr>
                <w:sz w:val="1"/>
                <w:szCs w:val="1"/>
                <w:color w:val="auto"/>
              </w:rPr>
            </w:pPr>
          </w:p>
        </w:tc>
      </w:tr>
      <w:tr>
        <w:trPr>
          <w:trHeight w:val="263"/>
        </w:trPr>
        <w:tc>
          <w:tcPr>
            <w:tcW w:w="72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60" w:type="dxa"/>
            <w:vAlign w:val="bottom"/>
            <w:shd w:val="clear" w:color="auto" w:fill="CFF0FC"/>
          </w:tcPr>
          <w:p>
            <w:pPr>
              <w:spacing w:after="0"/>
              <w:rPr>
                <w:sz w:val="22"/>
                <w:szCs w:val="22"/>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(1,662 )</w:t>
            </w:r>
          </w:p>
        </w:tc>
        <w:tc>
          <w:tcPr>
            <w:tcW w:w="18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(4,965 )</w:t>
            </w:r>
          </w:p>
        </w:tc>
        <w:tc>
          <w:tcPr>
            <w:tcW w:w="0" w:type="dxa"/>
            <w:vAlign w:val="bottom"/>
          </w:tcPr>
          <w:p>
            <w:pPr>
              <w:spacing w:after="0"/>
              <w:rPr>
                <w:sz w:val="1"/>
                <w:szCs w:val="1"/>
                <w:color w:val="auto"/>
              </w:rPr>
            </w:pPr>
          </w:p>
        </w:tc>
      </w:tr>
      <w:tr>
        <w:trPr>
          <w:trHeight w:val="250"/>
        </w:trPr>
        <w:tc>
          <w:tcPr>
            <w:tcW w:w="724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(34,670 )</w:t>
            </w: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(21,789 )</w:t>
            </w:r>
          </w:p>
        </w:tc>
        <w:tc>
          <w:tcPr>
            <w:tcW w:w="0" w:type="dxa"/>
            <w:vAlign w:val="bottom"/>
          </w:tcPr>
          <w:p>
            <w:pPr>
              <w:spacing w:after="0"/>
              <w:rPr>
                <w:sz w:val="1"/>
                <w:szCs w:val="1"/>
                <w:color w:val="auto"/>
              </w:rPr>
            </w:pPr>
          </w:p>
        </w:tc>
      </w:tr>
      <w:tr>
        <w:trPr>
          <w:trHeight w:val="257"/>
        </w:trPr>
        <w:tc>
          <w:tcPr>
            <w:tcW w:w="7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360" w:type="dxa"/>
            <w:vAlign w:val="bottom"/>
            <w:tcBorders>
              <w:bottom w:val="single" w:sz="8" w:color="auto"/>
            </w:tcBorders>
            <w:shd w:val="clear" w:color="auto" w:fill="CFF0FC"/>
          </w:tcPr>
          <w:p>
            <w:pPr>
              <w:spacing w:after="0"/>
              <w:rPr>
                <w:sz w:val="22"/>
                <w:szCs w:val="22"/>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(2,943 )</w:t>
            </w:r>
          </w:p>
        </w:tc>
        <w:tc>
          <w:tcPr>
            <w:tcW w:w="18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bottom w:val="single" w:sz="8" w:color="auto"/>
            </w:tcBorders>
            <w:shd w:val="clear" w:color="auto" w:fill="CFF0FC"/>
          </w:tcPr>
          <w:p>
            <w:pPr>
              <w:spacing w:after="0"/>
              <w:rPr>
                <w:sz w:val="22"/>
                <w:szCs w:val="22"/>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(162 )</w:t>
            </w:r>
          </w:p>
        </w:tc>
        <w:tc>
          <w:tcPr>
            <w:tcW w:w="0" w:type="dxa"/>
            <w:vAlign w:val="bottom"/>
          </w:tcPr>
          <w:p>
            <w:pPr>
              <w:spacing w:after="0"/>
              <w:rPr>
                <w:sz w:val="1"/>
                <w:szCs w:val="1"/>
                <w:color w:val="auto"/>
              </w:rPr>
            </w:pPr>
          </w:p>
        </w:tc>
      </w:tr>
      <w:tr>
        <w:trPr>
          <w:trHeight w:val="250"/>
        </w:trPr>
        <w:tc>
          <w:tcPr>
            <w:tcW w:w="7240" w:type="dxa"/>
            <w:vAlign w:val="bottom"/>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6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86,766</w:t>
            </w: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(78,522 )</w:t>
            </w:r>
          </w:p>
        </w:tc>
        <w:tc>
          <w:tcPr>
            <w:tcW w:w="0" w:type="dxa"/>
            <w:vAlign w:val="bottom"/>
          </w:tcPr>
          <w:p>
            <w:pPr>
              <w:spacing w:after="0"/>
              <w:rPr>
                <w:sz w:val="1"/>
                <w:szCs w:val="1"/>
                <w:color w:val="auto"/>
              </w:rPr>
            </w:pPr>
          </w:p>
        </w:tc>
      </w:tr>
      <w:tr>
        <w:trPr>
          <w:trHeight w:val="257"/>
        </w:trPr>
        <w:tc>
          <w:tcPr>
            <w:tcW w:w="7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cash equivalents and restricted cash, beginning of period</w:t>
            </w:r>
          </w:p>
        </w:tc>
        <w:tc>
          <w:tcPr>
            <w:tcW w:w="360" w:type="dxa"/>
            <w:vAlign w:val="bottom"/>
            <w:tcBorders>
              <w:bottom w:val="single" w:sz="8" w:color="auto"/>
            </w:tcBorders>
            <w:shd w:val="clear" w:color="auto" w:fill="CFF0FC"/>
          </w:tcPr>
          <w:p>
            <w:pPr>
              <w:spacing w:after="0"/>
              <w:rPr>
                <w:sz w:val="22"/>
                <w:szCs w:val="22"/>
                <w:color w:val="auto"/>
              </w:rPr>
            </w:pPr>
          </w:p>
        </w:tc>
        <w:tc>
          <w:tcPr>
            <w:tcW w:w="15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330,908</w:t>
            </w:r>
          </w:p>
        </w:tc>
        <w:tc>
          <w:tcPr>
            <w:tcW w:w="18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bottom w:val="single" w:sz="8" w:color="auto"/>
            </w:tcBorders>
            <w:shd w:val="clear" w:color="auto" w:fill="CFF0FC"/>
          </w:tcPr>
          <w:p>
            <w:pPr>
              <w:spacing w:after="0"/>
              <w:rPr>
                <w:sz w:val="22"/>
                <w:szCs w:val="22"/>
                <w:color w:val="auto"/>
              </w:rPr>
            </w:pPr>
          </w:p>
        </w:tc>
        <w:tc>
          <w:tcPr>
            <w:tcW w:w="14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266,582</w:t>
            </w:r>
          </w:p>
        </w:tc>
        <w:tc>
          <w:tcPr>
            <w:tcW w:w="0" w:type="dxa"/>
            <w:vAlign w:val="bottom"/>
          </w:tcPr>
          <w:p>
            <w:pPr>
              <w:spacing w:after="0"/>
              <w:rPr>
                <w:sz w:val="1"/>
                <w:szCs w:val="1"/>
                <w:color w:val="auto"/>
              </w:rPr>
            </w:pPr>
          </w:p>
        </w:tc>
      </w:tr>
      <w:tr>
        <w:trPr>
          <w:trHeight w:val="256"/>
        </w:trPr>
        <w:tc>
          <w:tcPr>
            <w:tcW w:w="724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end of period</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417,674</w:t>
            </w: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188,060</w:t>
            </w:r>
          </w:p>
        </w:tc>
        <w:tc>
          <w:tcPr>
            <w:tcW w:w="0" w:type="dxa"/>
            <w:vAlign w:val="bottom"/>
          </w:tcPr>
          <w:p>
            <w:pPr>
              <w:spacing w:after="0"/>
              <w:rPr>
                <w:sz w:val="1"/>
                <w:szCs w:val="1"/>
                <w:color w:val="auto"/>
              </w:rPr>
            </w:pPr>
          </w:p>
        </w:tc>
      </w:tr>
      <w:tr>
        <w:trPr>
          <w:trHeight w:val="20"/>
        </w:trPr>
        <w:tc>
          <w:tcPr>
            <w:tcW w:w="7240" w:type="dxa"/>
            <w:vAlign w:val="bottom"/>
            <w:vMerge w:val="restart"/>
          </w:tcPr>
          <w:p>
            <w:pPr>
              <w:ind w:left="5540"/>
              <w:spacing w:after="0"/>
              <w:rPr>
                <w:sz w:val="20"/>
                <w:szCs w:val="20"/>
                <w:color w:val="auto"/>
              </w:rPr>
            </w:pPr>
            <w:r>
              <w:rPr>
                <w:rFonts w:ascii="Arial" w:cs="Arial" w:eastAsia="Arial" w:hAnsi="Arial"/>
                <w:sz w:val="18"/>
                <w:szCs w:val="18"/>
                <w:color w:val="auto"/>
              </w:rPr>
              <w:t>53</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72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2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-1702435</wp:posOffset>
            </wp:positionV>
            <wp:extent cx="120015" cy="57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2">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-1042035</wp:posOffset>
            </wp:positionV>
            <wp:extent cx="120015" cy="57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3">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-708025</wp:posOffset>
            </wp:positionV>
            <wp:extent cx="120015" cy="57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i w:val="1"/>
          <w:iCs w:val="1"/>
          <w:color w:val="auto"/>
        </w:rPr>
        <w:t>Nine Months Ended September 30, 2021</w:t>
      </w:r>
    </w:p>
    <w:p>
      <w:pPr>
        <w:spacing w:after="0" w:line="239" w:lineRule="exact"/>
        <w:rPr>
          <w:sz w:val="20"/>
          <w:szCs w:val="20"/>
          <w:color w:val="auto"/>
        </w:rPr>
      </w:pPr>
    </w:p>
    <w:p>
      <w:pPr>
        <w:jc w:val="both"/>
        <w:ind w:firstLine="464"/>
        <w:spacing w:after="0" w:line="269" w:lineRule="auto"/>
        <w:rPr>
          <w:sz w:val="20"/>
          <w:szCs w:val="20"/>
          <w:color w:val="auto"/>
        </w:rPr>
      </w:pPr>
      <w:r>
        <w:rPr>
          <w:rFonts w:ascii="Arial" w:cs="Arial" w:eastAsia="Arial" w:hAnsi="Arial"/>
          <w:sz w:val="18"/>
          <w:szCs w:val="18"/>
          <w:color w:val="auto"/>
        </w:rPr>
        <w:t>Cash and restricted cash were $417.7 million as of September 30, 2021, an increase of $86.8 million from $330.9 million as of December 31, 2020. Operating activities resulted in a net inflow of $126.0 million largely attributable to net income generated during the nine months ended September 30, 2021, partially offset by changes in working capital. Net income included $79.2 million of non-cash charges as well as a $39.4 million loss on debt extinguishment related to the redemption of the Convertible Notes concurrent with the Business Combination. Investing activities resulted in a net outflow of $1.7 million attributable to the Company’s deconsolidation of PFAC Holdings and the purchases of fixed assets. Financing activities resulted in a net outflow of $34.7 million primarily related to the transactions associated with the Business Combination, the payoff of all outstanding debt and tax distributions to partners, the repurchase of founder shares held as treasury shares, withholding payments for vesting of incentive awards and the payment of dividends.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2020</w:t>
      </w:r>
    </w:p>
    <w:p>
      <w:pPr>
        <w:spacing w:after="0" w:line="239" w:lineRule="exact"/>
        <w:rPr>
          <w:sz w:val="20"/>
          <w:szCs w:val="20"/>
          <w:color w:val="auto"/>
        </w:rPr>
      </w:pPr>
    </w:p>
    <w:p>
      <w:pPr>
        <w:jc w:val="both"/>
        <w:ind w:firstLine="464"/>
        <w:spacing w:after="0" w:line="319" w:lineRule="auto"/>
        <w:rPr>
          <w:sz w:val="20"/>
          <w:szCs w:val="20"/>
          <w:color w:val="auto"/>
        </w:rPr>
      </w:pPr>
      <w:r>
        <w:rPr>
          <w:rFonts w:ascii="Arial" w:cs="Arial" w:eastAsia="Arial" w:hAnsi="Arial"/>
          <w:sz w:val="16"/>
          <w:szCs w:val="16"/>
          <w:color w:val="auto"/>
        </w:rPr>
        <w:t>Cash and restricted cash were $188.1 million as of September 30, 2020. Operating activities resulted in a net outflow of $51.6 million attributable to changes in working capital and net loss incurred during the nine months ended September 30, 2020, both partially offset by non-cash operating charges. Investing activities resulted in a net outflow of $5.0 million primarily attributable to purchases of fixed assets. Financing activities resulted in a net outflow of $21.8 million primarily related to draw downs and principal payments on the Revolving Credit Facility and distributions to partners.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52" w:lineRule="exact"/>
        <w:rPr>
          <w:sz w:val="20"/>
          <w:szCs w:val="20"/>
          <w:color w:val="auto"/>
        </w:rPr>
      </w:pPr>
    </w:p>
    <w:p>
      <w:pPr>
        <w:jc w:val="both"/>
        <w:ind w:firstLine="464"/>
        <w:spacing w:after="0" w:line="299" w:lineRule="auto"/>
        <w:rPr>
          <w:sz w:val="20"/>
          <w:szCs w:val="20"/>
          <w:color w:val="auto"/>
        </w:rPr>
      </w:pPr>
      <w:r>
        <w:rPr>
          <w:rFonts w:ascii="Arial" w:cs="Arial" w:eastAsia="Arial" w:hAnsi="Arial"/>
          <w:sz w:val="16"/>
          <w:szCs w:val="16"/>
          <w:color w:val="auto"/>
        </w:rPr>
        <w:t>We have various non-cancelable operating leases in connection with the leases of our office spaces and equipment. The related lease agreements, which range from non-cancelable and month-to-month terms, generally provide for fixed monthly rentals and can also include renewal options. See Note 5</w:t>
      </w:r>
    </w:p>
    <w:p>
      <w:pPr>
        <w:spacing w:after="0" w:line="1"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 Leases in the notes to condensed consolidated financial statements included elsewhere in this Form 10-Q for further information. Our London and New York office leases expire in December 2022 and September 2023, respectively, and given our significant historical growth, we anticipate expanding our square footage meaningfully in both locations which will increase our contractual obligations.</w:t>
      </w:r>
    </w:p>
    <w:p>
      <w:pPr>
        <w:spacing w:after="0" w:line="182" w:lineRule="exact"/>
        <w:rPr>
          <w:sz w:val="20"/>
          <w:szCs w:val="20"/>
          <w:color w:val="auto"/>
        </w:rPr>
      </w:pPr>
    </w:p>
    <w:p>
      <w:pPr>
        <w:jc w:val="both"/>
        <w:ind w:firstLine="464"/>
        <w:spacing w:after="0" w:line="319" w:lineRule="auto"/>
        <w:rPr>
          <w:sz w:val="20"/>
          <w:szCs w:val="20"/>
          <w:color w:val="auto"/>
        </w:rPr>
      </w:pPr>
      <w:r>
        <w:rPr>
          <w:rFonts w:ascii="Arial" w:cs="Arial" w:eastAsia="Arial" w:hAnsi="Arial"/>
          <w:sz w:val="16"/>
          <w:szCs w:val="16"/>
          <w:color w:val="auto"/>
        </w:rPr>
        <w:t>In addition, PWP OpCo sponsors certain deferred compensation arrangements whereby portions of compensation related to employees (including working partners) providing services to the Company are deferred and paid in later periods. The deferred compensation amounts are charged to expenses over the period that each employee (including working partners) is required to provide services in order to vest in the payment. Refer to Note 14 – Other Compensation and Benefits in the notes to condensed consolidated financial statements included elsewhere in this Form 10-Q for further information.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239" w:lineRule="exact"/>
        <w:rPr>
          <w:sz w:val="20"/>
          <w:szCs w:val="20"/>
          <w:color w:val="auto"/>
        </w:rPr>
      </w:pPr>
    </w:p>
    <w:p>
      <w:pPr>
        <w:jc w:val="both"/>
        <w:ind w:firstLine="464"/>
        <w:spacing w:after="0" w:line="275" w:lineRule="auto"/>
        <w:rPr>
          <w:sz w:val="20"/>
          <w:szCs w:val="20"/>
          <w:color w:val="auto"/>
        </w:rPr>
      </w:pPr>
      <w:r>
        <w:rPr>
          <w:rFonts w:ascii="Arial" w:cs="Arial" w:eastAsia="Arial" w:hAnsi="Arial"/>
          <w:sz w:val="18"/>
          <w:szCs w:val="18"/>
          <w:color w:val="auto"/>
        </w:rPr>
        <w:t>PWP OpCo has also unconditionally guaranteed, through a wholly-owned subsidiary, certain loans to limited partners of Professional Partners (“Limited Partners”) with First Republic Bank (the “Program Lender”), whereby PWP OpCo will pay the Program Lender upon the occurrence of a default event. Refer to Note 17 – Related Party Transactions and Note 18 – Commitments and Contingencies in the notes to condensed consolidated financial statements included elsewhere in this Form 10-Q for further information.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252" w:lineRule="exact"/>
        <w:rPr>
          <w:sz w:val="20"/>
          <w:szCs w:val="20"/>
          <w:color w:val="auto"/>
        </w:rPr>
      </w:pPr>
    </w:p>
    <w:p>
      <w:pPr>
        <w:jc w:val="both"/>
        <w:ind w:firstLine="524"/>
        <w:spacing w:after="0" w:line="275" w:lineRule="auto"/>
        <w:rPr>
          <w:sz w:val="20"/>
          <w:szCs w:val="20"/>
          <w:color w:val="auto"/>
        </w:rPr>
      </w:pPr>
      <w:r>
        <w:rPr>
          <w:rFonts w:ascii="Arial" w:cs="Arial" w:eastAsia="Arial" w:hAnsi="Arial"/>
          <w:sz w:val="18"/>
          <w:szCs w:val="18"/>
          <w:color w:val="auto"/>
        </w:rPr>
        <w:t>In connection with the Business Combination, the Company entered into a tax receivable agreement with Professional Partners and certain other persons (the “TRA”) under which the Company agreed to payments of 85% of the amount of savings, if any, that the Company realizes in U.S. federal, state, local and foreign income taxes as a result of (i) exchanges of interests in PWP OpCo for cash or stock of the Company and certain other transactions and (ii) payments made under the tax receivable agreement.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43"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8"/>
          <w:szCs w:val="18"/>
          <w:color w:val="auto"/>
        </w:rPr>
        <w:t>We do not invest in any off-balance sheet vehicles that provide liquidity, capital resources, market or credit risk support, or engage in any activities that expose us to any liability that is not reflected in our condensed consolidated financial statements except for those described under “</w:t>
      </w:r>
      <w:r>
        <w:rPr>
          <w:rFonts w:ascii="Arial" w:cs="Arial" w:eastAsia="Arial" w:hAnsi="Arial"/>
          <w:sz w:val="18"/>
          <w:szCs w:val="18"/>
          <w:i w:val="1"/>
          <w:iCs w:val="1"/>
          <w:color w:val="auto"/>
        </w:rPr>
        <w:t>Commitments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Contingencies</w:t>
      </w:r>
      <w:r>
        <w:rPr>
          <w:rFonts w:ascii="Arial" w:cs="Arial" w:eastAsia="Arial" w:hAnsi="Arial"/>
          <w:sz w:val="18"/>
          <w:szCs w:val="18"/>
          <w:color w:val="auto"/>
        </w:rPr>
        <w:t>” above.</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 and Credit Risk</w:t>
      </w:r>
    </w:p>
    <w:p>
      <w:pPr>
        <w:spacing w:after="0" w:line="243" w:lineRule="exact"/>
        <w:rPr>
          <w:sz w:val="20"/>
          <w:szCs w:val="20"/>
          <w:color w:val="auto"/>
        </w:rPr>
      </w:pPr>
    </w:p>
    <w:p>
      <w:pPr>
        <w:jc w:val="both"/>
        <w:ind w:firstLine="464"/>
        <w:spacing w:after="0" w:line="293" w:lineRule="auto"/>
        <w:rPr>
          <w:sz w:val="20"/>
          <w:szCs w:val="20"/>
          <w:color w:val="auto"/>
        </w:rPr>
      </w:pPr>
      <w:r>
        <w:rPr>
          <w:rFonts w:ascii="Arial" w:cs="Arial" w:eastAsia="Arial" w:hAnsi="Arial"/>
          <w:sz w:val="18"/>
          <w:szCs w:val="18"/>
          <w:color w:val="auto"/>
        </w:rPr>
        <w:t>Our business is not capital-intensive and we do not invest in derivative instruments. We are not subject to significant market risk (including interest rate risk and commodity price risk) or significant credit risk.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Cash and Cash Equivalents</w:t>
      </w:r>
    </w:p>
    <w:p>
      <w:pPr>
        <w:spacing w:after="0" w:line="239" w:lineRule="exact"/>
        <w:rPr>
          <w:sz w:val="20"/>
          <w:szCs w:val="20"/>
          <w:color w:val="auto"/>
        </w:rPr>
      </w:pPr>
    </w:p>
    <w:p>
      <w:pPr>
        <w:jc w:val="both"/>
        <w:ind w:firstLine="464"/>
        <w:spacing w:after="0" w:line="275" w:lineRule="auto"/>
        <w:rPr>
          <w:sz w:val="20"/>
          <w:szCs w:val="20"/>
          <w:color w:val="auto"/>
        </w:rPr>
      </w:pPr>
      <w:r>
        <w:rPr>
          <w:rFonts w:ascii="Arial" w:cs="Arial" w:eastAsia="Arial" w:hAnsi="Arial"/>
          <w:sz w:val="18"/>
          <w:szCs w:val="18"/>
          <w:color w:val="auto"/>
        </w:rPr>
        <w:t>Our cash and cash equivalents include any short-term highly liquid investments that are readily convertible to known amounts of cash and have original maturities of three months or less from the date of purchase. Cash is maintained in U.S. and non-U.S. bank accounts. Most U.S. and U.K. account balances exceed the FDIC and FSCS coverage limits. We believe our cash and cash equivalents are not subject to any material interest rate risk, equity price risk, credit risk or other market risk.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239" w:lineRule="exact"/>
        <w:rPr>
          <w:sz w:val="20"/>
          <w:szCs w:val="20"/>
          <w:color w:val="auto"/>
        </w:rPr>
      </w:pPr>
    </w:p>
    <w:p>
      <w:pPr>
        <w:jc w:val="both"/>
        <w:ind w:right="20" w:firstLine="464"/>
        <w:spacing w:after="0" w:line="319" w:lineRule="auto"/>
        <w:rPr>
          <w:sz w:val="20"/>
          <w:szCs w:val="20"/>
          <w:color w:val="auto"/>
        </w:rPr>
      </w:pPr>
      <w:r>
        <w:rPr>
          <w:rFonts w:ascii="Arial" w:cs="Arial" w:eastAsia="Arial" w:hAnsi="Arial"/>
          <w:sz w:val="16"/>
          <w:szCs w:val="16"/>
          <w:color w:val="auto"/>
        </w:rPr>
        <w:t>We regularly review our accounts receivable and allowance for credit losses by considering factors such as historical experience, credit quality, age of the accounts receivable, and the current economic conditions that may affect a client’s ability to pay such amounts owed to the Company. We maintain an allowance for credit losses that, in our opinion, provides for an adequate reserve to cover current expected credit losses. Refer to Note 2 – Summary of Significant Accounting Policies in the notes to condensed consolidated financial statements included elsewhere in this Form 10-Q for further information.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Rate Risk</w:t>
      </w:r>
    </w:p>
    <w:p>
      <w:pPr>
        <w:spacing w:after="0" w:line="239" w:lineRule="exact"/>
        <w:rPr>
          <w:sz w:val="20"/>
          <w:szCs w:val="20"/>
          <w:color w:val="auto"/>
        </w:rPr>
      </w:pPr>
    </w:p>
    <w:p>
      <w:pPr>
        <w:jc w:val="both"/>
        <w:ind w:firstLine="464"/>
        <w:spacing w:after="0" w:line="271" w:lineRule="auto"/>
        <w:rPr>
          <w:sz w:val="20"/>
          <w:szCs w:val="20"/>
          <w:color w:val="auto"/>
        </w:rPr>
      </w:pPr>
      <w:r>
        <w:rPr>
          <w:rFonts w:ascii="Arial" w:cs="Arial" w:eastAsia="Arial" w:hAnsi="Arial"/>
          <w:sz w:val="18"/>
          <w:szCs w:val="18"/>
          <w:color w:val="auto"/>
        </w:rPr>
        <w:t>The Company is exposed to exchange rate risk as a result of entering into transactions that are not denominated in the functional currency of its operating subsidiaries, as well as having foreign subsidiaries with non-U.S. dollar functional currencies. For the nine months ended September 30, 2021 and 2020, the net impact of non-functional currency-related transaction gains and losses recorded in Other income (expense) on our Condensed Consolidated Statements of Operations was a $0.4 million gain and a $2.4 million gain, respectively. In addition, the reported amounts in our condensed consolidated financial statements may be affected by movements in the rate of exchange between the pound sterling, Euro, Canadian dollar and our reporting currency, the U.S. dollar, resulting in translation gains and losses.</w:t>
      </w:r>
    </w:p>
    <w:p>
      <w:pPr>
        <w:spacing w:after="0" w:line="191" w:lineRule="exact"/>
        <w:rPr>
          <w:sz w:val="20"/>
          <w:szCs w:val="20"/>
          <w:color w:val="auto"/>
        </w:rPr>
      </w:pPr>
    </w:p>
    <w:p>
      <w:pPr>
        <w:jc w:val="both"/>
        <w:ind w:firstLine="464"/>
        <w:spacing w:after="0" w:line="275" w:lineRule="auto"/>
        <w:rPr>
          <w:sz w:val="20"/>
          <w:szCs w:val="20"/>
          <w:color w:val="auto"/>
        </w:rPr>
      </w:pPr>
      <w:r>
        <w:rPr>
          <w:rFonts w:ascii="Arial" w:cs="Arial" w:eastAsia="Arial" w:hAnsi="Arial"/>
          <w:sz w:val="18"/>
          <w:szCs w:val="18"/>
          <w:color w:val="auto"/>
        </w:rPr>
        <w:t>For the nine months ended September 30, 2021 and 2020, the net impact of the fluctuation of foreign currencies recorded in Foreign currency translation gain (loss) within our Condensed Consolidated Statements of Comprehensive Income (Loss) was a $1.5 million loss and $0.3 million gain, respectively. We have not entered into any transactions to hedge our exposure to these foreign currency fluctuations using derivative instruments or other methods but may do so if we deem appropriate in the future.</w:t>
      </w:r>
    </w:p>
    <w:p>
      <w:pPr>
        <w:spacing w:after="0" w:line="185" w:lineRule="exact"/>
        <w:rPr>
          <w:sz w:val="20"/>
          <w:szCs w:val="20"/>
          <w:color w:val="auto"/>
        </w:rPr>
      </w:pPr>
    </w:p>
    <w:p>
      <w:pPr>
        <w:jc w:val="both"/>
        <w:ind w:firstLine="464"/>
        <w:spacing w:after="0" w:line="293" w:lineRule="auto"/>
        <w:rPr>
          <w:sz w:val="20"/>
          <w:szCs w:val="20"/>
          <w:color w:val="auto"/>
        </w:rPr>
      </w:pPr>
      <w:r>
        <w:rPr>
          <w:rFonts w:ascii="Arial" w:cs="Arial" w:eastAsia="Arial" w:hAnsi="Arial"/>
          <w:sz w:val="18"/>
          <w:szCs w:val="18"/>
          <w:color w:val="auto"/>
        </w:rPr>
        <w:t>As of September 30, 2021, we held balances of $46.6 million of non-U.S. dollar denominated currencies, composed of pound sterling, the Euro, and Canadian dollars.</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35" w:lineRule="exact"/>
        <w:rPr>
          <w:sz w:val="20"/>
          <w:szCs w:val="20"/>
          <w:color w:val="auto"/>
        </w:rPr>
      </w:pPr>
    </w:p>
    <w:p>
      <w:pPr>
        <w:jc w:val="both"/>
        <w:ind w:firstLine="464"/>
        <w:spacing w:after="0" w:line="298" w:lineRule="auto"/>
        <w:rPr>
          <w:sz w:val="20"/>
          <w:szCs w:val="20"/>
          <w:color w:val="auto"/>
        </w:rPr>
      </w:pPr>
      <w:r>
        <w:rPr>
          <w:rFonts w:ascii="Arial" w:cs="Arial" w:eastAsia="Arial" w:hAnsi="Arial"/>
          <w:sz w:val="17"/>
          <w:szCs w:val="17"/>
          <w:color w:val="auto"/>
        </w:rPr>
        <w:t>This Quarterly Report on Form 10-Q should be read together with the discussion within “</w:t>
      </w:r>
      <w:r>
        <w:rPr>
          <w:rFonts w:ascii="Arial" w:cs="Arial" w:eastAsia="Arial" w:hAnsi="Arial"/>
          <w:sz w:val="17"/>
          <w:szCs w:val="17"/>
          <w:i w:val="1"/>
          <w:iCs w:val="1"/>
          <w:color w:val="auto"/>
        </w:rPr>
        <w:t>Management</w:t>
      </w:r>
      <w:r>
        <w:rPr>
          <w:rFonts w:ascii="Arial" w:cs="Arial" w:eastAsia="Arial" w:hAnsi="Arial"/>
          <w:sz w:val="20"/>
          <w:szCs w:val="20"/>
          <w:i w:val="1"/>
          <w:iCs w:val="1"/>
          <w:color w:val="auto"/>
        </w:rPr>
        <w:t>’</w:t>
      </w:r>
      <w:r>
        <w:rPr>
          <w:rFonts w:ascii="Arial" w:cs="Arial" w:eastAsia="Arial" w:hAnsi="Arial"/>
          <w:sz w:val="17"/>
          <w:szCs w:val="17"/>
          <w:i w:val="1"/>
          <w:iCs w:val="1"/>
          <w:color w:val="auto"/>
        </w:rPr>
        <w:t>s Discussion and Analysis of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Condition and Results of Operations” </w:t>
      </w:r>
      <w:r>
        <w:rPr>
          <w:rFonts w:ascii="Arial" w:cs="Arial" w:eastAsia="Arial" w:hAnsi="Arial"/>
          <w:sz w:val="17"/>
          <w:szCs w:val="17"/>
          <w:color w:val="auto"/>
        </w:rPr>
        <w:t>contained in the Current Report on Form 8-K filed on June 24, 2021 regarding these critical accounting policies. For</w:t>
      </w:r>
      <w:r>
        <w:rPr>
          <w:rFonts w:ascii="Arial" w:cs="Arial" w:eastAsia="Arial" w:hAnsi="Arial"/>
          <w:sz w:val="17"/>
          <w:szCs w:val="17"/>
          <w:i w:val="1"/>
          <w:iCs w:val="1"/>
          <w:color w:val="auto"/>
        </w:rPr>
        <w:t xml:space="preserve"> </w:t>
      </w:r>
      <w:r>
        <w:rPr>
          <w:rFonts w:ascii="Arial" w:cs="Arial" w:eastAsia="Arial" w:hAnsi="Arial"/>
          <w:sz w:val="17"/>
          <w:szCs w:val="17"/>
          <w:color w:val="auto"/>
        </w:rPr>
        <w:t>changes to our critical accounting policies during the nine months ended September 30, 2021, refer to Note 2 – Summary of Significant Accounting Policies in the notes to condensed consolidated financial statements included elsewhere in this Form 10-Q.</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43" w:lineRule="exact"/>
        <w:rPr>
          <w:sz w:val="20"/>
          <w:szCs w:val="20"/>
          <w:color w:val="auto"/>
        </w:rPr>
      </w:pPr>
    </w:p>
    <w:p>
      <w:pPr>
        <w:jc w:val="both"/>
        <w:ind w:firstLine="464"/>
        <w:spacing w:after="0" w:line="275" w:lineRule="auto"/>
        <w:rPr>
          <w:sz w:val="20"/>
          <w:szCs w:val="20"/>
          <w:color w:val="auto"/>
        </w:rPr>
      </w:pPr>
      <w:r>
        <w:rPr>
          <w:rFonts w:ascii="Arial" w:cs="Arial" w:eastAsia="Arial" w:hAnsi="Arial"/>
          <w:sz w:val="18"/>
          <w:szCs w:val="18"/>
          <w:color w:val="auto"/>
        </w:rPr>
        <w:t>We are exposed to market risks associated with changes in foreign currency exchange rates due to our international operations. The currencies for which we have our largest exchange rate exposures are related to changes in the British Pound, the Canadian dollar and the Euro. Our revenue contracts are primarily denominated in these currencies or the U.S. dollar. The contracts denominated in currencies other than the U.S. dollar, primarily from the transaction-related advisory services that we provide, are exposed to foreign currency fluctuations.</w:t>
      </w:r>
    </w:p>
    <w:p>
      <w:pPr>
        <w:spacing w:after="0" w:line="185" w:lineRule="exact"/>
        <w:rPr>
          <w:sz w:val="20"/>
          <w:szCs w:val="20"/>
          <w:color w:val="auto"/>
        </w:rPr>
      </w:pPr>
    </w:p>
    <w:p>
      <w:pPr>
        <w:jc w:val="both"/>
        <w:ind w:firstLine="464"/>
        <w:spacing w:after="0" w:line="271" w:lineRule="auto"/>
        <w:rPr>
          <w:sz w:val="20"/>
          <w:szCs w:val="20"/>
          <w:color w:val="auto"/>
        </w:rPr>
      </w:pPr>
      <w:r>
        <w:rPr>
          <w:rFonts w:ascii="Arial" w:cs="Arial" w:eastAsia="Arial" w:hAnsi="Arial"/>
          <w:sz w:val="18"/>
          <w:szCs w:val="18"/>
          <w:color w:val="auto"/>
        </w:rPr>
        <w:t>Additionally, the net assets and liabilities of these international operations are exposed to changes in foreign currency exchange rates. These operations may also have net assets and liabilities not denominated in their functional currency, which exposes us to changes in foreign currency exchange rates that impact income. Our foreign currency gains (losses) are primarily due to exchange rate fluctuations related to monetary asset balances denominated in currencies other than the functional currency, including foreign currency exchange rate changes recorded on intercompany obligations. Changes in exchange rates may create gains or losses in future periods to the extent we maintain net assets and liabilities not denominated in the functional currency.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43"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8"/>
          <w:szCs w:val="18"/>
          <w:color w:val="auto"/>
        </w:rPr>
        <w:t>This Item 4 includes information concerning the controls and controls evaluation referred to in the certifications of our Chief Executive Officer and Chief Financial Officer required by Rule 13a-14 of the Securities Exchange Act of 1934, as amended (the “Exchange Act”) included in this Quarterly Report on Form 10-Q as Exhibits 31.1 and 31.2.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Evaluation of Disclosure Controls and Procedures</w:t>
      </w:r>
    </w:p>
    <w:p>
      <w:pPr>
        <w:spacing w:after="0" w:line="239" w:lineRule="exact"/>
        <w:rPr>
          <w:sz w:val="20"/>
          <w:szCs w:val="20"/>
          <w:color w:val="auto"/>
        </w:rPr>
      </w:pPr>
    </w:p>
    <w:p>
      <w:pPr>
        <w:jc w:val="both"/>
        <w:ind w:firstLine="464"/>
        <w:spacing w:after="0" w:line="275" w:lineRule="auto"/>
        <w:rPr>
          <w:sz w:val="20"/>
          <w:szCs w:val="20"/>
          <w:color w:val="auto"/>
        </w:rPr>
      </w:pPr>
      <w:r>
        <w:rPr>
          <w:rFonts w:ascii="Arial" w:cs="Arial" w:eastAsia="Arial" w:hAnsi="Arial"/>
          <w:sz w:val="18"/>
          <w:szCs w:val="18"/>
          <w:color w:val="auto"/>
        </w:rPr>
        <w:t>Disclosure controls and procedures (as defined in Rules 13a-15(e) and 15d-15(e) under the Exchange Act) are designed to ensure that information required to be disclosed in reports filed or submitted under the Exchange Act is recorded, processed, summarized and reported within the time periods specified in SEC rules and forms, and that such information is accumulated and communicated to management to allow timely decisions regarding required disclosures.</w:t>
      </w:r>
    </w:p>
    <w:p>
      <w:pPr>
        <w:spacing w:after="0" w:line="185" w:lineRule="exact"/>
        <w:rPr>
          <w:sz w:val="20"/>
          <w:szCs w:val="20"/>
          <w:color w:val="auto"/>
        </w:rPr>
      </w:pPr>
    </w:p>
    <w:p>
      <w:pPr>
        <w:jc w:val="both"/>
        <w:ind w:firstLine="464"/>
        <w:spacing w:after="0" w:line="311" w:lineRule="auto"/>
        <w:rPr>
          <w:sz w:val="20"/>
          <w:szCs w:val="20"/>
          <w:color w:val="auto"/>
        </w:rPr>
      </w:pPr>
      <w:r>
        <w:rPr>
          <w:rFonts w:ascii="Arial" w:cs="Arial" w:eastAsia="Arial" w:hAnsi="Arial"/>
          <w:sz w:val="16"/>
          <w:szCs w:val="16"/>
          <w:color w:val="auto"/>
        </w:rPr>
        <w:t>In connection with the preparation of this Quarterly Report on Form 10-Q, our management, under the supervision and with the participation of our principal executive officer and principal financial officer, evaluated the effectiveness of the design and operation of our disclosure controls and procedures as of September 30, 2021. Based on that evaluation, our principal executive officer and principal financial officer concluded that our disclosure controls and procedures were effective to provide reasonable assurance that the information required to be disclosed in reports that we file or submit under the Exchange Act is accumulated and communicated to management, and made known to our principal executive officer and principle financial officer, on a timely basis to ensure that it is recorded, processed, summarized and reported within the time periods specified in the SEC’s rules and forms.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39" w:lineRule="exact"/>
        <w:rPr>
          <w:sz w:val="20"/>
          <w:szCs w:val="20"/>
          <w:color w:val="auto"/>
        </w:rPr>
      </w:pPr>
    </w:p>
    <w:p>
      <w:pPr>
        <w:jc w:val="both"/>
        <w:ind w:firstLine="464"/>
        <w:spacing w:after="0" w:line="359" w:lineRule="auto"/>
        <w:rPr>
          <w:sz w:val="20"/>
          <w:szCs w:val="20"/>
          <w:color w:val="auto"/>
        </w:rPr>
      </w:pPr>
      <w:r>
        <w:rPr>
          <w:rFonts w:ascii="Arial" w:cs="Arial" w:eastAsia="Arial" w:hAnsi="Arial"/>
          <w:sz w:val="16"/>
          <w:szCs w:val="16"/>
          <w:color w:val="auto"/>
        </w:rPr>
        <w:t>There were no changes in our internal control over financial reporting (as defined in Exchange Act Rules 13a-15(f) and 15d-15(f)) during the three months ended September 30, 2021 that materially affected, or are reasonably likely to materially affect, our internal control over financial reporting.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43" w:lineRule="exact"/>
        <w:rPr>
          <w:sz w:val="20"/>
          <w:szCs w:val="20"/>
          <w:color w:val="auto"/>
        </w:rPr>
      </w:pPr>
    </w:p>
    <w:p>
      <w:pPr>
        <w:jc w:val="both"/>
        <w:ind w:firstLine="546"/>
        <w:spacing w:after="0" w:line="269" w:lineRule="auto"/>
        <w:rPr>
          <w:sz w:val="20"/>
          <w:szCs w:val="20"/>
          <w:color w:val="auto"/>
        </w:rPr>
      </w:pPr>
      <w:r>
        <w:rPr>
          <w:rFonts w:ascii="Arial" w:cs="Arial" w:eastAsia="Arial" w:hAnsi="Arial"/>
          <w:sz w:val="18"/>
          <w:szCs w:val="18"/>
          <w:color w:val="auto"/>
        </w:rPr>
        <w:t>On October 20, 2015, Professionals GP, PWP MC LP, PWP Equity I LP and Perella Weinberg Partners Group LP (collectively, the “PWP Plaintiffs”), filed a complaint against Michael A. Kramer, Derron S. Slonecker, Joshua S. Scherer, Adam W. Verost (collectively, the “Individual Defendants”) and Ducera Partners LLC (together with the Individual Defendants, the “Defendants”). The complaint alleges that the Individual Defendants, three former partners and one former employee of the PWP Plaintiffs, entered into a scheme while still at PWP to lift out the PWP Plaintiffs’ restructuring group to form a new competing firm that they were secretly forming in breach of their contractual and fiduciary duties to the PWP Plaintiffs. The complaint contains fourteen causes of action, and seeks declaratory relief as well as damages resulting from the Individual Defendants’ breaches of their obligations under the PWP Plaintiffs’ partnership and employment agreements, and from Defendants’ unfair competition and tortious interference with the PWP Plaintiffs’ contracts and client relationships.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8" w:name="page59"/>
    <w:bookmarkEnd w:id="58"/>
    <w:p>
      <w:pPr>
        <w:jc w:val="both"/>
        <w:ind w:firstLine="464"/>
        <w:spacing w:after="0" w:line="286" w:lineRule="auto"/>
        <w:rPr>
          <w:sz w:val="20"/>
          <w:szCs w:val="20"/>
          <w:color w:val="auto"/>
        </w:rPr>
      </w:pPr>
      <w:r>
        <w:rPr>
          <w:rFonts w:ascii="Arial" w:cs="Arial" w:eastAsia="Arial" w:hAnsi="Arial"/>
          <w:sz w:val="17"/>
          <w:szCs w:val="17"/>
          <w:color w:val="auto"/>
        </w:rPr>
        <w:t>On November 9, 2015, the Defendants filed an Answer, Counterclaims, Cross-claims and a Third-Party Complaint, which contained 14 causes of action. On July 17, 2016, the Court issued a decision, dismissing half of the Defendants’ counterclaims and cross-claims with prejudice. On August 18, 2016, the Defendants filed an Amended Answer, Counterclaims, Cross-claims and Third-Party Complaint, which contained only seven counterclaims and cross-claims. On December 12, 2016, the Defendants appealed the dismissal of three of their counterclaims and cross-claims to the New York Appellate Division, First Department (the “First Department”). On August 29, 2017, the First Department issued a decision denying the Defendants’ appeal in its entirety other than allowing one Defendant to proceed with his breach of fiduciary duty counterclaim. On October 27, 2017, the Defendants moved the First Department for leave to appeal its decision to the New York Court of Appeals. On December 28, 2017, the First Department denied the Defendants’ motion for leave to appeal to the New York Court of Appeals. On April 24, 2018, the Defendants filed a Second Amended Answer, Counterclaims, Cross-claims and Third-Party Complaint, which contains eight counterclaims and cross-claims. The Defendants are seeking declaratory relief and damages of no less than $60.0 million, as well as statutory interest.</w:t>
      </w:r>
    </w:p>
    <w:p>
      <w:pPr>
        <w:spacing w:after="0" w:line="182" w:lineRule="exact"/>
        <w:rPr>
          <w:sz w:val="20"/>
          <w:szCs w:val="20"/>
          <w:color w:val="auto"/>
        </w:rPr>
      </w:pPr>
    </w:p>
    <w:p>
      <w:pPr>
        <w:jc w:val="both"/>
        <w:ind w:firstLine="464"/>
        <w:spacing w:after="0" w:line="314" w:lineRule="auto"/>
        <w:rPr>
          <w:sz w:val="20"/>
          <w:szCs w:val="20"/>
          <w:color w:val="auto"/>
        </w:rPr>
      </w:pPr>
      <w:r>
        <w:rPr>
          <w:rFonts w:ascii="Arial" w:cs="Arial" w:eastAsia="Arial" w:hAnsi="Arial"/>
          <w:sz w:val="16"/>
          <w:szCs w:val="16"/>
          <w:color w:val="auto"/>
        </w:rPr>
        <w:t>Discovery is complete. Both the PWP Plaintiffs and the Defendants subsequently moved for summary judgment. As of March 20, 2020, the parties had completed briefing their respective motions for summary judgment. The PWP Plaintiffs moved affirmatively for summary judgment on each of their 14 claims and also moved for dismissal of each of the Defendants’ remaining eight counterclaims and cross-claims. The Defendants moved affirmatively for summary judgment on four of their eight counterclaims and cross-claims and also moved for dismissal of each of the PWP Plaintiffs’ 14 claims. The Court held oral argument on the motions for summary judgment on May 27, 2021. The Court has yet to issue a decision on the motions for summary judgment.</w:t>
      </w:r>
    </w:p>
    <w:p>
      <w:pPr>
        <w:spacing w:after="0" w:line="160" w:lineRule="exact"/>
        <w:rPr>
          <w:sz w:val="20"/>
          <w:szCs w:val="20"/>
          <w:color w:val="auto"/>
        </w:rPr>
      </w:pPr>
    </w:p>
    <w:p>
      <w:pPr>
        <w:jc w:val="both"/>
        <w:ind w:firstLine="464"/>
        <w:spacing w:after="0" w:line="296" w:lineRule="auto"/>
        <w:rPr>
          <w:sz w:val="20"/>
          <w:szCs w:val="20"/>
          <w:color w:val="auto"/>
        </w:rPr>
      </w:pPr>
      <w:r>
        <w:rPr>
          <w:rFonts w:ascii="Arial" w:cs="Arial" w:eastAsia="Arial" w:hAnsi="Arial"/>
          <w:sz w:val="17"/>
          <w:szCs w:val="17"/>
          <w:color w:val="auto"/>
        </w:rPr>
        <w:t>We believe that our 14 causes of action are meritorious. Further, we believe that we have meritorious defenses to the Defendants’ remaining counterclaims and cross-claims and plan to vigorously contest them. Litigation, however, can be uncertain and there can be no assurance that any judgment for one or more of the Defendants or other outcome of the case would not have a material adverse effect on us. Additionally, even if we prevail in the litigation and are awarded damages, we do not know if we will be able to fully collect on any judgment against any or all Defendants.</w:t>
      </w:r>
    </w:p>
    <w:p>
      <w:pPr>
        <w:spacing w:after="0" w:line="170"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8"/>
          <w:szCs w:val="18"/>
          <w:color w:val="auto"/>
        </w:rPr>
        <w:t>We are now, and from time to time may in the future be, named as a defendant in legal actions relating to transactions conducted in the ordinary course of business. We may also become involved in other judicial, regulatory and arbitration proceedings concerning matters arising in connection with the conduct of our businesses. Some of these matters may involve claims of substantial amounts.</w:t>
      </w:r>
    </w:p>
    <w:p>
      <w:pPr>
        <w:spacing w:after="0" w:line="183" w:lineRule="exact"/>
        <w:rPr>
          <w:sz w:val="20"/>
          <w:szCs w:val="20"/>
          <w:color w:val="auto"/>
        </w:rPr>
      </w:pPr>
    </w:p>
    <w:p>
      <w:pPr>
        <w:jc w:val="both"/>
        <w:ind w:right="20" w:firstLine="464"/>
        <w:spacing w:after="0" w:line="293" w:lineRule="auto"/>
        <w:rPr>
          <w:sz w:val="20"/>
          <w:szCs w:val="20"/>
          <w:color w:val="auto"/>
        </w:rPr>
      </w:pPr>
      <w:r>
        <w:rPr>
          <w:rFonts w:ascii="Arial" w:cs="Arial" w:eastAsia="Arial" w:hAnsi="Arial"/>
          <w:sz w:val="18"/>
          <w:szCs w:val="18"/>
          <w:color w:val="auto"/>
        </w:rPr>
        <w:t>For further details on the current legal proceedings, refer to Note 18 – Commitments and Contingencies in the notes to condensed consolidated financial statements included elsewhere in this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360" w:firstLine="464"/>
        <w:spacing w:after="0" w:line="301" w:lineRule="auto"/>
        <w:rPr>
          <w:sz w:val="20"/>
          <w:szCs w:val="20"/>
          <w:color w:val="auto"/>
        </w:rPr>
      </w:pPr>
      <w:r>
        <w:rPr>
          <w:rFonts w:ascii="Arial" w:cs="Arial" w:eastAsia="Arial" w:hAnsi="Arial"/>
          <w:sz w:val="16"/>
          <w:szCs w:val="16"/>
          <w:color w:val="auto"/>
        </w:rPr>
        <w:t xml:space="preserve">There have been no material changes or updates to our risk factors that were previously disclosed in Part II </w:t>
      </w:r>
      <w:r>
        <w:rPr>
          <w:rFonts w:ascii="Arial" w:cs="Arial" w:eastAsia="Arial" w:hAnsi="Arial"/>
          <w:sz w:val="17"/>
          <w:szCs w:val="17"/>
          <w:color w:val="auto"/>
        </w:rPr>
        <w:t>“</w:t>
      </w:r>
      <w:r>
        <w:rPr>
          <w:rFonts w:ascii="Arial" w:cs="Arial" w:eastAsia="Arial" w:hAnsi="Arial"/>
          <w:sz w:val="16"/>
          <w:szCs w:val="16"/>
          <w:color w:val="auto"/>
        </w:rPr>
        <w:t>Item 1A. Risk Factors</w:t>
      </w:r>
      <w:r>
        <w:rPr>
          <w:rFonts w:ascii="Arial" w:cs="Arial" w:eastAsia="Arial" w:hAnsi="Arial"/>
          <w:sz w:val="17"/>
          <w:szCs w:val="17"/>
          <w:color w:val="auto"/>
        </w:rPr>
        <w:t>”</w:t>
      </w:r>
      <w:r>
        <w:rPr>
          <w:rFonts w:ascii="Arial" w:cs="Arial" w:eastAsia="Arial" w:hAnsi="Arial"/>
          <w:sz w:val="16"/>
          <w:szCs w:val="16"/>
          <w:color w:val="auto"/>
        </w:rPr>
        <w:t xml:space="preserve"> in the Company’s Quarterly Report on Form 10-Q for the quarter ended June 30, 2021 as filed with the SEC on August 12, 2021.</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4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Shares of Common Stock</w:t>
      </w:r>
    </w:p>
    <w:p>
      <w:pPr>
        <w:spacing w:after="0" w:line="239" w:lineRule="exact"/>
        <w:rPr>
          <w:sz w:val="20"/>
          <w:szCs w:val="20"/>
          <w:color w:val="auto"/>
        </w:rPr>
      </w:pPr>
    </w:p>
    <w:p>
      <w:pPr>
        <w:jc w:val="both"/>
        <w:ind w:firstLine="464"/>
        <w:spacing w:after="0" w:line="275" w:lineRule="auto"/>
        <w:rPr>
          <w:sz w:val="20"/>
          <w:szCs w:val="20"/>
          <w:color w:val="auto"/>
        </w:rPr>
      </w:pPr>
      <w:r>
        <w:rPr>
          <w:rFonts w:ascii="Arial" w:cs="Arial" w:eastAsia="Arial" w:hAnsi="Arial"/>
          <w:sz w:val="18"/>
          <w:szCs w:val="18"/>
          <w:color w:val="auto"/>
        </w:rPr>
        <w:t>In connection with the Business Combination, the Company delivered 12,500,000 shares of Class A common stock (as described in the “</w:t>
      </w:r>
      <w:r>
        <w:rPr>
          <w:rFonts w:ascii="Arial" w:cs="Arial" w:eastAsia="Arial" w:hAnsi="Arial"/>
          <w:sz w:val="18"/>
          <w:szCs w:val="18"/>
          <w:i w:val="1"/>
          <w:iCs w:val="1"/>
          <w:color w:val="auto"/>
        </w:rPr>
        <w:t>Private</w:t>
      </w:r>
      <w:r>
        <w:rPr>
          <w:rFonts w:ascii="Arial" w:cs="Arial" w:eastAsia="Arial" w:hAnsi="Arial"/>
          <w:sz w:val="18"/>
          <w:szCs w:val="18"/>
          <w:color w:val="auto"/>
        </w:rPr>
        <w:t xml:space="preserve"> </w:t>
      </w:r>
      <w:r>
        <w:rPr>
          <w:rFonts w:ascii="Arial" w:cs="Arial" w:eastAsia="Arial" w:hAnsi="Arial"/>
          <w:sz w:val="18"/>
          <w:szCs w:val="18"/>
          <w:i w:val="1"/>
          <w:iCs w:val="1"/>
          <w:color w:val="auto"/>
        </w:rPr>
        <w:t>Placement</w:t>
      </w:r>
      <w:r>
        <w:rPr>
          <w:rFonts w:ascii="Arial" w:cs="Arial" w:eastAsia="Arial" w:hAnsi="Arial"/>
          <w:sz w:val="18"/>
          <w:szCs w:val="18"/>
          <w:color w:val="auto"/>
        </w:rPr>
        <w:t>” section below), 48,470,675 shares of Class B-1 common stock (of which 45,608,840 shares of Class B-1 common stock remained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after giving effect to Redemptions (as defined below)) and 12,589,325 shares of Class B-2 common stock (of which 4,545,359 shares of Class B-2 common stock remained outstanding after giving effect to Redemptions).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w:t>
      </w:r>
    </w:p>
    <w:p>
      <w:pPr>
        <w:spacing w:after="0" w:line="239" w:lineRule="exact"/>
        <w:rPr>
          <w:sz w:val="20"/>
          <w:szCs w:val="20"/>
          <w:color w:val="auto"/>
        </w:rPr>
      </w:pPr>
    </w:p>
    <w:p>
      <w:pPr>
        <w:jc w:val="both"/>
        <w:ind w:firstLine="464"/>
        <w:spacing w:after="0" w:line="271" w:lineRule="auto"/>
        <w:rPr>
          <w:sz w:val="20"/>
          <w:szCs w:val="20"/>
          <w:color w:val="auto"/>
        </w:rPr>
      </w:pPr>
      <w:r>
        <w:rPr>
          <w:rFonts w:ascii="Arial" w:cs="Arial" w:eastAsia="Arial" w:hAnsi="Arial"/>
          <w:sz w:val="18"/>
          <w:szCs w:val="18"/>
          <w:color w:val="auto"/>
        </w:rPr>
        <w:t>In connection with entering into the Business Combination Agreement, the Company entered into subscription agreements with certain investors (collectively, the “PIPE Investors”), pursuant to which, among other things, the PIPE Investors party thereto agreed to purchase an aggregate of 12,500,000 shares of Class A common stock immediately prior to the Closing at a cash purchase price of $10.00 per share, resulting in aggregate proceeds of $125,000,000 in the private placement (the “PIPE Investment”). The shares of Class A common stock issued to the PIPE Investors were issued in reliance on the exemption from registration requirements thereof provided by Section 4(a)(2)of the Securities Act as a transaction by an issuer not involving a public offering without any form of general solicitation or general advertising.</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9" w:name="page60"/>
    <w:bookmarkEnd w:id="59"/>
    <w:p>
      <w:pPr>
        <w:jc w:val="both"/>
        <w:ind w:firstLine="464"/>
        <w:spacing w:after="0" w:line="311" w:lineRule="auto"/>
        <w:rPr>
          <w:sz w:val="20"/>
          <w:szCs w:val="20"/>
          <w:color w:val="auto"/>
        </w:rPr>
      </w:pPr>
      <w:r>
        <w:rPr>
          <w:rFonts w:ascii="Arial" w:cs="Arial" w:eastAsia="Arial" w:hAnsi="Arial"/>
          <w:sz w:val="16"/>
          <w:szCs w:val="16"/>
          <w:color w:val="auto"/>
        </w:rPr>
        <w:t>The subscription agreements for the PIPE Investors (other than the Sponsor-related PIPE Investors, whose registration rights are governed by a registration rights agreement (the “Non-Sponsor PIPE Investors”)) provide for certain registration rights. In accordance with the subscription agreements, we filed a registration statement registering the resale of such shares. Such registration statement is required to be kept effective for at least three years after effectiveness or, if earlier, until either (i) the shares thereunder have been sold by the Non-Sponsor PIPE Investors or (ii) the shares may be sold without restriction under Rule 144 promulgated under the Securities Act (as defined below). The Company filed a registration statement registering resale of such shares (as well as other shares) on July 15, 2021, and such registration statement was declared effective by the SEC on July 26, 2021.</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PWP OpCo Units</w:t>
      </w:r>
    </w:p>
    <w:p>
      <w:pPr>
        <w:spacing w:after="0" w:line="239" w:lineRule="exact"/>
        <w:rPr>
          <w:sz w:val="20"/>
          <w:szCs w:val="20"/>
          <w:color w:val="auto"/>
        </w:rPr>
      </w:pPr>
    </w:p>
    <w:p>
      <w:pPr>
        <w:jc w:val="both"/>
        <w:ind w:firstLine="464"/>
        <w:spacing w:after="0" w:line="309" w:lineRule="auto"/>
        <w:rPr>
          <w:sz w:val="20"/>
          <w:szCs w:val="20"/>
          <w:color w:val="auto"/>
        </w:rPr>
      </w:pPr>
      <w:r>
        <w:rPr>
          <w:rFonts w:ascii="Arial" w:cs="Arial" w:eastAsia="Arial" w:hAnsi="Arial"/>
          <w:sz w:val="16"/>
          <w:szCs w:val="16"/>
          <w:color w:val="auto"/>
        </w:rPr>
        <w:t>Subject to the exchange procedures and restrictions set forth in the PWP OpCo LPA, and any other procedures or restrictions imposed by the Company, holders of the 61,060,000 PWP OpCo Units (other than the Company) outstanding as of immediately after the Closing (before giving effect to the redemptions of certain legacy partners of Professional Partners and ILPs) may exchange these units for (i) shares of Class A common stock on a one-for-one basis (subject to customary conversion rate adjustments for stock splits, stock dividends and reclassifications) or (ii) cash from an offering of shares of Class A common stock (based on the net proceeds received by the Company for such shares in such offering) with the form of consideration determined by the Company. The PWP OpCo Units were previously issued in reliance on the exemption from registration requirements thereof provided by Section 4(a)(2) of the Securities Act as a transaction by an issuer not involving a public offering without any form of general solicitation or general advertising.</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Repurchases of Equity Securities</w:t>
      </w:r>
    </w:p>
    <w:p>
      <w:pPr>
        <w:spacing w:after="0" w:line="23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summarizes our repurchase of equity securities during the three months ended September 30, 2021: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93"/>
              </w:rPr>
              <w:t>Approximate Dollar Value</w:t>
            </w:r>
          </w:p>
        </w:tc>
      </w:tr>
      <w:tr>
        <w:trPr>
          <w:trHeight w:val="229"/>
        </w:trPr>
        <w:tc>
          <w:tcPr>
            <w:tcW w:w="4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90"/>
              </w:rPr>
              <w:t>Total Number of Shares</w:t>
            </w:r>
          </w:p>
        </w:tc>
        <w:tc>
          <w:tcPr>
            <w:tcW w:w="10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86"/>
              </w:rPr>
              <w:t>of Shares yet to be</w:t>
            </w:r>
          </w:p>
        </w:tc>
      </w:tr>
      <w:tr>
        <w:trPr>
          <w:trHeight w:val="230"/>
        </w:trPr>
        <w:tc>
          <w:tcPr>
            <w:tcW w:w="4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3"/>
              </w:rPr>
              <w:t>Total Number</w:t>
            </w:r>
          </w:p>
        </w:tc>
        <w:tc>
          <w:tcPr>
            <w:tcW w:w="120" w:type="dxa"/>
            <w:vAlign w:val="bottom"/>
          </w:tcPr>
          <w:p>
            <w:pPr>
              <w:spacing w:after="0"/>
              <w:rPr>
                <w:sz w:val="19"/>
                <w:szCs w:val="19"/>
                <w:color w:val="auto"/>
              </w:rPr>
            </w:pPr>
          </w:p>
        </w:tc>
        <w:tc>
          <w:tcPr>
            <w:tcW w:w="9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 as Part of</w:t>
            </w:r>
          </w:p>
        </w:tc>
        <w:tc>
          <w:tcPr>
            <w:tcW w:w="10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90"/>
              </w:rPr>
              <w:t>Purchased Under the</w:t>
            </w:r>
          </w:p>
        </w:tc>
      </w:tr>
      <w:tr>
        <w:trPr>
          <w:trHeight w:val="229"/>
        </w:trPr>
        <w:tc>
          <w:tcPr>
            <w:tcW w:w="4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7"/>
              </w:rPr>
              <w:t>of Shares</w:t>
            </w:r>
          </w:p>
        </w:tc>
        <w:tc>
          <w:tcPr>
            <w:tcW w:w="120" w:type="dxa"/>
            <w:vAlign w:val="bottom"/>
          </w:tcPr>
          <w:p>
            <w:pPr>
              <w:spacing w:after="0"/>
              <w:rPr>
                <w:sz w:val="19"/>
                <w:szCs w:val="19"/>
                <w:color w:val="auto"/>
              </w:rPr>
            </w:pPr>
          </w:p>
        </w:tc>
        <w:tc>
          <w:tcPr>
            <w:tcW w:w="9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Price Paid</w:t>
            </w:r>
          </w:p>
        </w:tc>
        <w:tc>
          <w:tcPr>
            <w:tcW w:w="10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90"/>
              </w:rPr>
              <w:t>Publicly Announced</w:t>
            </w:r>
          </w:p>
        </w:tc>
        <w:tc>
          <w:tcPr>
            <w:tcW w:w="10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89"/>
              </w:rPr>
              <w:t>Publicly Announced Plans</w:t>
            </w:r>
          </w:p>
        </w:tc>
      </w:tr>
      <w:tr>
        <w:trPr>
          <w:trHeight w:val="241"/>
        </w:trPr>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Period</w:t>
            </w:r>
          </w:p>
        </w:tc>
        <w:tc>
          <w:tcPr>
            <w:tcW w:w="12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Repurchased</w:t>
            </w:r>
          </w:p>
        </w:tc>
        <w:tc>
          <w:tcPr>
            <w:tcW w:w="120" w:type="dxa"/>
            <w:vAlign w:val="bottom"/>
          </w:tcPr>
          <w:p>
            <w:pPr>
              <w:spacing w:after="0"/>
              <w:rPr>
                <w:sz w:val="20"/>
                <w:szCs w:val="20"/>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5"/>
              </w:rPr>
              <w:t>Per Unit</w:t>
            </w:r>
          </w:p>
        </w:tc>
        <w:tc>
          <w:tcPr>
            <w:tcW w:w="100" w:type="dxa"/>
            <w:vAlign w:val="bottom"/>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Plans or Programs</w:t>
            </w:r>
          </w:p>
        </w:tc>
        <w:tc>
          <w:tcPr>
            <w:tcW w:w="10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or Programs</w:t>
            </w:r>
          </w:p>
        </w:tc>
      </w:tr>
      <w:tr>
        <w:trPr>
          <w:trHeight w:val="243"/>
        </w:trPr>
        <w:tc>
          <w:tcPr>
            <w:tcW w:w="4400" w:type="dxa"/>
            <w:vAlign w:val="bottom"/>
          </w:tcPr>
          <w:p>
            <w:pPr>
              <w:ind w:left="20"/>
              <w:spacing w:after="0"/>
              <w:rPr>
                <w:sz w:val="20"/>
                <w:szCs w:val="20"/>
                <w:color w:val="auto"/>
              </w:rPr>
            </w:pPr>
            <w:r>
              <w:rPr>
                <w:rFonts w:ascii="Arial" w:cs="Arial" w:eastAsia="Arial" w:hAnsi="Arial"/>
                <w:sz w:val="18"/>
                <w:szCs w:val="18"/>
                <w:color w:val="auto"/>
              </w:rPr>
              <w:t>July 1, 2021 - July 31, 2021</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20" w:type="dxa"/>
            <w:vAlign w:val="bottom"/>
          </w:tcPr>
          <w:p>
            <w:pPr>
              <w:ind w:left="190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2240" w:type="dxa"/>
            <w:vAlign w:val="bottom"/>
          </w:tcPr>
          <w:p>
            <w:pPr>
              <w:ind w:left="2140"/>
              <w:spacing w:after="0"/>
              <w:rPr>
                <w:sz w:val="20"/>
                <w:szCs w:val="20"/>
                <w:color w:val="auto"/>
              </w:rPr>
            </w:pPr>
            <w:r>
              <w:rPr>
                <w:rFonts w:ascii="Arial" w:cs="Arial" w:eastAsia="Arial" w:hAnsi="Arial"/>
                <w:sz w:val="18"/>
                <w:szCs w:val="18"/>
                <w:color w:val="auto"/>
                <w:w w:val="79"/>
              </w:rPr>
              <w:t>–</w:t>
            </w:r>
          </w:p>
        </w:tc>
      </w:tr>
      <w:tr>
        <w:trPr>
          <w:trHeight w:val="257"/>
        </w:trPr>
        <w:tc>
          <w:tcPr>
            <w:tcW w:w="4400" w:type="dxa"/>
            <w:vAlign w:val="bottom"/>
          </w:tcPr>
          <w:p>
            <w:pPr>
              <w:ind w:left="20"/>
              <w:spacing w:after="0"/>
              <w:rPr>
                <w:sz w:val="20"/>
                <w:szCs w:val="20"/>
                <w:color w:val="auto"/>
              </w:rPr>
            </w:pPr>
            <w:r>
              <w:rPr>
                <w:rFonts w:ascii="Arial" w:cs="Arial" w:eastAsia="Arial" w:hAnsi="Arial"/>
                <w:sz w:val="18"/>
                <w:szCs w:val="18"/>
                <w:color w:val="auto"/>
              </w:rPr>
              <w:t>August 1, 2021 - August 31, 2021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1,000,000</w:t>
            </w:r>
          </w:p>
        </w:tc>
        <w:tc>
          <w:tcPr>
            <w:tcW w:w="4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12.00</w:t>
            </w:r>
          </w:p>
        </w:tc>
        <w:tc>
          <w:tcPr>
            <w:tcW w:w="100" w:type="dxa"/>
            <w:vAlign w:val="bottom"/>
          </w:tcPr>
          <w:p>
            <w:pPr>
              <w:spacing w:after="0"/>
              <w:rPr>
                <w:sz w:val="22"/>
                <w:szCs w:val="22"/>
                <w:color w:val="auto"/>
              </w:rPr>
            </w:pPr>
          </w:p>
        </w:tc>
        <w:tc>
          <w:tcPr>
            <w:tcW w:w="2020" w:type="dxa"/>
            <w:vAlign w:val="bottom"/>
          </w:tcPr>
          <w:p>
            <w:pPr>
              <w:ind w:left="190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2"/>
                <w:szCs w:val="22"/>
                <w:color w:val="auto"/>
              </w:rPr>
            </w:pPr>
          </w:p>
        </w:tc>
        <w:tc>
          <w:tcPr>
            <w:tcW w:w="2240" w:type="dxa"/>
            <w:vAlign w:val="bottom"/>
          </w:tcPr>
          <w:p>
            <w:pPr>
              <w:ind w:left="2140"/>
              <w:spacing w:after="0"/>
              <w:rPr>
                <w:sz w:val="20"/>
                <w:szCs w:val="20"/>
                <w:color w:val="auto"/>
              </w:rPr>
            </w:pPr>
            <w:r>
              <w:rPr>
                <w:rFonts w:ascii="Arial" w:cs="Arial" w:eastAsia="Arial" w:hAnsi="Arial"/>
                <w:sz w:val="18"/>
                <w:szCs w:val="18"/>
                <w:color w:val="auto"/>
                <w:w w:val="79"/>
              </w:rPr>
              <w:t>–</w:t>
            </w:r>
          </w:p>
        </w:tc>
      </w:tr>
      <w:tr>
        <w:trPr>
          <w:trHeight w:val="263"/>
        </w:trPr>
        <w:tc>
          <w:tcPr>
            <w:tcW w:w="4400" w:type="dxa"/>
            <w:vAlign w:val="bottom"/>
          </w:tcPr>
          <w:p>
            <w:pPr>
              <w:ind w:left="20"/>
              <w:spacing w:after="0"/>
              <w:rPr>
                <w:sz w:val="20"/>
                <w:szCs w:val="20"/>
                <w:color w:val="auto"/>
              </w:rPr>
            </w:pPr>
            <w:r>
              <w:rPr>
                <w:rFonts w:ascii="Arial" w:cs="Arial" w:eastAsia="Arial" w:hAnsi="Arial"/>
                <w:sz w:val="18"/>
                <w:szCs w:val="18"/>
                <w:color w:val="auto"/>
              </w:rPr>
              <w:t>September 1, 2021 - September 30, 2021</w:t>
            </w:r>
          </w:p>
        </w:tc>
        <w:tc>
          <w:tcPr>
            <w:tcW w:w="120" w:type="dxa"/>
            <w:vAlign w:val="bottom"/>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020" w:type="dxa"/>
            <w:vAlign w:val="bottom"/>
            <w:tcBorders>
              <w:bottom w:val="single" w:sz="8" w:color="auto"/>
            </w:tcBorders>
          </w:tcPr>
          <w:p>
            <w:pPr>
              <w:ind w:left="190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2"/>
                <w:szCs w:val="22"/>
                <w:color w:val="auto"/>
              </w:rPr>
            </w:pPr>
          </w:p>
        </w:tc>
        <w:tc>
          <w:tcPr>
            <w:tcW w:w="2240" w:type="dxa"/>
            <w:vAlign w:val="bottom"/>
            <w:tcBorders>
              <w:bottom w:val="single" w:sz="8" w:color="auto"/>
            </w:tcBorders>
          </w:tcPr>
          <w:p>
            <w:pPr>
              <w:ind w:left="2140"/>
              <w:spacing w:after="0"/>
              <w:rPr>
                <w:sz w:val="20"/>
                <w:szCs w:val="20"/>
                <w:color w:val="auto"/>
              </w:rPr>
            </w:pPr>
            <w:r>
              <w:rPr>
                <w:rFonts w:ascii="Arial" w:cs="Arial" w:eastAsia="Arial" w:hAnsi="Arial"/>
                <w:sz w:val="18"/>
                <w:szCs w:val="18"/>
                <w:color w:val="auto"/>
                <w:w w:val="79"/>
              </w:rPr>
              <w:t>–</w:t>
            </w:r>
          </w:p>
        </w:tc>
      </w:tr>
      <w:tr>
        <w:trPr>
          <w:trHeight w:val="250"/>
        </w:trPr>
        <w:tc>
          <w:tcPr>
            <w:tcW w:w="4400" w:type="dxa"/>
            <w:vAlign w:val="bottom"/>
          </w:tcPr>
          <w:p>
            <w:pPr>
              <w:ind w:left="20"/>
              <w:spacing w:after="0"/>
              <w:rPr>
                <w:sz w:val="20"/>
                <w:szCs w:val="20"/>
                <w:color w:val="auto"/>
              </w:rPr>
            </w:pPr>
            <w:r>
              <w:rPr>
                <w:rFonts w:ascii="Arial" w:cs="Arial" w:eastAsia="Arial" w:hAnsi="Arial"/>
                <w:sz w:val="18"/>
                <w:szCs w:val="18"/>
                <w:color w:val="auto"/>
              </w:rPr>
              <w:t>Total</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1,000,000</w:t>
            </w:r>
          </w:p>
        </w:tc>
        <w:tc>
          <w:tcPr>
            <w:tcW w:w="4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12.00</w:t>
            </w:r>
          </w:p>
        </w:tc>
        <w:tc>
          <w:tcPr>
            <w:tcW w:w="100" w:type="dxa"/>
            <w:vAlign w:val="bottom"/>
          </w:tcPr>
          <w:p>
            <w:pPr>
              <w:spacing w:after="0"/>
              <w:rPr>
                <w:sz w:val="21"/>
                <w:szCs w:val="21"/>
                <w:color w:val="auto"/>
              </w:rPr>
            </w:pPr>
          </w:p>
        </w:tc>
        <w:tc>
          <w:tcPr>
            <w:tcW w:w="2020" w:type="dxa"/>
            <w:vAlign w:val="bottom"/>
          </w:tcPr>
          <w:p>
            <w:pPr>
              <w:ind w:left="190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2240" w:type="dxa"/>
            <w:vAlign w:val="bottom"/>
          </w:tcPr>
          <w:p>
            <w:pPr>
              <w:ind w:left="2140"/>
              <w:spacing w:after="0"/>
              <w:rPr>
                <w:sz w:val="20"/>
                <w:szCs w:val="20"/>
                <w:color w:val="auto"/>
              </w:rPr>
            </w:pPr>
            <w:r>
              <w:rPr>
                <w:rFonts w:ascii="Arial" w:cs="Arial" w:eastAsia="Arial" w:hAnsi="Arial"/>
                <w:sz w:val="18"/>
                <w:szCs w:val="18"/>
                <w:color w:val="auto"/>
                <w:w w:val="79"/>
              </w:rPr>
              <w:t>–</w:t>
            </w:r>
          </w:p>
        </w:tc>
      </w:tr>
      <w:tr>
        <w:trPr>
          <w:trHeight w:val="20"/>
        </w:trPr>
        <w:tc>
          <w:tcPr>
            <w:tcW w:w="4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Borders>
              <w:top w:val="single" w:sz="8" w:color="auto"/>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4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43" w:lineRule="exact"/>
        <w:rPr>
          <w:sz w:val="20"/>
          <w:szCs w:val="20"/>
          <w:color w:val="auto"/>
        </w:rPr>
      </w:pPr>
    </w:p>
    <w:p>
      <w:pPr>
        <w:jc w:val="center"/>
        <w:ind w:right="9200"/>
        <w:spacing w:after="0"/>
        <w:rPr>
          <w:sz w:val="20"/>
          <w:szCs w:val="20"/>
          <w:color w:val="auto"/>
        </w:rPr>
      </w:pPr>
      <w:r>
        <w:rPr>
          <w:rFonts w:ascii="Arial" w:cs="Arial" w:eastAsia="Arial" w:hAnsi="Arial"/>
          <w:sz w:val="18"/>
          <w:szCs w:val="18"/>
          <w:color w:val="auto"/>
        </w:rPr>
        <w:t>Not applicable.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4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Item 6. 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ind w:left="180"/>
              <w:spacing w:after="0"/>
              <w:rPr>
                <w:sz w:val="20"/>
                <w:szCs w:val="20"/>
                <w:color w:val="auto"/>
              </w:rPr>
            </w:pPr>
            <w:r>
              <w:rPr>
                <w:rFonts w:ascii="Arial" w:cs="Arial" w:eastAsia="Arial" w:hAnsi="Arial"/>
                <w:sz w:val="18"/>
                <w:szCs w:val="18"/>
                <w:b w:val="1"/>
                <w:bCs w:val="1"/>
                <w:color w:val="auto"/>
              </w:rPr>
              <w:t>Exhibit</w:t>
            </w:r>
          </w:p>
        </w:tc>
        <w:tc>
          <w:tcPr>
            <w:tcW w:w="100" w:type="dxa"/>
            <w:vAlign w:val="bottom"/>
          </w:tcPr>
          <w:p>
            <w:pPr>
              <w:spacing w:after="0"/>
              <w:rPr>
                <w:sz w:val="19"/>
                <w:szCs w:val="19"/>
                <w:color w:val="auto"/>
              </w:rPr>
            </w:pPr>
          </w:p>
        </w:tc>
        <w:tc>
          <w:tcPr>
            <w:tcW w:w="10220" w:type="dxa"/>
            <w:vAlign w:val="bottom"/>
          </w:tcPr>
          <w:p>
            <w:pPr>
              <w:spacing w:after="0"/>
              <w:rPr>
                <w:sz w:val="19"/>
                <w:szCs w:val="19"/>
                <w:color w:val="auto"/>
              </w:rPr>
            </w:pPr>
          </w:p>
        </w:tc>
      </w:tr>
      <w:tr>
        <w:trPr>
          <w:trHeight w:val="241"/>
        </w:trPr>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Number</w:t>
            </w:r>
          </w:p>
        </w:tc>
        <w:tc>
          <w:tcPr>
            <w:tcW w:w="100" w:type="dxa"/>
            <w:vAlign w:val="bottom"/>
          </w:tcPr>
          <w:p>
            <w:pPr>
              <w:spacing w:after="0"/>
              <w:rPr>
                <w:sz w:val="20"/>
                <w:szCs w:val="20"/>
                <w:color w:val="auto"/>
              </w:rPr>
            </w:pPr>
          </w:p>
        </w:tc>
        <w:tc>
          <w:tcPr>
            <w:tcW w:w="10220" w:type="dxa"/>
            <w:vAlign w:val="bottom"/>
            <w:tcBorders>
              <w:bottom w:val="single" w:sz="8" w:color="auto"/>
            </w:tcBorders>
          </w:tcPr>
          <w:p>
            <w:pPr>
              <w:ind w:left="4660"/>
              <w:spacing w:after="0"/>
              <w:rPr>
                <w:sz w:val="20"/>
                <w:szCs w:val="20"/>
                <w:color w:val="auto"/>
              </w:rPr>
            </w:pPr>
            <w:r>
              <w:rPr>
                <w:rFonts w:ascii="Arial" w:cs="Arial" w:eastAsia="Arial" w:hAnsi="Arial"/>
                <w:sz w:val="18"/>
                <w:szCs w:val="18"/>
                <w:b w:val="1"/>
                <w:bCs w:val="1"/>
                <w:color w:val="auto"/>
              </w:rPr>
              <w:t>Description</w:t>
            </w:r>
          </w:p>
        </w:tc>
      </w:tr>
      <w:tr>
        <w:trPr>
          <w:trHeight w:val="229"/>
        </w:trPr>
        <w:tc>
          <w:tcPr>
            <w:tcW w:w="920" w:type="dxa"/>
            <w:vAlign w:val="bottom"/>
          </w:tcPr>
          <w:p>
            <w:pPr>
              <w:ind w:left="2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10220" w:type="dxa"/>
            <w:vAlign w:val="bottom"/>
          </w:tcPr>
          <w:p>
            <w:pPr>
              <w:ind w:left="20"/>
              <w:spacing w:after="0"/>
              <w:rPr>
                <w:sz w:val="20"/>
                <w:szCs w:val="20"/>
                <w:color w:val="auto"/>
              </w:rPr>
            </w:pPr>
            <w:r>
              <w:rPr>
                <w:rFonts w:ascii="Arial" w:cs="Arial" w:eastAsia="Arial" w:hAnsi="Arial"/>
                <w:sz w:val="18"/>
                <w:szCs w:val="18"/>
                <w:color w:val="auto"/>
                <w:w w:val="97"/>
              </w:rPr>
              <w:t>Employment Agreement, dated as of August 11, 2021, by and between Perella Weinberg Partners, PWP Employer LP and Peter A.</w:t>
            </w:r>
          </w:p>
        </w:tc>
      </w:tr>
      <w:tr>
        <w:trPr>
          <w:trHeight w:val="230"/>
        </w:trPr>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20" w:type="dxa"/>
            <w:vAlign w:val="bottom"/>
          </w:tcPr>
          <w:p>
            <w:pPr>
              <w:ind w:left="20"/>
              <w:spacing w:after="0"/>
              <w:rPr>
                <w:sz w:val="20"/>
                <w:szCs w:val="20"/>
                <w:color w:val="auto"/>
              </w:rPr>
            </w:pPr>
            <w:r>
              <w:rPr>
                <w:rFonts w:ascii="Arial" w:cs="Arial" w:eastAsia="Arial" w:hAnsi="Arial"/>
                <w:sz w:val="18"/>
                <w:szCs w:val="18"/>
                <w:color w:val="auto"/>
              </w:rPr>
              <w:t>Weinberg.</w:t>
            </w:r>
          </w:p>
        </w:tc>
      </w:tr>
      <w:tr>
        <w:trPr>
          <w:trHeight w:val="243"/>
        </w:trPr>
        <w:tc>
          <w:tcPr>
            <w:tcW w:w="920" w:type="dxa"/>
            <w:vAlign w:val="bottom"/>
          </w:tcPr>
          <w:p>
            <w:pPr>
              <w:ind w:left="2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10220" w:type="dxa"/>
            <w:vAlign w:val="bottom"/>
          </w:tcPr>
          <w:p>
            <w:pPr>
              <w:ind w:left="20"/>
              <w:spacing w:after="0"/>
              <w:rPr>
                <w:sz w:val="20"/>
                <w:szCs w:val="20"/>
                <w:color w:val="auto"/>
              </w:rPr>
            </w:pPr>
            <w:r>
              <w:rPr>
                <w:rFonts w:ascii="Arial" w:cs="Arial" w:eastAsia="Arial" w:hAnsi="Arial"/>
                <w:sz w:val="18"/>
                <w:szCs w:val="18"/>
                <w:color w:val="auto"/>
                <w:w w:val="91"/>
              </w:rPr>
              <w:t>Employment Agreement, dated as of August 11, 2021, by and between Perella Weinberg Partners, PWP Employer LP and Andrew Bednar.</w:t>
            </w:r>
          </w:p>
        </w:tc>
      </w:tr>
      <w:tr>
        <w:trPr>
          <w:trHeight w:val="242"/>
        </w:trPr>
        <w:tc>
          <w:tcPr>
            <w:tcW w:w="920" w:type="dxa"/>
            <w:vAlign w:val="bottom"/>
          </w:tcPr>
          <w:p>
            <w:pPr>
              <w:ind w:left="2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10220" w:type="dxa"/>
            <w:vAlign w:val="bottom"/>
          </w:tcPr>
          <w:p>
            <w:pPr>
              <w:ind w:left="20"/>
              <w:spacing w:after="0"/>
              <w:rPr>
                <w:sz w:val="20"/>
                <w:szCs w:val="20"/>
                <w:color w:val="auto"/>
              </w:rPr>
            </w:pPr>
            <w:r>
              <w:rPr>
                <w:rFonts w:ascii="Arial" w:cs="Arial" w:eastAsia="Arial" w:hAnsi="Arial"/>
                <w:sz w:val="18"/>
                <w:szCs w:val="18"/>
                <w:color w:val="auto"/>
                <w:w w:val="96"/>
              </w:rPr>
              <w:t>Employment Agreement, dated as of August 11, 2021, by and between Perella Weinberg Partners, Perella Weinberg UK Limited and</w:t>
            </w:r>
          </w:p>
        </w:tc>
      </w:tr>
      <w:tr>
        <w:trPr>
          <w:trHeight w:val="230"/>
        </w:trPr>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20" w:type="dxa"/>
            <w:vAlign w:val="bottom"/>
          </w:tcPr>
          <w:p>
            <w:pPr>
              <w:ind w:left="20"/>
              <w:spacing w:after="0"/>
              <w:rPr>
                <w:sz w:val="20"/>
                <w:szCs w:val="20"/>
                <w:color w:val="auto"/>
              </w:rPr>
            </w:pPr>
            <w:r>
              <w:rPr>
                <w:rFonts w:ascii="Arial" w:cs="Arial" w:eastAsia="Arial" w:hAnsi="Arial"/>
                <w:sz w:val="18"/>
                <w:szCs w:val="18"/>
                <w:color w:val="auto"/>
              </w:rPr>
              <w:t>Dietrich Becker.</w:t>
            </w:r>
          </w:p>
        </w:tc>
      </w:tr>
      <w:tr>
        <w:trPr>
          <w:trHeight w:val="243"/>
        </w:trPr>
        <w:tc>
          <w:tcPr>
            <w:tcW w:w="920" w:type="dxa"/>
            <w:vAlign w:val="bottom"/>
          </w:tcPr>
          <w:p>
            <w:pPr>
              <w:ind w:left="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10220" w:type="dxa"/>
            <w:vAlign w:val="bottom"/>
          </w:tcPr>
          <w:p>
            <w:pPr>
              <w:ind w:left="20"/>
              <w:spacing w:after="0"/>
              <w:rPr>
                <w:sz w:val="20"/>
                <w:szCs w:val="20"/>
                <w:color w:val="auto"/>
              </w:rPr>
            </w:pPr>
            <w:r>
              <w:rPr>
                <w:rFonts w:ascii="Arial" w:cs="Arial" w:eastAsia="Arial" w:hAnsi="Arial"/>
                <w:sz w:val="18"/>
                <w:szCs w:val="18"/>
                <w:color w:val="auto"/>
              </w:rPr>
              <w:t>Form of Director Restricted Stock Unit Award Agreement (One-Time Award).</w:t>
            </w:r>
          </w:p>
        </w:tc>
      </w:tr>
      <w:tr>
        <w:trPr>
          <w:trHeight w:val="243"/>
        </w:trPr>
        <w:tc>
          <w:tcPr>
            <w:tcW w:w="920" w:type="dxa"/>
            <w:vAlign w:val="bottom"/>
          </w:tcPr>
          <w:p>
            <w:pPr>
              <w:ind w:left="2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10220" w:type="dxa"/>
            <w:vAlign w:val="bottom"/>
          </w:tcPr>
          <w:p>
            <w:pPr>
              <w:ind w:left="20"/>
              <w:spacing w:after="0"/>
              <w:rPr>
                <w:sz w:val="20"/>
                <w:szCs w:val="20"/>
                <w:color w:val="auto"/>
              </w:rPr>
            </w:pPr>
            <w:r>
              <w:rPr>
                <w:rFonts w:ascii="Arial" w:cs="Arial" w:eastAsia="Arial" w:hAnsi="Arial"/>
                <w:sz w:val="18"/>
                <w:szCs w:val="18"/>
                <w:color w:val="auto"/>
              </w:rPr>
              <w:t>Form of Director Restricted Stock Unit Award Agreement (Annual Base Retainer Award).</w:t>
            </w:r>
          </w:p>
        </w:tc>
      </w:tr>
      <w:tr>
        <w:trPr>
          <w:trHeight w:val="242"/>
        </w:trPr>
        <w:tc>
          <w:tcPr>
            <w:tcW w:w="920" w:type="dxa"/>
            <w:vAlign w:val="bottom"/>
          </w:tcPr>
          <w:p>
            <w:pPr>
              <w:ind w:left="2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1"/>
                <w:szCs w:val="21"/>
                <w:color w:val="auto"/>
              </w:rPr>
            </w:pPr>
          </w:p>
        </w:tc>
        <w:tc>
          <w:tcPr>
            <w:tcW w:w="10220" w:type="dxa"/>
            <w:vAlign w:val="bottom"/>
          </w:tcPr>
          <w:p>
            <w:pPr>
              <w:ind w:left="20"/>
              <w:spacing w:after="0"/>
              <w:rPr>
                <w:sz w:val="20"/>
                <w:szCs w:val="20"/>
                <w:color w:val="auto"/>
              </w:rPr>
            </w:pPr>
            <w:r>
              <w:rPr>
                <w:rFonts w:ascii="Arial" w:cs="Arial" w:eastAsia="Arial" w:hAnsi="Arial"/>
                <w:sz w:val="18"/>
                <w:szCs w:val="18"/>
                <w:color w:val="auto"/>
                <w:w w:val="96"/>
              </w:rPr>
              <w:t>Certification of Principal Executive Officer Pursuant to Rules 13a-14(a) and 15d-14(a) under the Securities Exchange Act of 1934, as</w:t>
            </w:r>
          </w:p>
        </w:tc>
      </w:tr>
      <w:tr>
        <w:trPr>
          <w:trHeight w:val="230"/>
        </w:trPr>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20" w:type="dxa"/>
            <w:vAlign w:val="bottom"/>
          </w:tcPr>
          <w:p>
            <w:pPr>
              <w:ind w:left="20"/>
              <w:spacing w:after="0"/>
              <w:rPr>
                <w:sz w:val="20"/>
                <w:szCs w:val="20"/>
                <w:color w:val="auto"/>
              </w:rPr>
            </w:pPr>
            <w:r>
              <w:rPr>
                <w:rFonts w:ascii="Arial" w:cs="Arial" w:eastAsia="Arial" w:hAnsi="Arial"/>
                <w:sz w:val="18"/>
                <w:szCs w:val="18"/>
                <w:color w:val="auto"/>
              </w:rPr>
              <w:t>Adopted Pursuant to Section 302 of the Sarbanes-Oxley Act of 2002.</w:t>
            </w:r>
          </w:p>
        </w:tc>
      </w:tr>
      <w:tr>
        <w:trPr>
          <w:trHeight w:val="242"/>
        </w:trPr>
        <w:tc>
          <w:tcPr>
            <w:tcW w:w="920" w:type="dxa"/>
            <w:vAlign w:val="bottom"/>
          </w:tcPr>
          <w:p>
            <w:pPr>
              <w:ind w:left="2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1"/>
                <w:szCs w:val="21"/>
                <w:color w:val="auto"/>
              </w:rPr>
            </w:pPr>
          </w:p>
        </w:tc>
        <w:tc>
          <w:tcPr>
            <w:tcW w:w="10220" w:type="dxa"/>
            <w:vAlign w:val="bottom"/>
          </w:tcPr>
          <w:p>
            <w:pPr>
              <w:ind w:left="20"/>
              <w:spacing w:after="0"/>
              <w:rPr>
                <w:sz w:val="20"/>
                <w:szCs w:val="20"/>
                <w:color w:val="auto"/>
              </w:rPr>
            </w:pPr>
            <w:r>
              <w:rPr>
                <w:rFonts w:ascii="Arial" w:cs="Arial" w:eastAsia="Arial" w:hAnsi="Arial"/>
                <w:sz w:val="18"/>
                <w:szCs w:val="18"/>
                <w:color w:val="auto"/>
                <w:w w:val="97"/>
              </w:rPr>
              <w:t>Certification of Principal Financial Officer Pursuant to Rules 13a-14(a) and 15d-14(a) under the Securities Exchange Act of 1934, as</w:t>
            </w:r>
          </w:p>
        </w:tc>
      </w:tr>
      <w:tr>
        <w:trPr>
          <w:trHeight w:val="230"/>
        </w:trPr>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20" w:type="dxa"/>
            <w:vAlign w:val="bottom"/>
          </w:tcPr>
          <w:p>
            <w:pPr>
              <w:ind w:left="20"/>
              <w:spacing w:after="0"/>
              <w:rPr>
                <w:sz w:val="20"/>
                <w:szCs w:val="20"/>
                <w:color w:val="auto"/>
              </w:rPr>
            </w:pPr>
            <w:r>
              <w:rPr>
                <w:rFonts w:ascii="Arial" w:cs="Arial" w:eastAsia="Arial" w:hAnsi="Arial"/>
                <w:sz w:val="18"/>
                <w:szCs w:val="18"/>
                <w:color w:val="auto"/>
              </w:rPr>
              <w:t>Adopted Pursuant to Section 302 of the Sarbanes-Oxley Act of 2002.</w:t>
            </w:r>
          </w:p>
        </w:tc>
      </w:tr>
      <w:tr>
        <w:trPr>
          <w:trHeight w:val="242"/>
        </w:trPr>
        <w:tc>
          <w:tcPr>
            <w:tcW w:w="920" w:type="dxa"/>
            <w:vAlign w:val="bottom"/>
          </w:tcPr>
          <w:p>
            <w:pPr>
              <w:ind w:left="2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1"/>
                <w:szCs w:val="21"/>
                <w:color w:val="auto"/>
              </w:rPr>
            </w:pPr>
          </w:p>
        </w:tc>
        <w:tc>
          <w:tcPr>
            <w:tcW w:w="10220" w:type="dxa"/>
            <w:vAlign w:val="bottom"/>
          </w:tcPr>
          <w:p>
            <w:pPr>
              <w:ind w:left="20"/>
              <w:spacing w:after="0"/>
              <w:rPr>
                <w:sz w:val="20"/>
                <w:szCs w:val="20"/>
                <w:color w:val="auto"/>
              </w:rPr>
            </w:pPr>
            <w:r>
              <w:rPr>
                <w:rFonts w:ascii="Arial" w:cs="Arial" w:eastAsia="Arial" w:hAnsi="Arial"/>
                <w:sz w:val="18"/>
                <w:szCs w:val="18"/>
                <w:color w:val="auto"/>
                <w:w w:val="92"/>
              </w:rPr>
              <w:t>Certification of Principal Executive Officer Pursuant to 18 U.S.C. Section 1350, as Adopted Pursuant to Section 906 of the Sarbanes-Oxley</w:t>
            </w:r>
          </w:p>
        </w:tc>
      </w:tr>
      <w:tr>
        <w:trPr>
          <w:trHeight w:val="230"/>
        </w:trPr>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20" w:type="dxa"/>
            <w:vAlign w:val="bottom"/>
          </w:tcPr>
          <w:p>
            <w:pPr>
              <w:ind w:left="20"/>
              <w:spacing w:after="0"/>
              <w:rPr>
                <w:sz w:val="20"/>
                <w:szCs w:val="20"/>
                <w:color w:val="auto"/>
              </w:rPr>
            </w:pPr>
            <w:r>
              <w:rPr>
                <w:rFonts w:ascii="Arial" w:cs="Arial" w:eastAsia="Arial" w:hAnsi="Arial"/>
                <w:sz w:val="18"/>
                <w:szCs w:val="18"/>
                <w:color w:val="auto"/>
              </w:rPr>
              <w:t>Act of 2002.</w:t>
            </w:r>
          </w:p>
        </w:tc>
      </w:tr>
      <w:tr>
        <w:trPr>
          <w:trHeight w:val="242"/>
        </w:trPr>
        <w:tc>
          <w:tcPr>
            <w:tcW w:w="920" w:type="dxa"/>
            <w:vAlign w:val="bottom"/>
          </w:tcPr>
          <w:p>
            <w:pPr>
              <w:ind w:left="2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1"/>
                <w:szCs w:val="21"/>
                <w:color w:val="auto"/>
              </w:rPr>
            </w:pPr>
          </w:p>
        </w:tc>
        <w:tc>
          <w:tcPr>
            <w:tcW w:w="10220" w:type="dxa"/>
            <w:vAlign w:val="bottom"/>
          </w:tcPr>
          <w:p>
            <w:pPr>
              <w:ind w:left="20"/>
              <w:spacing w:after="0"/>
              <w:rPr>
                <w:sz w:val="20"/>
                <w:szCs w:val="20"/>
                <w:color w:val="auto"/>
              </w:rPr>
            </w:pPr>
            <w:r>
              <w:rPr>
                <w:rFonts w:ascii="Arial" w:cs="Arial" w:eastAsia="Arial" w:hAnsi="Arial"/>
                <w:sz w:val="18"/>
                <w:szCs w:val="18"/>
                <w:color w:val="auto"/>
                <w:w w:val="92"/>
              </w:rPr>
              <w:t>Certification of Principal Financial Officer Pursuant to 18 U.S.C. Section 1350, as Adopted Pursuant to Section 906 of the Sarbanes-Oxley</w:t>
            </w:r>
          </w:p>
        </w:tc>
      </w:tr>
      <w:tr>
        <w:trPr>
          <w:trHeight w:val="230"/>
        </w:trPr>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20" w:type="dxa"/>
            <w:vAlign w:val="bottom"/>
          </w:tcPr>
          <w:p>
            <w:pPr>
              <w:ind w:left="20"/>
              <w:spacing w:after="0"/>
              <w:rPr>
                <w:sz w:val="20"/>
                <w:szCs w:val="20"/>
                <w:color w:val="auto"/>
              </w:rPr>
            </w:pPr>
            <w:r>
              <w:rPr>
                <w:rFonts w:ascii="Arial" w:cs="Arial" w:eastAsia="Arial" w:hAnsi="Arial"/>
                <w:sz w:val="18"/>
                <w:szCs w:val="18"/>
                <w:color w:val="auto"/>
              </w:rPr>
              <w:t>Act of 2002.</w:t>
            </w:r>
          </w:p>
        </w:tc>
      </w:tr>
      <w:tr>
        <w:trPr>
          <w:trHeight w:val="242"/>
        </w:trPr>
        <w:tc>
          <w:tcPr>
            <w:tcW w:w="920" w:type="dxa"/>
            <w:vAlign w:val="bottom"/>
          </w:tcPr>
          <w:p>
            <w:pPr>
              <w:ind w:left="20"/>
              <w:spacing w:after="0"/>
              <w:rPr>
                <w:sz w:val="20"/>
                <w:szCs w:val="20"/>
                <w:color w:val="auto"/>
              </w:rPr>
            </w:pPr>
            <w:r>
              <w:rPr>
                <w:rFonts w:ascii="Arial" w:cs="Arial" w:eastAsia="Arial" w:hAnsi="Arial"/>
                <w:sz w:val="18"/>
                <w:szCs w:val="18"/>
                <w:color w:val="auto"/>
              </w:rPr>
              <w:t>101.INS</w:t>
            </w:r>
          </w:p>
        </w:tc>
        <w:tc>
          <w:tcPr>
            <w:tcW w:w="100" w:type="dxa"/>
            <w:vAlign w:val="bottom"/>
          </w:tcPr>
          <w:p>
            <w:pPr>
              <w:spacing w:after="0"/>
              <w:rPr>
                <w:sz w:val="21"/>
                <w:szCs w:val="21"/>
                <w:color w:val="auto"/>
              </w:rPr>
            </w:pPr>
          </w:p>
        </w:tc>
        <w:tc>
          <w:tcPr>
            <w:tcW w:w="10220" w:type="dxa"/>
            <w:vAlign w:val="bottom"/>
          </w:tcPr>
          <w:p>
            <w:pPr>
              <w:ind w:left="20"/>
              <w:spacing w:after="0"/>
              <w:rPr>
                <w:sz w:val="20"/>
                <w:szCs w:val="20"/>
                <w:color w:val="auto"/>
              </w:rPr>
            </w:pPr>
            <w:r>
              <w:rPr>
                <w:rFonts w:ascii="Arial" w:cs="Arial" w:eastAsia="Arial" w:hAnsi="Arial"/>
                <w:sz w:val="18"/>
                <w:szCs w:val="18"/>
                <w:color w:val="auto"/>
                <w:w w:val="93"/>
              </w:rPr>
              <w:t>Inline XBRL Instance Document – the instance document does not appear in the Interactive Data File because XBRL tags are embedded</w:t>
            </w:r>
          </w:p>
        </w:tc>
      </w:tr>
      <w:tr>
        <w:trPr>
          <w:trHeight w:val="230"/>
        </w:trPr>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20" w:type="dxa"/>
            <w:vAlign w:val="bottom"/>
          </w:tcPr>
          <w:p>
            <w:pPr>
              <w:ind w:left="20"/>
              <w:spacing w:after="0"/>
              <w:rPr>
                <w:sz w:val="20"/>
                <w:szCs w:val="20"/>
                <w:color w:val="auto"/>
              </w:rPr>
            </w:pPr>
            <w:r>
              <w:rPr>
                <w:rFonts w:ascii="Arial" w:cs="Arial" w:eastAsia="Arial" w:hAnsi="Arial"/>
                <w:sz w:val="18"/>
                <w:szCs w:val="18"/>
                <w:color w:val="auto"/>
              </w:rPr>
              <w:t>within the Inline XBRL document.</w:t>
            </w:r>
          </w:p>
        </w:tc>
      </w:tr>
      <w:tr>
        <w:trPr>
          <w:trHeight w:val="243"/>
        </w:trPr>
        <w:tc>
          <w:tcPr>
            <w:tcW w:w="920" w:type="dxa"/>
            <w:vAlign w:val="bottom"/>
          </w:tcPr>
          <w:p>
            <w:pPr>
              <w:ind w:left="20"/>
              <w:spacing w:after="0"/>
              <w:rPr>
                <w:sz w:val="20"/>
                <w:szCs w:val="20"/>
                <w:color w:val="auto"/>
              </w:rPr>
            </w:pPr>
            <w:r>
              <w:rPr>
                <w:rFonts w:ascii="Arial" w:cs="Arial" w:eastAsia="Arial" w:hAnsi="Arial"/>
                <w:sz w:val="18"/>
                <w:szCs w:val="18"/>
                <w:color w:val="auto"/>
              </w:rPr>
              <w:t>101.SCH</w:t>
            </w:r>
          </w:p>
        </w:tc>
        <w:tc>
          <w:tcPr>
            <w:tcW w:w="100" w:type="dxa"/>
            <w:vAlign w:val="bottom"/>
          </w:tcPr>
          <w:p>
            <w:pPr>
              <w:spacing w:after="0"/>
              <w:rPr>
                <w:sz w:val="21"/>
                <w:szCs w:val="21"/>
                <w:color w:val="auto"/>
              </w:rPr>
            </w:pPr>
          </w:p>
        </w:tc>
        <w:tc>
          <w:tcPr>
            <w:tcW w:w="10220" w:type="dxa"/>
            <w:vAlign w:val="bottom"/>
          </w:tcPr>
          <w:p>
            <w:pPr>
              <w:ind w:left="20"/>
              <w:spacing w:after="0"/>
              <w:rPr>
                <w:sz w:val="20"/>
                <w:szCs w:val="20"/>
                <w:color w:val="auto"/>
              </w:rPr>
            </w:pPr>
            <w:r>
              <w:rPr>
                <w:rFonts w:ascii="Arial" w:cs="Arial" w:eastAsia="Arial" w:hAnsi="Arial"/>
                <w:sz w:val="18"/>
                <w:szCs w:val="18"/>
                <w:color w:val="auto"/>
              </w:rPr>
              <w:t>Inline XBRL Taxonomy Extension Schema Document</w:t>
            </w:r>
          </w:p>
        </w:tc>
      </w:tr>
      <w:tr>
        <w:trPr>
          <w:trHeight w:val="473"/>
        </w:trPr>
        <w:tc>
          <w:tcPr>
            <w:tcW w:w="920" w:type="dxa"/>
            <w:vAlign w:val="bottom"/>
          </w:tcPr>
          <w:p>
            <w:pPr>
              <w:ind w:left="20"/>
              <w:spacing w:after="0"/>
              <w:rPr>
                <w:sz w:val="20"/>
                <w:szCs w:val="20"/>
                <w:color w:val="auto"/>
              </w:rPr>
            </w:pPr>
            <w:r>
              <w:rPr>
                <w:rFonts w:ascii="Arial" w:cs="Arial" w:eastAsia="Arial" w:hAnsi="Arial"/>
                <w:sz w:val="18"/>
                <w:szCs w:val="18"/>
                <w:color w:val="auto"/>
              </w:rPr>
              <w:t>101.CAL</w:t>
            </w:r>
          </w:p>
        </w:tc>
        <w:tc>
          <w:tcPr>
            <w:tcW w:w="100" w:type="dxa"/>
            <w:vAlign w:val="bottom"/>
          </w:tcPr>
          <w:p>
            <w:pPr>
              <w:spacing w:after="0"/>
              <w:rPr>
                <w:sz w:val="24"/>
                <w:szCs w:val="24"/>
                <w:color w:val="auto"/>
              </w:rPr>
            </w:pPr>
          </w:p>
        </w:tc>
        <w:tc>
          <w:tcPr>
            <w:tcW w:w="10220" w:type="dxa"/>
            <w:vAlign w:val="bottom"/>
          </w:tcPr>
          <w:p>
            <w:pPr>
              <w:ind w:left="2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473"/>
        </w:trPr>
        <w:tc>
          <w:tcPr>
            <w:tcW w:w="920" w:type="dxa"/>
            <w:vAlign w:val="bottom"/>
          </w:tcPr>
          <w:p>
            <w:pPr>
              <w:ind w:left="20"/>
              <w:spacing w:after="0"/>
              <w:rPr>
                <w:sz w:val="20"/>
                <w:szCs w:val="20"/>
                <w:color w:val="auto"/>
              </w:rPr>
            </w:pPr>
            <w:r>
              <w:rPr>
                <w:rFonts w:ascii="Arial" w:cs="Arial" w:eastAsia="Arial" w:hAnsi="Arial"/>
                <w:sz w:val="18"/>
                <w:szCs w:val="18"/>
                <w:color w:val="auto"/>
              </w:rPr>
              <w:t>101.DEF</w:t>
            </w:r>
          </w:p>
        </w:tc>
        <w:tc>
          <w:tcPr>
            <w:tcW w:w="100" w:type="dxa"/>
            <w:vAlign w:val="bottom"/>
          </w:tcPr>
          <w:p>
            <w:pPr>
              <w:spacing w:after="0"/>
              <w:rPr>
                <w:sz w:val="24"/>
                <w:szCs w:val="24"/>
                <w:color w:val="auto"/>
              </w:rPr>
            </w:pPr>
          </w:p>
        </w:tc>
        <w:tc>
          <w:tcPr>
            <w:tcW w:w="10220" w:type="dxa"/>
            <w:vAlign w:val="bottom"/>
          </w:tcPr>
          <w:p>
            <w:pPr>
              <w:ind w:left="2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473"/>
        </w:trPr>
        <w:tc>
          <w:tcPr>
            <w:tcW w:w="920" w:type="dxa"/>
            <w:vAlign w:val="bottom"/>
          </w:tcPr>
          <w:p>
            <w:pPr>
              <w:ind w:left="20"/>
              <w:spacing w:after="0"/>
              <w:rPr>
                <w:sz w:val="20"/>
                <w:szCs w:val="20"/>
                <w:color w:val="auto"/>
              </w:rPr>
            </w:pPr>
            <w:r>
              <w:rPr>
                <w:rFonts w:ascii="Arial" w:cs="Arial" w:eastAsia="Arial" w:hAnsi="Arial"/>
                <w:sz w:val="18"/>
                <w:szCs w:val="18"/>
                <w:color w:val="auto"/>
              </w:rPr>
              <w:t>101.LAB</w:t>
            </w:r>
          </w:p>
        </w:tc>
        <w:tc>
          <w:tcPr>
            <w:tcW w:w="100" w:type="dxa"/>
            <w:vAlign w:val="bottom"/>
          </w:tcPr>
          <w:p>
            <w:pPr>
              <w:spacing w:after="0"/>
              <w:rPr>
                <w:sz w:val="24"/>
                <w:szCs w:val="24"/>
                <w:color w:val="auto"/>
              </w:rPr>
            </w:pPr>
          </w:p>
        </w:tc>
        <w:tc>
          <w:tcPr>
            <w:tcW w:w="10220" w:type="dxa"/>
            <w:vAlign w:val="bottom"/>
          </w:tcPr>
          <w:p>
            <w:pPr>
              <w:ind w:left="2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473"/>
        </w:trPr>
        <w:tc>
          <w:tcPr>
            <w:tcW w:w="920" w:type="dxa"/>
            <w:vAlign w:val="bottom"/>
          </w:tcPr>
          <w:p>
            <w:pPr>
              <w:ind w:left="20"/>
              <w:spacing w:after="0"/>
              <w:rPr>
                <w:sz w:val="20"/>
                <w:szCs w:val="20"/>
                <w:color w:val="auto"/>
              </w:rPr>
            </w:pPr>
            <w:r>
              <w:rPr>
                <w:rFonts w:ascii="Arial" w:cs="Arial" w:eastAsia="Arial" w:hAnsi="Arial"/>
                <w:sz w:val="18"/>
                <w:szCs w:val="18"/>
                <w:color w:val="auto"/>
              </w:rPr>
              <w:t>101.PRE</w:t>
            </w:r>
          </w:p>
        </w:tc>
        <w:tc>
          <w:tcPr>
            <w:tcW w:w="100" w:type="dxa"/>
            <w:vAlign w:val="bottom"/>
          </w:tcPr>
          <w:p>
            <w:pPr>
              <w:spacing w:after="0"/>
              <w:rPr>
                <w:sz w:val="24"/>
                <w:szCs w:val="24"/>
                <w:color w:val="auto"/>
              </w:rPr>
            </w:pPr>
          </w:p>
        </w:tc>
        <w:tc>
          <w:tcPr>
            <w:tcW w:w="10220" w:type="dxa"/>
            <w:vAlign w:val="bottom"/>
          </w:tcPr>
          <w:p>
            <w:pPr>
              <w:ind w:left="20"/>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242" w:lineRule="exact"/>
        <w:rPr>
          <w:sz w:val="20"/>
          <w:szCs w:val="20"/>
          <w:color w:val="auto"/>
        </w:rPr>
      </w:pPr>
    </w:p>
    <w:p>
      <w:pPr>
        <w:ind w:left="1040" w:hanging="1019"/>
        <w:spacing w:after="0"/>
        <w:tabs>
          <w:tab w:leader="none" w:pos="10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13232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0"/>
          <w:szCs w:val="20"/>
          <w:color w:val="auto"/>
        </w:rPr>
      </w:pPr>
    </w:p>
    <w:p>
      <w:pPr>
        <w:ind w:left="500" w:hanging="49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Indicates a management or compensatory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2160"/>
        <w:spacing w:after="0" w:line="29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7580" w:type="dxa"/>
            <w:vAlign w:val="bottom"/>
            <w:gridSpan w:val="2"/>
          </w:tcPr>
          <w:p>
            <w:pPr>
              <w:ind w:left="2040"/>
              <w:spacing w:after="0"/>
              <w:rPr>
                <w:sz w:val="20"/>
                <w:szCs w:val="20"/>
                <w:color w:val="auto"/>
              </w:rPr>
            </w:pPr>
            <w:r>
              <w:rPr>
                <w:rFonts w:ascii="Arial" w:cs="Arial" w:eastAsia="Arial" w:hAnsi="Arial"/>
                <w:sz w:val="18"/>
                <w:szCs w:val="18"/>
                <w:color w:val="auto"/>
              </w:rPr>
              <w:t>PERELLA WEINBERG PARTNERS</w:t>
            </w:r>
          </w:p>
        </w:tc>
      </w:tr>
      <w:tr>
        <w:trPr>
          <w:trHeight w:val="493"/>
        </w:trPr>
        <w:tc>
          <w:tcPr>
            <w:tcW w:w="3660" w:type="dxa"/>
            <w:vAlign w:val="bottom"/>
          </w:tcPr>
          <w:p>
            <w:pPr>
              <w:ind w:left="20"/>
              <w:spacing w:after="0"/>
              <w:rPr>
                <w:sz w:val="20"/>
                <w:szCs w:val="20"/>
                <w:color w:val="auto"/>
              </w:rPr>
            </w:pPr>
            <w:r>
              <w:rPr>
                <w:rFonts w:ascii="Arial" w:cs="Arial" w:eastAsia="Arial" w:hAnsi="Arial"/>
                <w:sz w:val="18"/>
                <w:szCs w:val="18"/>
                <w:color w:val="auto"/>
              </w:rPr>
              <w:t>Date: November 5, 2021</w:t>
            </w:r>
          </w:p>
        </w:tc>
        <w:tc>
          <w:tcPr>
            <w:tcW w:w="7580" w:type="dxa"/>
            <w:vAlign w:val="bottom"/>
            <w:gridSpan w:val="2"/>
          </w:tcPr>
          <w:p>
            <w:pPr>
              <w:ind w:left="2040"/>
              <w:spacing w:after="0"/>
              <w:rPr>
                <w:sz w:val="20"/>
                <w:szCs w:val="20"/>
                <w:color w:val="auto"/>
              </w:rPr>
            </w:pPr>
            <w:r>
              <w:rPr>
                <w:rFonts w:ascii="Arial" w:cs="Arial" w:eastAsia="Arial" w:hAnsi="Arial"/>
                <w:sz w:val="18"/>
                <w:szCs w:val="18"/>
                <w:color w:val="auto"/>
              </w:rPr>
              <w:t>By: /s/ PETER A. WEINBERG</w:t>
            </w:r>
          </w:p>
        </w:tc>
      </w:tr>
      <w:tr>
        <w:trPr>
          <w:trHeight w:val="234"/>
        </w:trPr>
        <w:tc>
          <w:tcPr>
            <w:tcW w:w="36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2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Peter A. Weinberg</w:t>
            </w:r>
          </w:p>
        </w:tc>
      </w:tr>
      <w:tr>
        <w:trPr>
          <w:trHeight w:val="238"/>
        </w:trPr>
        <w:tc>
          <w:tcPr>
            <w:tcW w:w="36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Arial" w:cs="Arial" w:eastAsia="Arial" w:hAnsi="Arial"/>
                <w:sz w:val="18"/>
                <w:szCs w:val="18"/>
                <w:b w:val="1"/>
                <w:bCs w:val="1"/>
                <w:color w:val="auto"/>
              </w:rPr>
              <w:t>Chief Executive Officer</w:t>
            </w:r>
          </w:p>
        </w:tc>
      </w:tr>
      <w:tr>
        <w:trPr>
          <w:trHeight w:val="243"/>
        </w:trPr>
        <w:tc>
          <w:tcPr>
            <w:tcW w:w="366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522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r>
        <w:trPr>
          <w:trHeight w:val="493"/>
        </w:trPr>
        <w:tc>
          <w:tcPr>
            <w:tcW w:w="3660" w:type="dxa"/>
            <w:vAlign w:val="bottom"/>
          </w:tcPr>
          <w:p>
            <w:pPr>
              <w:ind w:left="20"/>
              <w:spacing w:after="0"/>
              <w:rPr>
                <w:sz w:val="20"/>
                <w:szCs w:val="20"/>
                <w:color w:val="auto"/>
              </w:rPr>
            </w:pPr>
            <w:r>
              <w:rPr>
                <w:rFonts w:ascii="Arial" w:cs="Arial" w:eastAsia="Arial" w:hAnsi="Arial"/>
                <w:sz w:val="18"/>
                <w:szCs w:val="18"/>
                <w:color w:val="auto"/>
              </w:rPr>
              <w:t>Date: November 5, 2021</w:t>
            </w:r>
          </w:p>
        </w:tc>
        <w:tc>
          <w:tcPr>
            <w:tcW w:w="7580" w:type="dxa"/>
            <w:vAlign w:val="bottom"/>
            <w:gridSpan w:val="2"/>
          </w:tcPr>
          <w:p>
            <w:pPr>
              <w:ind w:left="2040"/>
              <w:spacing w:after="0"/>
              <w:rPr>
                <w:sz w:val="20"/>
                <w:szCs w:val="20"/>
                <w:color w:val="auto"/>
              </w:rPr>
            </w:pPr>
            <w:r>
              <w:rPr>
                <w:rFonts w:ascii="Arial" w:cs="Arial" w:eastAsia="Arial" w:hAnsi="Arial"/>
                <w:sz w:val="18"/>
                <w:szCs w:val="18"/>
                <w:color w:val="auto"/>
              </w:rPr>
              <w:t>By: /s/ GARY S. BARANCIK</w:t>
            </w:r>
          </w:p>
        </w:tc>
      </w:tr>
      <w:tr>
        <w:trPr>
          <w:trHeight w:val="234"/>
        </w:trPr>
        <w:tc>
          <w:tcPr>
            <w:tcW w:w="36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2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Gary S. Barancik</w:t>
            </w:r>
          </w:p>
        </w:tc>
      </w:tr>
      <w:tr>
        <w:trPr>
          <w:trHeight w:val="238"/>
        </w:trPr>
        <w:tc>
          <w:tcPr>
            <w:tcW w:w="36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Arial" w:cs="Arial" w:eastAsia="Arial" w:hAnsi="Arial"/>
                <w:sz w:val="18"/>
                <w:szCs w:val="18"/>
                <w:b w:val="1"/>
                <w:bCs w:val="1"/>
                <w:color w:val="auto"/>
              </w:rPr>
              <w:t>Chief Financial Officer</w:t>
            </w:r>
          </w:p>
        </w:tc>
      </w:tr>
      <w:tr>
        <w:trPr>
          <w:trHeight w:val="243"/>
        </w:trPr>
        <w:tc>
          <w:tcPr>
            <w:tcW w:w="366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522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w:t>
            </w:r>
          </w:p>
        </w:tc>
      </w:tr>
      <w:tr>
        <w:trPr>
          <w:trHeight w:val="688"/>
        </w:trPr>
        <w:tc>
          <w:tcPr>
            <w:tcW w:w="3660" w:type="dxa"/>
            <w:vAlign w:val="bottom"/>
          </w:tcPr>
          <w:p>
            <w:pPr>
              <w:spacing w:after="0"/>
              <w:rPr>
                <w:sz w:val="24"/>
                <w:szCs w:val="24"/>
                <w:color w:val="auto"/>
              </w:rPr>
            </w:pPr>
          </w:p>
        </w:tc>
        <w:tc>
          <w:tcPr>
            <w:tcW w:w="2360" w:type="dxa"/>
            <w:vAlign w:val="bottom"/>
          </w:tcPr>
          <w:p>
            <w:pPr>
              <w:jc w:val="right"/>
              <w:ind w:right="210"/>
              <w:spacing w:after="0"/>
              <w:rPr>
                <w:sz w:val="20"/>
                <w:szCs w:val="20"/>
                <w:color w:val="auto"/>
              </w:rPr>
            </w:pPr>
            <w:r>
              <w:rPr>
                <w:rFonts w:ascii="Arial" w:cs="Arial" w:eastAsia="Arial" w:hAnsi="Arial"/>
                <w:sz w:val="18"/>
                <w:szCs w:val="18"/>
                <w:color w:val="auto"/>
              </w:rPr>
              <w:t>60</w:t>
            </w:r>
          </w:p>
        </w:tc>
        <w:tc>
          <w:tcPr>
            <w:tcW w:w="5220" w:type="dxa"/>
            <w:vAlign w:val="bottom"/>
          </w:tcPr>
          <w:p>
            <w:pPr>
              <w:spacing w:after="0"/>
              <w:rPr>
                <w:sz w:val="24"/>
                <w:szCs w:val="24"/>
                <w:color w:val="auto"/>
              </w:rPr>
            </w:pPr>
          </w:p>
        </w:tc>
      </w:tr>
      <w:tr>
        <w:trPr>
          <w:trHeight w:val="115"/>
        </w:trPr>
        <w:tc>
          <w:tcPr>
            <w:tcW w:w="3660" w:type="dxa"/>
            <w:vAlign w:val="bottom"/>
            <w:tcBorders>
              <w:bottom w:val="single" w:sz="8" w:color="9A9A9A"/>
            </w:tcBorders>
          </w:tcPr>
          <w:p>
            <w:pPr>
              <w:spacing w:after="0"/>
              <w:rPr>
                <w:sz w:val="10"/>
                <w:szCs w:val="10"/>
                <w:color w:val="auto"/>
              </w:rPr>
            </w:pPr>
          </w:p>
        </w:tc>
        <w:tc>
          <w:tcPr>
            <w:tcW w:w="2360" w:type="dxa"/>
            <w:vAlign w:val="bottom"/>
            <w:tcBorders>
              <w:bottom w:val="single" w:sz="8" w:color="9A9A9A"/>
            </w:tcBorders>
          </w:tcPr>
          <w:p>
            <w:pPr>
              <w:spacing w:after="0"/>
              <w:rPr>
                <w:sz w:val="10"/>
                <w:szCs w:val="10"/>
                <w:color w:val="auto"/>
              </w:rPr>
            </w:pPr>
          </w:p>
        </w:tc>
        <w:tc>
          <w:tcPr>
            <w:tcW w:w="52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2" w:name="page63"/>
    <w:bookmarkEnd w:id="6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o"/>
      <w:numFmt w:val="bullet"/>
      <w:start w:val="1"/>
    </w:lvl>
  </w:abstractNum>
  <w:abstractNum w:abstractNumId="3">
    <w:nsid w:val="4DB127F8"/>
    <w:multiLevelType w:val="hybridMultilevel"/>
    <w:lvl w:ilvl="0">
      <w:lvlJc w:val="left"/>
      <w:lvlText w:val="o"/>
      <w:numFmt w:val="bullet"/>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lowerRoman"/>
      <w:start w:val="3"/>
    </w:lvl>
  </w:abstractNum>
  <w:abstractNum w:abstractNumId="6">
    <w:nsid w:val="1190CDE7"/>
    <w:multiLevelType w:val="hybridMultilevel"/>
    <w:lvl w:ilvl="0">
      <w:lvlJc w:val="left"/>
      <w:lvlText w:val="(%1)"/>
      <w:numFmt w:val="lowerRoman"/>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endash "/>
      <w:numFmt w:val="bullet"/>
      <w:start w:val="1"/>
    </w:lvl>
  </w:abstractNum>
  <w:abstractNum w:abstractNumId="13">
    <w:nsid w:val="1BEFD79F"/>
    <w:multiLevelType w:val="hybridMultilevel"/>
    <w:lvl w:ilvl="0">
      <w:lvlJc w:val="left"/>
      <w:lvlText w:val="*"/>
      <w:numFmt w:val="bullet"/>
      <w:start w:val="1"/>
    </w:lvl>
    <w:lvl w:ilvl="1">
      <w:lvlJc w:val="left"/>
      <w:lvlText w:val="%2"/>
      <w:numFmt w:val="decimal"/>
      <w:start w:val="104"/>
    </w:lvl>
  </w:abstractNum>
  <w:abstractNum w:abstractNumId="14">
    <w:nsid w:val="41A7C4C9"/>
    <w:multiLevelType w:val="hybridMultilevel"/>
    <w:lvl w:ilvl="0">
      <w:lvlJc w:val="left"/>
      <w:lvlText w:val="**"/>
      <w:numFmt w:val="bullet"/>
      <w:start w:val="1"/>
    </w:lvl>
    <w:lvl w:ilvl="1">
      <w:lvlJc w:val="left"/>
      <w:lvlText w:val="%2"/>
      <w:numFmt w:val="decimal"/>
      <w:start w:val="1"/>
    </w:lvl>
  </w:abstractNum>
  <w:abstractNum w:abstractNumId="15">
    <w:nsid w:val="6B68079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pn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png"/><Relationship Id="rId220" Type="http://schemas.openxmlformats.org/officeDocument/2006/relationships/image" Target="media/image212.png"/><Relationship Id="rId221" Type="http://schemas.openxmlformats.org/officeDocument/2006/relationships/image" Target="media/image213.png"/><Relationship Id="rId222" Type="http://schemas.openxmlformats.org/officeDocument/2006/relationships/image" Target="media/image214.png"/><Relationship Id="rId223" Type="http://schemas.openxmlformats.org/officeDocument/2006/relationships/image" Target="media/image215.png"/><Relationship Id="rId224" Type="http://schemas.openxmlformats.org/officeDocument/2006/relationships/image" Target="media/image216.png"/><Relationship Id="rId225" Type="http://schemas.openxmlformats.org/officeDocument/2006/relationships/image" Target="media/image217.png"/><Relationship Id="rId226" Type="http://schemas.openxmlformats.org/officeDocument/2006/relationships/image" Target="media/image218.png"/><Relationship Id="rId227" Type="http://schemas.openxmlformats.org/officeDocument/2006/relationships/image" Target="media/image219.png"/><Relationship Id="rId228" Type="http://schemas.openxmlformats.org/officeDocument/2006/relationships/image" Target="media/image220.png"/><Relationship Id="rId229" Type="http://schemas.openxmlformats.org/officeDocument/2006/relationships/image" Target="media/image221.png"/><Relationship Id="rId230" Type="http://schemas.openxmlformats.org/officeDocument/2006/relationships/image" Target="media/image222.png"/><Relationship Id="rId231" Type="http://schemas.openxmlformats.org/officeDocument/2006/relationships/image" Target="media/image223.png"/><Relationship Id="rId232" Type="http://schemas.openxmlformats.org/officeDocument/2006/relationships/image" Target="media/image224.png"/><Relationship Id="rId233" Type="http://schemas.openxmlformats.org/officeDocument/2006/relationships/image" Target="media/image225.png"/><Relationship Id="rId234" Type="http://schemas.openxmlformats.org/officeDocument/2006/relationships/image" Target="media/image226.png"/><Relationship Id="rId235" Type="http://schemas.openxmlformats.org/officeDocument/2006/relationships/image" Target="media/image227.png"/><Relationship Id="rId236" Type="http://schemas.openxmlformats.org/officeDocument/2006/relationships/image" Target="media/image228.png"/><Relationship Id="rId237" Type="http://schemas.openxmlformats.org/officeDocument/2006/relationships/image" Target="media/image229.png"/><Relationship Id="rId238" Type="http://schemas.openxmlformats.org/officeDocument/2006/relationships/image" Target="media/image230.png"/><Relationship Id="rId239" Type="http://schemas.openxmlformats.org/officeDocument/2006/relationships/image" Target="media/image231.png"/><Relationship Id="rId240" Type="http://schemas.openxmlformats.org/officeDocument/2006/relationships/image" Target="media/image232.png"/><Relationship Id="rId241" Type="http://schemas.openxmlformats.org/officeDocument/2006/relationships/image" Target="media/image233.png"/><Relationship Id="rId242" Type="http://schemas.openxmlformats.org/officeDocument/2006/relationships/image" Target="media/image234.png"/><Relationship Id="rId243" Type="http://schemas.openxmlformats.org/officeDocument/2006/relationships/image" Target="media/image235.png"/><Relationship Id="rId244" Type="http://schemas.openxmlformats.org/officeDocument/2006/relationships/image" Target="media/image236.png"/><Relationship Id="rId245" Type="http://schemas.openxmlformats.org/officeDocument/2006/relationships/image" Target="media/image237.png"/><Relationship Id="rId246" Type="http://schemas.openxmlformats.org/officeDocument/2006/relationships/image" Target="media/image238.png"/><Relationship Id="rId247" Type="http://schemas.openxmlformats.org/officeDocument/2006/relationships/image" Target="media/image239.png"/><Relationship Id="rId248" Type="http://schemas.openxmlformats.org/officeDocument/2006/relationships/image" Target="media/image240.png"/><Relationship Id="rId249" Type="http://schemas.openxmlformats.org/officeDocument/2006/relationships/image" Target="media/image241.png"/><Relationship Id="rId250" Type="http://schemas.openxmlformats.org/officeDocument/2006/relationships/image" Target="media/image242.png"/><Relationship Id="rId251" Type="http://schemas.openxmlformats.org/officeDocument/2006/relationships/image" Target="media/image243.png"/><Relationship Id="rId252" Type="http://schemas.openxmlformats.org/officeDocument/2006/relationships/image" Target="media/image244.png"/><Relationship Id="rId253" Type="http://schemas.openxmlformats.org/officeDocument/2006/relationships/image" Target="media/image245.png"/><Relationship Id="rId254" Type="http://schemas.openxmlformats.org/officeDocument/2006/relationships/image" Target="media/image246.png"/><Relationship Id="rId255" Type="http://schemas.openxmlformats.org/officeDocument/2006/relationships/image" Target="media/image247.png"/><Relationship Id="rId256" Type="http://schemas.openxmlformats.org/officeDocument/2006/relationships/image" Target="media/image248.png"/><Relationship Id="rId257" Type="http://schemas.openxmlformats.org/officeDocument/2006/relationships/image" Target="media/image249.png"/><Relationship Id="rId258" Type="http://schemas.openxmlformats.org/officeDocument/2006/relationships/image" Target="media/image250.png"/><Relationship Id="rId259" Type="http://schemas.openxmlformats.org/officeDocument/2006/relationships/image" Target="media/image251.png"/><Relationship Id="rId260" Type="http://schemas.openxmlformats.org/officeDocument/2006/relationships/image" Target="media/image252.png"/><Relationship Id="rId261" Type="http://schemas.openxmlformats.org/officeDocument/2006/relationships/image" Target="media/image253.png"/><Relationship Id="rId262" Type="http://schemas.openxmlformats.org/officeDocument/2006/relationships/image" Target="media/image254.png"/><Relationship Id="rId263" Type="http://schemas.openxmlformats.org/officeDocument/2006/relationships/image" Target="media/image255.png"/><Relationship Id="rId264" Type="http://schemas.openxmlformats.org/officeDocument/2006/relationships/image" Target="media/image256.png"/><Relationship Id="rId265" Type="http://schemas.openxmlformats.org/officeDocument/2006/relationships/image" Target="media/image257.png"/><Relationship Id="rId266" Type="http://schemas.openxmlformats.org/officeDocument/2006/relationships/image" Target="media/image258.png"/><Relationship Id="rId267" Type="http://schemas.openxmlformats.org/officeDocument/2006/relationships/image" Target="media/image259.png"/><Relationship Id="rId268" Type="http://schemas.openxmlformats.org/officeDocument/2006/relationships/image" Target="media/image260.png"/><Relationship Id="rId269" Type="http://schemas.openxmlformats.org/officeDocument/2006/relationships/image" Target="media/image261.png"/><Relationship Id="rId270" Type="http://schemas.openxmlformats.org/officeDocument/2006/relationships/image" Target="media/image262.png"/><Relationship Id="rId271" Type="http://schemas.openxmlformats.org/officeDocument/2006/relationships/image" Target="media/image263.png"/><Relationship Id="rId272" Type="http://schemas.openxmlformats.org/officeDocument/2006/relationships/image" Target="media/image264.png"/><Relationship Id="rId273" Type="http://schemas.openxmlformats.org/officeDocument/2006/relationships/image" Target="media/image265.png"/><Relationship Id="rId274" Type="http://schemas.openxmlformats.org/officeDocument/2006/relationships/image" Target="media/image266.png"/><Relationship Id="rId275" Type="http://schemas.openxmlformats.org/officeDocument/2006/relationships/image" Target="media/image267.png"/><Relationship Id="rId276" Type="http://schemas.openxmlformats.org/officeDocument/2006/relationships/image" Target="media/image268.png"/><Relationship Id="rId277" Type="http://schemas.openxmlformats.org/officeDocument/2006/relationships/image" Target="media/image269.png"/><Relationship Id="rId278" Type="http://schemas.openxmlformats.org/officeDocument/2006/relationships/image" Target="media/image270.png"/><Relationship Id="rId279" Type="http://schemas.openxmlformats.org/officeDocument/2006/relationships/image" Target="media/image271.png"/><Relationship Id="rId280" Type="http://schemas.openxmlformats.org/officeDocument/2006/relationships/image" Target="media/image272.png"/><Relationship Id="rId281" Type="http://schemas.openxmlformats.org/officeDocument/2006/relationships/image" Target="media/image273.png"/><Relationship Id="rId282" Type="http://schemas.openxmlformats.org/officeDocument/2006/relationships/image" Target="media/image274.png"/><Relationship Id="rId283" Type="http://schemas.openxmlformats.org/officeDocument/2006/relationships/image" Target="media/image275.png"/><Relationship Id="rId284" Type="http://schemas.openxmlformats.org/officeDocument/2006/relationships/image" Target="media/image276.png"/><Relationship Id="rId285" Type="http://schemas.openxmlformats.org/officeDocument/2006/relationships/image" Target="media/image277.png"/><Relationship Id="rId9" Type="http://schemas.openxmlformats.org/officeDocument/2006/relationships/hyperlink" Target="https://www.sec.gov/Archives/edgar/data/1777835/000119312521224486/d185200d424b3.htm#toc185200_1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2021-11-05T15:37:46Z</dcterms:created>
  <dcterms:modified xsi:type="dcterms:W3CDTF">2021-11-05T15:37:46Z</dcterms:modified>
</cp:coreProperties>
</file>