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570865</wp:posOffset>
            </wp:positionV>
            <wp:extent cx="690372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3720" cy="165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603885</wp:posOffset>
            </wp:positionV>
            <wp:extent cx="690372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3720" cy="16510"/>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1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1090"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117475</wp:posOffset>
            </wp:positionV>
            <wp:extent cx="6181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109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27,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129540</wp:posOffset>
            </wp:positionV>
            <wp:extent cx="6181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109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PERELLA WEINBERG PARTNERS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81280</wp:posOffset>
            </wp:positionV>
            <wp:extent cx="6181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109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tbl>
      <w:tblPr>
        <w:tblLayout w:type="fixed"/>
        <w:tblInd w:w="1080" w:type="dxa"/>
        <w:tblCellMar>
          <w:top w:w="0" w:type="dxa"/>
          <w:left w:w="0" w:type="dxa"/>
          <w:bottom w:w="0" w:type="dxa"/>
          <w:right w:w="0" w:type="dxa"/>
        </w:tblCellMar>
      </w:tblPr>
      <w:tr>
        <w:trPr>
          <w:trHeight w:val="223"/>
        </w:trPr>
        <w:tc>
          <w:tcPr>
            <w:tcW w:w="4720" w:type="dxa"/>
            <w:vAlign w:val="bottom"/>
          </w:tcPr>
          <w:p>
            <w:pPr>
              <w:jc w:val="center"/>
              <w:ind w:right="146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420" w:type="dxa"/>
            <w:vAlign w:val="bottom"/>
          </w:tcPr>
          <w:p>
            <w:pPr>
              <w:jc w:val="right"/>
              <w:ind w:right="446"/>
              <w:spacing w:after="0"/>
              <w:rPr>
                <w:sz w:val="20"/>
                <w:szCs w:val="20"/>
                <w:color w:val="auto"/>
              </w:rPr>
            </w:pPr>
            <w:r>
              <w:rPr>
                <w:rFonts w:ascii="Times New Roman" w:cs="Times New Roman" w:eastAsia="Times New Roman" w:hAnsi="Times New Roman"/>
                <w:sz w:val="17"/>
                <w:szCs w:val="17"/>
                <w:b w:val="1"/>
                <w:bCs w:val="1"/>
                <w:color w:val="auto"/>
              </w:rPr>
              <w:t>84-1770732</w:t>
            </w:r>
          </w:p>
        </w:tc>
        <w:tc>
          <w:tcPr>
            <w:tcW w:w="0" w:type="dxa"/>
            <w:vAlign w:val="bottom"/>
          </w:tcPr>
          <w:p>
            <w:pPr>
              <w:spacing w:after="0"/>
              <w:rPr>
                <w:sz w:val="1"/>
                <w:szCs w:val="1"/>
                <w:color w:val="auto"/>
              </w:rPr>
            </w:pPr>
          </w:p>
        </w:tc>
      </w:tr>
      <w:tr>
        <w:trPr>
          <w:trHeight w:val="174"/>
        </w:trPr>
        <w:tc>
          <w:tcPr>
            <w:tcW w:w="4720" w:type="dxa"/>
            <w:vAlign w:val="bottom"/>
          </w:tcPr>
          <w:p>
            <w:pPr>
              <w:jc w:val="center"/>
              <w:ind w:right="1463"/>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 or organization)</w:t>
            </w:r>
          </w:p>
        </w:tc>
        <w:tc>
          <w:tcPr>
            <w:tcW w:w="3420" w:type="dxa"/>
            <w:vAlign w:val="bottom"/>
          </w:tcPr>
          <w:p>
            <w:pPr>
              <w:jc w:val="center"/>
              <w:ind w:left="1486"/>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52"/>
        </w:trPr>
        <w:tc>
          <w:tcPr>
            <w:tcW w:w="4720" w:type="dxa"/>
            <w:vAlign w:val="bottom"/>
          </w:tcPr>
          <w:p>
            <w:pPr>
              <w:jc w:val="center"/>
              <w:ind w:right="1463"/>
              <w:spacing w:after="0"/>
              <w:rPr>
                <w:sz w:val="20"/>
                <w:szCs w:val="20"/>
                <w:color w:val="auto"/>
              </w:rPr>
            </w:pPr>
            <w:r>
              <w:rPr>
                <w:rFonts w:ascii="Times New Roman" w:cs="Times New Roman" w:eastAsia="Times New Roman" w:hAnsi="Times New Roman"/>
                <w:sz w:val="17"/>
                <w:szCs w:val="17"/>
                <w:b w:val="1"/>
                <w:bCs w:val="1"/>
                <w:color w:val="auto"/>
              </w:rPr>
              <w:t>767 Fifth Avenue</w:t>
            </w:r>
          </w:p>
        </w:tc>
        <w:tc>
          <w:tcPr>
            <w:tcW w:w="3420" w:type="dxa"/>
            <w:vAlign w:val="bottom"/>
            <w:vMerge w:val="restart"/>
          </w:tcPr>
          <w:p>
            <w:pPr>
              <w:jc w:val="right"/>
              <w:ind w:right="646"/>
              <w:spacing w:after="0"/>
              <w:rPr>
                <w:sz w:val="20"/>
                <w:szCs w:val="20"/>
                <w:color w:val="auto"/>
              </w:rPr>
            </w:pPr>
            <w:r>
              <w:rPr>
                <w:rFonts w:ascii="Times New Roman" w:cs="Times New Roman" w:eastAsia="Times New Roman" w:hAnsi="Times New Roman"/>
                <w:sz w:val="17"/>
                <w:szCs w:val="17"/>
                <w:b w:val="1"/>
                <w:bCs w:val="1"/>
                <w:color w:val="auto"/>
              </w:rPr>
              <w:t>10153</w:t>
            </w:r>
          </w:p>
        </w:tc>
        <w:tc>
          <w:tcPr>
            <w:tcW w:w="0" w:type="dxa"/>
            <w:vAlign w:val="bottom"/>
          </w:tcPr>
          <w:p>
            <w:pPr>
              <w:spacing w:after="0"/>
              <w:rPr>
                <w:sz w:val="1"/>
                <w:szCs w:val="1"/>
                <w:color w:val="auto"/>
              </w:rPr>
            </w:pPr>
          </w:p>
        </w:tc>
      </w:tr>
      <w:tr>
        <w:trPr>
          <w:trHeight w:val="228"/>
        </w:trPr>
        <w:tc>
          <w:tcPr>
            <w:tcW w:w="4720" w:type="dxa"/>
            <w:vAlign w:val="bottom"/>
          </w:tcPr>
          <w:p>
            <w:pPr>
              <w:jc w:val="center"/>
              <w:ind w:right="1483"/>
              <w:spacing w:after="0"/>
              <w:rPr>
                <w:sz w:val="20"/>
                <w:szCs w:val="20"/>
                <w:color w:val="auto"/>
              </w:rPr>
            </w:pPr>
            <w:r>
              <w:rPr>
                <w:rFonts w:ascii="Times New Roman" w:cs="Times New Roman" w:eastAsia="Times New Roman" w:hAnsi="Times New Roman"/>
                <w:sz w:val="17"/>
                <w:szCs w:val="17"/>
                <w:b w:val="1"/>
                <w:bCs w:val="1"/>
                <w:color w:val="auto"/>
              </w:rPr>
              <w:t>New York, NY</w:t>
            </w:r>
          </w:p>
        </w:tc>
        <w:tc>
          <w:tcPr>
            <w:tcW w:w="3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20" w:type="dxa"/>
            <w:vAlign w:val="bottom"/>
          </w:tcPr>
          <w:p>
            <w:pPr>
              <w:jc w:val="center"/>
              <w:ind w:right="1463"/>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3420" w:type="dxa"/>
            <w:vAlign w:val="bottom"/>
          </w:tcPr>
          <w:p>
            <w:pPr>
              <w:jc w:val="center"/>
              <w:ind w:left="1466"/>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bl>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287-3200</w:t>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22" w:lineRule="exact"/>
        <w:rPr>
          <w:sz w:val="24"/>
          <w:szCs w:val="24"/>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660" w:hanging="638"/>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660" w:hanging="638"/>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44" w:lineRule="exact"/>
        <w:rPr>
          <w:rFonts w:ascii="MS PGothic" w:cs="MS PGothic" w:eastAsia="MS PGothic" w:hAnsi="MS PGothic"/>
          <w:sz w:val="17"/>
          <w:szCs w:val="17"/>
          <w:color w:val="auto"/>
        </w:rPr>
      </w:pPr>
    </w:p>
    <w:p>
      <w:pPr>
        <w:ind w:left="660" w:hanging="638"/>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44" w:lineRule="exact"/>
        <w:rPr>
          <w:rFonts w:ascii="MS PGothic" w:cs="MS PGothic" w:eastAsia="MS PGothic" w:hAnsi="MS PGothic"/>
          <w:sz w:val="17"/>
          <w:szCs w:val="17"/>
          <w:color w:val="auto"/>
        </w:rPr>
      </w:pPr>
    </w:p>
    <w:p>
      <w:pPr>
        <w:ind w:left="660" w:hanging="638"/>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580" w:type="dxa"/>
            <w:vAlign w:val="bottom"/>
          </w:tcPr>
          <w:p>
            <w:pPr>
              <w:spacing w:after="0"/>
              <w:rPr>
                <w:sz w:val="17"/>
                <w:szCs w:val="17"/>
                <w:color w:val="auto"/>
              </w:rPr>
            </w:pPr>
          </w:p>
        </w:tc>
        <w:tc>
          <w:tcPr>
            <w:tcW w:w="406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7"/>
                <w:szCs w:val="17"/>
                <w:color w:val="auto"/>
              </w:rPr>
            </w:pPr>
          </w:p>
        </w:tc>
      </w:tr>
      <w:tr>
        <w:trPr>
          <w:trHeight w:val="44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1"/>
        </w:trPr>
        <w:tc>
          <w:tcPr>
            <w:tcW w:w="3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2"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0"/>
        <w:spacing w:after="0" w:line="196" w:lineRule="exact"/>
        <w:tabs>
          <w:tab w:leader="none" w:pos="362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3"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717550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6903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6903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825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5.07 Submission of Matters to a Vote of Security Holders.</w:t>
      </w:r>
    </w:p>
    <w:p>
      <w:pPr>
        <w:spacing w:after="0" w:line="23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At the 2026 Annual Meeting of Stockholders (the “Annual Meeting”) held on May 27, 2026, the stockholders of Perella Weinberg Partners (the “Company”) voted on the matters described below.</w:t>
      </w:r>
    </w:p>
    <w:p>
      <w:pPr>
        <w:spacing w:after="0" w:line="172" w:lineRule="exact"/>
        <w:rPr>
          <w:sz w:val="20"/>
          <w:szCs w:val="20"/>
          <w:color w:val="auto"/>
        </w:rPr>
      </w:pPr>
    </w:p>
    <w:p>
      <w:pPr>
        <w:ind w:left="640" w:hanging="321"/>
        <w:spacing w:after="0" w:line="280"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stockholders elected three Class II directors, each of whom will hold office until the 2029 annual meeting of stockholders, and until his or her respective successor has been duly elected and qualified, based on the following votes:</w:t>
      </w:r>
    </w:p>
    <w:p>
      <w:pPr>
        <w:spacing w:after="0" w:line="191"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2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w:t>
            </w:r>
          </w:p>
        </w:tc>
        <w:tc>
          <w:tcPr>
            <w:tcW w:w="1060" w:type="dxa"/>
            <w:vAlign w:val="bottom"/>
            <w:gridSpan w:val="2"/>
          </w:tcPr>
          <w:p>
            <w:pPr>
              <w:spacing w:after="0"/>
              <w:rPr>
                <w:sz w:val="17"/>
                <w:szCs w:val="17"/>
                <w:color w:val="auto"/>
              </w:rPr>
            </w:pPr>
          </w:p>
        </w:tc>
        <w:tc>
          <w:tcPr>
            <w:tcW w:w="2200" w:type="dxa"/>
            <w:vAlign w:val="bottom"/>
            <w:gridSpan w:val="4"/>
          </w:tcPr>
          <w:p>
            <w:pPr>
              <w:ind w:left="520"/>
              <w:spacing w:after="0"/>
              <w:rPr>
                <w:sz w:val="20"/>
                <w:szCs w:val="20"/>
                <w:color w:val="auto"/>
              </w:rPr>
            </w:pPr>
            <w:r>
              <w:rPr>
                <w:rFonts w:ascii="Times New Roman" w:cs="Times New Roman" w:eastAsia="Times New Roman" w:hAnsi="Times New Roman"/>
                <w:sz w:val="17"/>
                <w:szCs w:val="17"/>
                <w:color w:val="auto"/>
              </w:rPr>
              <w:t>WITHHELD</w:t>
            </w:r>
          </w:p>
        </w:tc>
        <w:tc>
          <w:tcPr>
            <w:tcW w:w="14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BROKER NON-VOTE</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Robert K. Steel</w:t>
            </w: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720" w:type="dxa"/>
            <w:vAlign w:val="bottom"/>
            <w:vMerge w:val="continue"/>
          </w:tcPr>
          <w:p>
            <w:pPr>
              <w:spacing w:after="0"/>
              <w:rPr>
                <w:sz w:val="24"/>
                <w:szCs w:val="2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239,179,543</w:t>
            </w:r>
          </w:p>
        </w:tc>
        <w:tc>
          <w:tcPr>
            <w:tcW w:w="280" w:type="dxa"/>
            <w:vAlign w:val="bottom"/>
          </w:tcPr>
          <w:p>
            <w:pPr>
              <w:spacing w:after="0"/>
              <w:rPr>
                <w:sz w:val="24"/>
                <w:szCs w:val="24"/>
                <w:color w:val="auto"/>
              </w:rPr>
            </w:pPr>
          </w:p>
        </w:tc>
        <w:tc>
          <w:tcPr>
            <w:tcW w:w="144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7"/>
                <w:szCs w:val="17"/>
                <w:color w:val="auto"/>
              </w:rPr>
              <w:t>36,334,017</w:t>
            </w: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Borders>
              <w:bottom w:val="single" w:sz="8" w:color="auto"/>
            </w:tcBorders>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3,554,635</w:t>
            </w: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R. Edwin Bennet</w:t>
            </w: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270,876,227</w:t>
            </w:r>
          </w:p>
        </w:tc>
        <w:tc>
          <w:tcPr>
            <w:tcW w:w="280" w:type="dxa"/>
            <w:vAlign w:val="bottom"/>
          </w:tcPr>
          <w:p>
            <w:pPr>
              <w:spacing w:after="0"/>
              <w:rPr>
                <w:sz w:val="19"/>
                <w:szCs w:val="19"/>
                <w:color w:val="auto"/>
              </w:rPr>
            </w:pPr>
          </w:p>
        </w:tc>
        <w:tc>
          <w:tcPr>
            <w:tcW w:w="144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7"/>
                <w:szCs w:val="17"/>
                <w:color w:val="auto"/>
              </w:rPr>
              <w:t>4,637,333</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3,554,635</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Houda Dabboussi</w:t>
            </w: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271,070,604</w:t>
            </w:r>
          </w:p>
        </w:tc>
        <w:tc>
          <w:tcPr>
            <w:tcW w:w="280" w:type="dxa"/>
            <w:vAlign w:val="bottom"/>
          </w:tcPr>
          <w:p>
            <w:pPr>
              <w:spacing w:after="0"/>
              <w:rPr>
                <w:sz w:val="19"/>
                <w:szCs w:val="19"/>
                <w:color w:val="auto"/>
              </w:rPr>
            </w:pPr>
          </w:p>
        </w:tc>
        <w:tc>
          <w:tcPr>
            <w:tcW w:w="144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7"/>
                <w:szCs w:val="17"/>
                <w:color w:val="auto"/>
              </w:rPr>
              <w:t>4,442,956</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3,554,635</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40" w:right="140" w:hanging="321"/>
        <w:spacing w:after="0" w:line="280"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stockholders ratified the appointment of Ernst &amp; Young, LLP as the Company’s independent registered public accounting firm for the fiscal year ending December 31, 2026, based on the following votes: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w:t>
            </w:r>
          </w:p>
        </w:tc>
        <w:tc>
          <w:tcPr>
            <w:tcW w:w="16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w:t>
            </w:r>
          </w:p>
        </w:tc>
        <w:tc>
          <w:tcPr>
            <w:tcW w:w="14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gridSpan w:val="3"/>
          </w:tcPr>
          <w:p>
            <w:pPr>
              <w:jc w:val="center"/>
              <w:ind w:right="2040"/>
              <w:spacing w:after="0"/>
              <w:rPr>
                <w:sz w:val="20"/>
                <w:szCs w:val="20"/>
                <w:color w:val="auto"/>
              </w:rPr>
            </w:pPr>
            <w:r>
              <w:rPr>
                <w:rFonts w:ascii="Times New Roman" w:cs="Times New Roman" w:eastAsia="Times New Roman" w:hAnsi="Times New Roman"/>
                <w:sz w:val="17"/>
                <w:szCs w:val="17"/>
                <w:color w:val="auto"/>
              </w:rPr>
              <w:t>ABSTAIN</w:t>
            </w:r>
          </w:p>
        </w:tc>
      </w:tr>
      <w:tr>
        <w:trPr>
          <w:trHeight w:val="20"/>
        </w:trPr>
        <w:tc>
          <w:tcPr>
            <w:tcW w:w="22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8"/>
        </w:trPr>
        <w:tc>
          <w:tcPr>
            <w:tcW w:w="3820" w:type="dxa"/>
            <w:vAlign w:val="bottom"/>
            <w:gridSpan w:val="4"/>
          </w:tcPr>
          <w:p>
            <w:pPr>
              <w:jc w:val="right"/>
              <w:ind w:right="980"/>
              <w:spacing w:after="0"/>
              <w:rPr>
                <w:sz w:val="20"/>
                <w:szCs w:val="20"/>
                <w:color w:val="auto"/>
              </w:rPr>
            </w:pPr>
            <w:r>
              <w:rPr>
                <w:rFonts w:ascii="Times New Roman" w:cs="Times New Roman" w:eastAsia="Times New Roman" w:hAnsi="Times New Roman"/>
                <w:sz w:val="17"/>
                <w:szCs w:val="17"/>
                <w:color w:val="auto"/>
              </w:rPr>
              <w:t>278,129,040</w:t>
            </w:r>
          </w:p>
        </w:tc>
        <w:tc>
          <w:tcPr>
            <w:tcW w:w="380" w:type="dxa"/>
            <w:vAlign w:val="bottom"/>
          </w:tcPr>
          <w:p>
            <w:pPr>
              <w:spacing w:after="0"/>
              <w:rPr>
                <w:sz w:val="23"/>
                <w:szCs w:val="23"/>
                <w:color w:val="auto"/>
              </w:rPr>
            </w:pPr>
          </w:p>
        </w:tc>
        <w:tc>
          <w:tcPr>
            <w:tcW w:w="18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937,668</w:t>
            </w: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1,487</w:t>
            </w: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059"/>
        </w:trPr>
        <w:tc>
          <w:tcPr>
            <w:tcW w:w="980" w:type="dxa"/>
            <w:vAlign w:val="bottom"/>
            <w:tcBorders>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64" w:lineRule="exact"/>
        <w:rPr>
          <w:sz w:val="20"/>
          <w:szCs w:val="20"/>
          <w:color w:val="auto"/>
        </w:rPr>
      </w:pPr>
    </w:p>
    <w:p>
      <w:pPr>
        <w:ind w:right="660" w:firstLine="628"/>
        <w:spacing w:after="0" w:line="32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19"/>
                <w:szCs w:val="19"/>
                <w:color w:val="auto"/>
              </w:rPr>
            </w:pPr>
          </w:p>
        </w:tc>
        <w:tc>
          <w:tcPr>
            <w:tcW w:w="7080" w:type="dxa"/>
            <w:vAlign w:val="bottom"/>
            <w:gridSpan w:val="2"/>
          </w:tcPr>
          <w:p>
            <w:pPr>
              <w:ind w:left="2740"/>
              <w:spacing w:after="0"/>
              <w:rPr>
                <w:sz w:val="20"/>
                <w:szCs w:val="20"/>
                <w:color w:val="auto"/>
              </w:rPr>
            </w:pPr>
            <w:r>
              <w:rPr>
                <w:rFonts w:ascii="Times New Roman" w:cs="Times New Roman" w:eastAsia="Times New Roman" w:hAnsi="Times New Roman"/>
                <w:sz w:val="17"/>
                <w:szCs w:val="17"/>
                <w:color w:val="auto"/>
              </w:rPr>
              <w:t>PERELLA WEINBERG PARTNERS</w:t>
            </w:r>
          </w:p>
        </w:tc>
      </w:tr>
      <w:tr>
        <w:trPr>
          <w:trHeight w:val="497"/>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Date: May 28, 2026</w:t>
            </w:r>
          </w:p>
        </w:tc>
        <w:tc>
          <w:tcPr>
            <w:tcW w:w="338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Alexandra Gottschalk</w:t>
            </w:r>
          </w:p>
        </w:tc>
      </w:tr>
      <w:tr>
        <w:trPr>
          <w:trHeight w:val="27"/>
        </w:trPr>
        <w:tc>
          <w:tcPr>
            <w:tcW w:w="4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9"/>
        </w:trPr>
        <w:tc>
          <w:tcPr>
            <w:tcW w:w="4140" w:type="dxa"/>
            <w:vAlign w:val="bottom"/>
          </w:tcPr>
          <w:p>
            <w:pPr>
              <w:spacing w:after="0"/>
              <w:rPr>
                <w:sz w:val="21"/>
                <w:szCs w:val="21"/>
                <w:color w:val="auto"/>
              </w:rPr>
            </w:pPr>
          </w:p>
        </w:tc>
        <w:tc>
          <w:tcPr>
            <w:tcW w:w="338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Alexandra Gottschalk</w:t>
            </w:r>
          </w:p>
        </w:tc>
      </w:tr>
      <w:tr>
        <w:trPr>
          <w:trHeight w:val="240"/>
        </w:trPr>
        <w:tc>
          <w:tcPr>
            <w:tcW w:w="4140" w:type="dxa"/>
            <w:vAlign w:val="bottom"/>
          </w:tcPr>
          <w:p>
            <w:pPr>
              <w:spacing w:after="0"/>
              <w:rPr>
                <w:sz w:val="20"/>
                <w:szCs w:val="20"/>
                <w:color w:val="auto"/>
              </w:rPr>
            </w:pPr>
          </w:p>
        </w:tc>
        <w:tc>
          <w:tcPr>
            <w:tcW w:w="338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Chief Operating Officer</w:t>
            </w:r>
          </w:p>
        </w:tc>
      </w:tr>
    </w:tbl>
    <w:p>
      <w:pPr>
        <w:spacing w:after="0" w:line="1" w:lineRule="exact"/>
        <w:rPr>
          <w:sz w:val="20"/>
          <w:szCs w:val="20"/>
          <w:color w:val="auto"/>
        </w:rPr>
      </w:pPr>
    </w:p>
    <w:sectPr>
      <w:pgSz w:w="11900" w:h="16838" w:orient="portrait"/>
      <w:cols w:equalWidth="0" w:num="1">
        <w:col w:w="11240"/>
      </w:cols>
      <w:pgMar w:left="320" w:top="7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2026-05-29T05:10:53Z</dcterms:created>
  <dcterms:modified xsi:type="dcterms:W3CDTF">2026-05-29T05:10:53Z</dcterms:modified>
</cp:coreProperties>
</file>