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00"/>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397510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423545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118"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61" w:lineRule="exact"/>
        <w:rPr>
          <w:sz w:val="24"/>
          <w:szCs w:val="24"/>
          <w:color w:val="auto"/>
        </w:rPr>
      </w:pPr>
    </w:p>
    <w:p>
      <w:pPr>
        <w:ind w:left="452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0" w:lineRule="exact"/>
        <w:rPr>
          <w:sz w:val="24"/>
          <w:szCs w:val="24"/>
          <w:color w:val="auto"/>
        </w:rPr>
      </w:pPr>
    </w:p>
    <w:p>
      <w:pPr>
        <w:spacing w:after="0" w:line="368" w:lineRule="exact"/>
        <w:rPr>
          <w:sz w:val="24"/>
          <w:szCs w:val="24"/>
          <w:color w:val="auto"/>
        </w:rPr>
      </w:pPr>
    </w:p>
    <w:p>
      <w:pPr>
        <w:ind w:left="4420"/>
        <w:spacing w:after="0"/>
        <w:rPr>
          <w:sz w:val="20"/>
          <w:szCs w:val="20"/>
          <w:color w:val="auto"/>
        </w:rPr>
      </w:pPr>
      <w:r>
        <w:rPr>
          <w:rFonts w:ascii="Times New Roman" w:cs="Times New Roman" w:eastAsia="Times New Roman" w:hAnsi="Times New Roman"/>
          <w:sz w:val="32"/>
          <w:szCs w:val="32"/>
          <w:b w:val="1"/>
          <w:bCs w:val="1"/>
          <w:color w:val="auto"/>
        </w:rPr>
        <w:t>SCHEDULE 14A</w:t>
      </w:r>
    </w:p>
    <w:p>
      <w:pPr>
        <w:spacing w:after="0" w:line="200" w:lineRule="exact"/>
        <w:rPr>
          <w:sz w:val="24"/>
          <w:szCs w:val="24"/>
          <w:color w:val="auto"/>
        </w:rPr>
      </w:pPr>
    </w:p>
    <w:p>
      <w:pPr>
        <w:spacing w:after="0" w:line="305"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29"/>
          <w:szCs w:val="29"/>
          <w:b w:val="1"/>
          <w:bCs w:val="1"/>
          <w:color w:val="auto"/>
        </w:rPr>
        <w:t>Proxy Statement Pursuant to Section 14(a)</w:t>
      </w:r>
    </w:p>
    <w:p>
      <w:pPr>
        <w:spacing w:after="0" w:line="42"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29"/>
          <w:szCs w:val="29"/>
          <w:b w:val="1"/>
          <w:bCs w:val="1"/>
          <w:color w:val="auto"/>
        </w:rPr>
        <w:t>of the Securities Exchange Act of 1934</w:t>
      </w:r>
    </w:p>
    <w:p>
      <w:pPr>
        <w:spacing w:after="0" w:line="47" w:lineRule="exact"/>
        <w:rPr>
          <w:sz w:val="24"/>
          <w:szCs w:val="24"/>
          <w:color w:val="auto"/>
        </w:rPr>
      </w:pPr>
    </w:p>
    <w:p>
      <w:pPr>
        <w:ind w:left="4420"/>
        <w:spacing w:after="0"/>
        <w:rPr>
          <w:sz w:val="20"/>
          <w:szCs w:val="20"/>
          <w:color w:val="auto"/>
        </w:rPr>
      </w:pPr>
      <w:r>
        <w:rPr>
          <w:rFonts w:ascii="Times New Roman" w:cs="Times New Roman" w:eastAsia="Times New Roman" w:hAnsi="Times New Roman"/>
          <w:sz w:val="29"/>
          <w:szCs w:val="29"/>
          <w:b w:val="1"/>
          <w:bCs w:val="1"/>
          <w:color w:val="auto"/>
        </w:rPr>
        <w:t>(Amendment No. 1)</w:t>
      </w:r>
    </w:p>
    <w:p>
      <w:pPr>
        <w:spacing w:after="0" w:line="318" w:lineRule="exact"/>
        <w:rPr>
          <w:sz w:val="24"/>
          <w:szCs w:val="24"/>
          <w:color w:val="auto"/>
        </w:rPr>
      </w:pPr>
    </w:p>
    <w:p>
      <w:pPr>
        <w:spacing w:after="0" w:line="253" w:lineRule="exact"/>
        <w:rPr>
          <w:sz w:val="20"/>
          <w:szCs w:val="20"/>
          <w:color w:val="auto"/>
        </w:rPr>
      </w:pPr>
      <w:r>
        <w:rPr>
          <w:rFonts w:ascii="Times New Roman" w:cs="Times New Roman" w:eastAsia="Times New Roman" w:hAnsi="Times New Roman"/>
          <w:sz w:val="22"/>
          <w:szCs w:val="22"/>
          <w:color w:val="auto"/>
        </w:rPr>
        <w:t xml:space="preserve">Filed by the Registrant </w:t>
      </w:r>
      <w:r>
        <w:rPr>
          <w:rFonts w:ascii="MS PGothic" w:cs="MS PGothic" w:eastAsia="MS PGothic" w:hAnsi="MS PGothic"/>
          <w:sz w:val="22"/>
          <w:szCs w:val="22"/>
          <w:color w:val="auto"/>
        </w:rPr>
        <w:t>☒</w:t>
      </w:r>
    </w:p>
    <w:p>
      <w:pPr>
        <w:spacing w:after="0" w:line="112" w:lineRule="exact"/>
        <w:rPr>
          <w:sz w:val="24"/>
          <w:szCs w:val="24"/>
          <w:color w:val="auto"/>
        </w:rPr>
      </w:pPr>
    </w:p>
    <w:p>
      <w:pPr>
        <w:spacing w:after="0" w:line="253" w:lineRule="exact"/>
        <w:rPr>
          <w:sz w:val="20"/>
          <w:szCs w:val="20"/>
          <w:color w:val="auto"/>
        </w:rPr>
      </w:pPr>
      <w:r>
        <w:rPr>
          <w:rFonts w:ascii="Times New Roman" w:cs="Times New Roman" w:eastAsia="Times New Roman" w:hAnsi="Times New Roman"/>
          <w:sz w:val="22"/>
          <w:szCs w:val="22"/>
          <w:color w:val="auto"/>
        </w:rPr>
        <w:t xml:space="preserve">Filed by a party other than the Registrant </w:t>
      </w:r>
      <w:r>
        <w:rPr>
          <w:rFonts w:ascii="MS PGothic" w:cs="MS PGothic" w:eastAsia="MS PGothic" w:hAnsi="MS PGothic"/>
          <w:sz w:val="22"/>
          <w:szCs w:val="22"/>
          <w:color w:val="auto"/>
        </w:rPr>
        <w:t>☐</w:t>
      </w:r>
    </w:p>
    <w:p>
      <w:pPr>
        <w:spacing w:after="0" w:line="200" w:lineRule="exact"/>
        <w:rPr>
          <w:sz w:val="24"/>
          <w:szCs w:val="24"/>
          <w:color w:val="auto"/>
        </w:rPr>
      </w:pPr>
    </w:p>
    <w:p>
      <w:pPr>
        <w:spacing w:after="0" w:line="297"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w:t>
      </w:r>
    </w:p>
    <w:p>
      <w:pPr>
        <w:spacing w:after="0" w:line="112" w:lineRule="exact"/>
        <w:rPr>
          <w:sz w:val="24"/>
          <w:szCs w:val="24"/>
          <w:color w:val="auto"/>
        </w:rPr>
      </w:pPr>
    </w:p>
    <w:p>
      <w:pPr>
        <w:ind w:left="420" w:hanging="412"/>
        <w:spacing w:after="0"/>
        <w:tabs>
          <w:tab w:leader="none" w:pos="42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22"/>
          <w:szCs w:val="22"/>
          <w:color w:val="auto"/>
        </w:rPr>
        <w:t>Preliminary Proxy Statement</w:t>
      </w:r>
    </w:p>
    <w:p>
      <w:pPr>
        <w:spacing w:after="0" w:line="107" w:lineRule="exact"/>
        <w:rPr>
          <w:rFonts w:ascii="MS PGothic" w:cs="MS PGothic" w:eastAsia="MS PGothic" w:hAnsi="MS PGothic"/>
          <w:sz w:val="22"/>
          <w:szCs w:val="22"/>
          <w:color w:val="auto"/>
        </w:rPr>
      </w:pPr>
    </w:p>
    <w:p>
      <w:pPr>
        <w:ind w:left="420" w:hanging="412"/>
        <w:spacing w:after="0"/>
        <w:tabs>
          <w:tab w:leader="none" w:pos="42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Confidential, for Use of the Commission Only (as permitted by Rule 14a-6(e)(2))</w:t>
      </w:r>
    </w:p>
    <w:p>
      <w:pPr>
        <w:spacing w:after="0" w:line="81" w:lineRule="exact"/>
        <w:rPr>
          <w:rFonts w:ascii="MS PGothic" w:cs="MS PGothic" w:eastAsia="MS PGothic" w:hAnsi="MS PGothic"/>
          <w:sz w:val="22"/>
          <w:szCs w:val="22"/>
          <w:color w:val="auto"/>
        </w:rPr>
      </w:pPr>
    </w:p>
    <w:p>
      <w:pPr>
        <w:spacing w:after="0" w:line="253" w:lineRule="exact"/>
        <w:rPr>
          <w:rFonts w:ascii="MS PGothic" w:cs="MS PGothic" w:eastAsia="MS PGothic" w:hAnsi="MS PGothic"/>
          <w:sz w:val="22"/>
          <w:szCs w:val="22"/>
          <w:color w:val="auto"/>
        </w:rPr>
      </w:pP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 xml:space="preserve"> Definitive Proxy Statement</w:t>
      </w:r>
    </w:p>
    <w:p>
      <w:pPr>
        <w:spacing w:after="0" w:line="145" w:lineRule="exact"/>
        <w:rPr>
          <w:rFonts w:ascii="MS PGothic" w:cs="MS PGothic" w:eastAsia="MS PGothic" w:hAnsi="MS PGothic"/>
          <w:sz w:val="22"/>
          <w:szCs w:val="22"/>
          <w:color w:val="auto"/>
        </w:rPr>
      </w:pPr>
    </w:p>
    <w:p>
      <w:pPr>
        <w:ind w:left="420" w:hanging="412"/>
        <w:spacing w:after="0"/>
        <w:tabs>
          <w:tab w:leader="none" w:pos="42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22"/>
          <w:szCs w:val="22"/>
          <w:color w:val="auto"/>
        </w:rPr>
        <w:t>Definitive Additional Materials</w:t>
      </w:r>
    </w:p>
    <w:p>
      <w:pPr>
        <w:spacing w:after="0" w:line="111" w:lineRule="exact"/>
        <w:rPr>
          <w:rFonts w:ascii="MS PGothic" w:cs="MS PGothic" w:eastAsia="MS PGothic" w:hAnsi="MS PGothic"/>
          <w:sz w:val="22"/>
          <w:szCs w:val="22"/>
          <w:color w:val="auto"/>
        </w:rPr>
      </w:pPr>
    </w:p>
    <w:p>
      <w:pPr>
        <w:ind w:left="420" w:hanging="412"/>
        <w:spacing w:after="0"/>
        <w:tabs>
          <w:tab w:leader="none" w:pos="42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22"/>
          <w:szCs w:val="22"/>
          <w:color w:val="auto"/>
        </w:rPr>
        <w:t>Soliciting Material under §240.14a-12</w:t>
      </w:r>
    </w:p>
    <w:p>
      <w:pPr>
        <w:spacing w:after="0" w:line="200" w:lineRule="exact"/>
        <w:rPr>
          <w:sz w:val="24"/>
          <w:szCs w:val="24"/>
          <w:color w:val="auto"/>
        </w:rPr>
      </w:pPr>
    </w:p>
    <w:p>
      <w:pPr>
        <w:spacing w:after="0" w:line="200" w:lineRule="exact"/>
        <w:rPr>
          <w:sz w:val="24"/>
          <w:szCs w:val="24"/>
          <w:color w:val="auto"/>
        </w:rPr>
      </w:pPr>
    </w:p>
    <w:p>
      <w:pPr>
        <w:spacing w:after="0" w:line="34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43"/>
          <w:szCs w:val="43"/>
          <w:b w:val="1"/>
          <w:bCs w:val="1"/>
          <w:color w:val="auto"/>
        </w:rPr>
        <w:t>PERELLA WEINBERG PARTNERS</w:t>
      </w:r>
    </w:p>
    <w:p>
      <w:pPr>
        <w:spacing w:after="0" w:line="86" w:lineRule="exact"/>
        <w:rPr>
          <w:sz w:val="24"/>
          <w:szCs w:val="24"/>
          <w:color w:val="auto"/>
        </w:rPr>
      </w:pPr>
    </w:p>
    <w:p>
      <w:pPr>
        <w:ind w:left="2660"/>
        <w:spacing w:after="0"/>
        <w:rPr>
          <w:sz w:val="20"/>
          <w:szCs w:val="20"/>
          <w:color w:val="auto"/>
        </w:rPr>
      </w:pPr>
      <w:r>
        <w:rPr>
          <w:rFonts w:ascii="Times New Roman" w:cs="Times New Roman" w:eastAsia="Times New Roman" w:hAnsi="Times New Roman"/>
          <w:sz w:val="29"/>
          <w:szCs w:val="29"/>
          <w:b w:val="1"/>
          <w:bCs w:val="1"/>
          <w:color w:val="auto"/>
        </w:rPr>
        <w:t>(Name of Registrant as Specified In Its Charter)</w:t>
      </w:r>
    </w:p>
    <w:p>
      <w:pPr>
        <w:spacing w:after="0" w:line="200" w:lineRule="exact"/>
        <w:rPr>
          <w:sz w:val="24"/>
          <w:szCs w:val="24"/>
          <w:color w:val="auto"/>
        </w:rPr>
      </w:pPr>
    </w:p>
    <w:p>
      <w:pPr>
        <w:spacing w:after="0" w:line="200" w:lineRule="exact"/>
        <w:rPr>
          <w:sz w:val="24"/>
          <w:szCs w:val="24"/>
          <w:color w:val="auto"/>
        </w:rPr>
      </w:pP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Payment of Filing Fee (Check all boxes that apply):</w:t>
      </w:r>
    </w:p>
    <w:p>
      <w:pPr>
        <w:spacing w:after="0" w:line="98" w:lineRule="exact"/>
        <w:rPr>
          <w:sz w:val="24"/>
          <w:szCs w:val="24"/>
          <w:color w:val="auto"/>
        </w:rPr>
      </w:pPr>
    </w:p>
    <w:p>
      <w:pPr>
        <w:ind w:left="420" w:hanging="412"/>
        <w:spacing w:after="0"/>
        <w:tabs>
          <w:tab w:leader="none" w:pos="420" w:val="left"/>
        </w:tabs>
        <w:numPr>
          <w:ilvl w:val="0"/>
          <w:numId w:val="2"/>
        </w:numPr>
        <w:rPr>
          <w:rFonts w:ascii="MS PGothic" w:cs="MS PGothic" w:eastAsia="MS PGothic" w:hAnsi="MS PGothic"/>
          <w:sz w:val="22"/>
          <w:szCs w:val="22"/>
          <w:color w:val="auto"/>
        </w:rPr>
      </w:pPr>
      <w:r>
        <w:rPr>
          <w:rFonts w:ascii="Times New Roman" w:cs="Times New Roman" w:eastAsia="Times New Roman" w:hAnsi="Times New Roman"/>
          <w:sz w:val="22"/>
          <w:szCs w:val="22"/>
          <w:color w:val="auto"/>
        </w:rPr>
        <w:t>No fee required</w:t>
      </w:r>
    </w:p>
    <w:p>
      <w:pPr>
        <w:spacing w:after="0" w:line="112" w:lineRule="exact"/>
        <w:rPr>
          <w:sz w:val="24"/>
          <w:szCs w:val="24"/>
          <w:color w:val="auto"/>
        </w:rPr>
      </w:pPr>
    </w:p>
    <w:p>
      <w:pPr>
        <w:ind w:left="420" w:hanging="412"/>
        <w:spacing w:after="0"/>
        <w:tabs>
          <w:tab w:leader="none" w:pos="420" w:val="left"/>
        </w:tabs>
        <w:numPr>
          <w:ilvl w:val="0"/>
          <w:numId w:val="3"/>
        </w:numPr>
        <w:rPr>
          <w:rFonts w:ascii="MS PGothic" w:cs="MS PGothic" w:eastAsia="MS PGothic" w:hAnsi="MS PGothic"/>
          <w:sz w:val="22"/>
          <w:szCs w:val="22"/>
          <w:color w:val="auto"/>
        </w:rPr>
      </w:pPr>
      <w:r>
        <w:rPr>
          <w:rFonts w:ascii="Times New Roman" w:cs="Times New Roman" w:eastAsia="Times New Roman" w:hAnsi="Times New Roman"/>
          <w:sz w:val="22"/>
          <w:szCs w:val="22"/>
          <w:color w:val="auto"/>
        </w:rPr>
        <w:t>Fee paid previously with preliminary materials</w:t>
      </w:r>
    </w:p>
    <w:p>
      <w:pPr>
        <w:spacing w:after="0" w:line="111" w:lineRule="exact"/>
        <w:rPr>
          <w:rFonts w:ascii="MS PGothic" w:cs="MS PGothic" w:eastAsia="MS PGothic" w:hAnsi="MS PGothic"/>
          <w:sz w:val="22"/>
          <w:szCs w:val="22"/>
          <w:color w:val="auto"/>
        </w:rPr>
      </w:pPr>
    </w:p>
    <w:p>
      <w:pPr>
        <w:ind w:left="420" w:hanging="412"/>
        <w:spacing w:after="0"/>
        <w:tabs>
          <w:tab w:leader="none" w:pos="420" w:val="left"/>
        </w:tabs>
        <w:numPr>
          <w:ilvl w:val="0"/>
          <w:numId w:val="3"/>
        </w:numPr>
        <w:rPr>
          <w:rFonts w:ascii="MS PGothic" w:cs="MS PGothic" w:eastAsia="MS PGothic" w:hAnsi="MS PGothic"/>
          <w:sz w:val="21"/>
          <w:szCs w:val="21"/>
          <w:color w:val="auto"/>
        </w:rPr>
      </w:pPr>
      <w:r>
        <w:rPr>
          <w:rFonts w:ascii="Times New Roman" w:cs="Times New Roman" w:eastAsia="Times New Roman" w:hAnsi="Times New Roman"/>
          <w:sz w:val="21"/>
          <w:szCs w:val="21"/>
          <w:color w:val="auto"/>
        </w:rPr>
        <w:t>Fee computed on table in exhibit required by Item 25(b) per Exchange Act Rules 14a-6(i)(1) and 0-11</w:t>
      </w:r>
    </w:p>
    <w:p>
      <w:pPr>
        <w:spacing w:after="0" w:line="344"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204"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This Amendment No. 1 amends and replaces the Definitive Proxy Statement on Schedule 14A filed by</w:t>
      </w:r>
    </w:p>
    <w:p>
      <w:pPr>
        <w:jc w:val="center"/>
        <w:ind w:right="-1100"/>
        <w:spacing w:after="0"/>
        <w:rPr>
          <w:sz w:val="20"/>
          <w:szCs w:val="20"/>
          <w:color w:val="auto"/>
        </w:rPr>
      </w:pPr>
      <w:r>
        <w:rPr>
          <w:rFonts w:ascii="Times New Roman" w:cs="Times New Roman" w:eastAsia="Times New Roman" w:hAnsi="Times New Roman"/>
          <w:sz w:val="18"/>
          <w:szCs w:val="18"/>
          <w:color w:val="auto"/>
        </w:rPr>
        <w:t>Perella Weinberg Partners on April 12, 2022.</w:t>
      </w:r>
    </w:p>
    <w:p>
      <w:pPr>
        <w:sectPr>
          <w:pgSz w:w="11900" w:h="16838" w:orient="portrait"/>
          <w:cols w:equalWidth="0" w:num="1">
            <w:col w:w="10139"/>
          </w:cols>
          <w:pgMar w:left="320" w:top="1010" w:right="1440" w:bottom="1440" w:gutter="0" w:footer="0" w:header="0"/>
        </w:sectPr>
      </w:pPr>
    </w:p>
    <w:bookmarkStart w:id="1" w:name="page2"/>
    <w:bookmarkEnd w:id="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1023620</wp:posOffset>
            </wp:positionV>
            <wp:extent cx="1714500" cy="6515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clrChange>
                        <a:clrFrom>
                          <a:srgbClr val="FFFFFF"/>
                        </a:clrFrom>
                        <a:clrTo>
                          <a:srgbClr val="FFFFFF">
                            <a:alpha val="0"/>
                          </a:srgbClr>
                        </a:clrTo>
                      </a:clrChange>
                      <a:extLst>
                        <a:ext uri="{28A0092B-C50C-407E-A947-70E740481C1C}"/>
                      </a:extLst>
                    </a:blip>
                    <a:srcRect/>
                    <a:stretch>
                      <a:fillRect/>
                    </a:stretch>
                  </pic:blipFill>
                  <pic:spPr bwMode="auto">
                    <a:xfrm>
                      <a:off x="0" y="0"/>
                      <a:ext cx="1714500" cy="651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9660"/>
        <w:spacing w:after="0"/>
        <w:rPr>
          <w:sz w:val="20"/>
          <w:szCs w:val="20"/>
          <w:color w:val="auto"/>
        </w:rPr>
      </w:pPr>
      <w:r>
        <w:rPr>
          <w:rFonts w:ascii="Times New Roman" w:cs="Times New Roman" w:eastAsia="Times New Roman" w:hAnsi="Times New Roman"/>
          <w:sz w:val="17"/>
          <w:szCs w:val="17"/>
          <w:color w:val="auto"/>
        </w:rPr>
        <w:t>767 FIFTH AVENUE</w:t>
      </w:r>
    </w:p>
    <w:p>
      <w:pPr>
        <w:spacing w:after="0" w:line="39" w:lineRule="exact"/>
        <w:rPr>
          <w:sz w:val="20"/>
          <w:szCs w:val="20"/>
          <w:color w:val="auto"/>
        </w:rPr>
      </w:pPr>
    </w:p>
    <w:p>
      <w:pPr>
        <w:ind w:left="8720"/>
        <w:spacing w:after="0"/>
        <w:rPr>
          <w:sz w:val="20"/>
          <w:szCs w:val="20"/>
          <w:color w:val="auto"/>
        </w:rPr>
      </w:pPr>
      <w:r>
        <w:rPr>
          <w:rFonts w:ascii="Times New Roman" w:cs="Times New Roman" w:eastAsia="Times New Roman" w:hAnsi="Times New Roman"/>
          <w:sz w:val="18"/>
          <w:szCs w:val="18"/>
          <w:color w:val="auto"/>
        </w:rPr>
        <w:t>NEW YORK, NEW YORK 10153</w:t>
      </w:r>
    </w:p>
    <w:p>
      <w:pPr>
        <w:spacing w:after="0" w:line="200" w:lineRule="exact"/>
        <w:rPr>
          <w:sz w:val="20"/>
          <w:szCs w:val="20"/>
          <w:color w:val="auto"/>
        </w:rPr>
      </w:pPr>
    </w:p>
    <w:p>
      <w:pPr>
        <w:spacing w:after="0" w:line="22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April 12, 2022</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Stockholder,</w:t>
      </w:r>
    </w:p>
    <w:p>
      <w:pPr>
        <w:spacing w:after="0" w:line="185" w:lineRule="exact"/>
        <w:rPr>
          <w:sz w:val="20"/>
          <w:szCs w:val="20"/>
          <w:color w:val="auto"/>
        </w:rPr>
      </w:pPr>
    </w:p>
    <w:p>
      <w:pPr>
        <w:ind w:right="700"/>
        <w:spacing w:after="0" w:line="282" w:lineRule="auto"/>
        <w:rPr>
          <w:sz w:val="20"/>
          <w:szCs w:val="20"/>
          <w:color w:val="auto"/>
        </w:rPr>
      </w:pPr>
      <w:r>
        <w:rPr>
          <w:rFonts w:ascii="Times New Roman" w:cs="Times New Roman" w:eastAsia="Times New Roman" w:hAnsi="Times New Roman"/>
          <w:sz w:val="18"/>
          <w:szCs w:val="18"/>
          <w:color w:val="auto"/>
        </w:rPr>
        <w:t>We cordially invite you to attend our 2022 Annual Meeting of Stockholders, to be held on Tuesday, May 24, 2022, at 10:00 a.m. (Eastern Time) at http://www.virtualshareholdermeeting.com/PWP2022.</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Notice of Annual Meeting of Stockholders and the proxy statement that follow describe the business to be conducted at the meeting.</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Your vote is important. We encourage you to submit your votes in advance of the meeting, whether or not you plan to attend the meeting.</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Sincerely,</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Peter A. Weinberg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10928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092835" cy="8255"/>
                    </a:xfrm>
                    <a:prstGeom prst="rect">
                      <a:avLst/>
                    </a:prstGeom>
                    <a:noFill/>
                  </pic:spPr>
                </pic:pic>
              </a:graphicData>
            </a:graphic>
          </wp:anchor>
        </w:drawing>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Peter A. Weinberg</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Chairman and Chief Executive Officer</w:t>
      </w:r>
    </w:p>
    <w:p>
      <w:pPr>
        <w:sectPr>
          <w:pgSz w:w="11900" w:h="16838" w:orient="portrait"/>
          <w:cols w:equalWidth="0" w:num="1">
            <w:col w:w="11240"/>
          </w:cols>
          <w:pgMar w:left="320" w:top="1440" w:right="339" w:bottom="1440" w:gutter="0" w:footer="0" w:header="0"/>
        </w:sectPr>
      </w:pPr>
    </w:p>
    <w:bookmarkStart w:id="2" w:name="page3"/>
    <w:bookmarkEnd w:id="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1022985</wp:posOffset>
            </wp:positionV>
            <wp:extent cx="1714500" cy="6515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clrChange>
                        <a:clrFrom>
                          <a:srgbClr val="FFFFFF"/>
                        </a:clrFrom>
                        <a:clrTo>
                          <a:srgbClr val="FFFFFF">
                            <a:alpha val="0"/>
                          </a:srgbClr>
                        </a:clrTo>
                      </a:clrChange>
                      <a:extLst>
                        <a:ext uri="{28A0092B-C50C-407E-A947-70E740481C1C}"/>
                      </a:extLst>
                    </a:blip>
                    <a:srcRect/>
                    <a:stretch>
                      <a:fillRect/>
                    </a:stretch>
                  </pic:blipFill>
                  <pic:spPr bwMode="auto">
                    <a:xfrm>
                      <a:off x="0" y="0"/>
                      <a:ext cx="1714500" cy="651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9660"/>
        <w:spacing w:after="0"/>
        <w:rPr>
          <w:sz w:val="20"/>
          <w:szCs w:val="20"/>
          <w:color w:val="auto"/>
        </w:rPr>
      </w:pPr>
      <w:r>
        <w:rPr>
          <w:rFonts w:ascii="Times New Roman" w:cs="Times New Roman" w:eastAsia="Times New Roman" w:hAnsi="Times New Roman"/>
          <w:sz w:val="17"/>
          <w:szCs w:val="17"/>
          <w:color w:val="auto"/>
        </w:rPr>
        <w:t>767 FIFTH AVENUE</w:t>
      </w:r>
    </w:p>
    <w:p>
      <w:pPr>
        <w:spacing w:after="0" w:line="39" w:lineRule="exact"/>
        <w:rPr>
          <w:sz w:val="20"/>
          <w:szCs w:val="20"/>
          <w:color w:val="auto"/>
        </w:rPr>
      </w:pPr>
    </w:p>
    <w:p>
      <w:pPr>
        <w:ind w:left="8720"/>
        <w:spacing w:after="0"/>
        <w:rPr>
          <w:sz w:val="20"/>
          <w:szCs w:val="20"/>
          <w:color w:val="auto"/>
        </w:rPr>
      </w:pPr>
      <w:r>
        <w:rPr>
          <w:rFonts w:ascii="Times New Roman" w:cs="Times New Roman" w:eastAsia="Times New Roman" w:hAnsi="Times New Roman"/>
          <w:sz w:val="18"/>
          <w:szCs w:val="18"/>
          <w:color w:val="auto"/>
        </w:rPr>
        <w:t>NEW YORK, NEW YORK 10153</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NOTICE OF ANNUAL MEETING OF STOCKHOLDERS</w:t>
      </w:r>
    </w:p>
    <w:p>
      <w:pPr>
        <w:spacing w:after="0" w:line="202" w:lineRule="exact"/>
        <w:rPr>
          <w:sz w:val="20"/>
          <w:szCs w:val="20"/>
          <w:color w:val="auto"/>
        </w:rPr>
      </w:pPr>
    </w:p>
    <w:p>
      <w:pPr>
        <w:spacing w:after="0"/>
        <w:tabs>
          <w:tab w:leader="none" w:pos="1200" w:val="left"/>
        </w:tabs>
        <w:rPr>
          <w:sz w:val="20"/>
          <w:szCs w:val="20"/>
          <w:color w:val="auto"/>
        </w:rPr>
      </w:pPr>
      <w:r>
        <w:rPr>
          <w:rFonts w:ascii="Times New Roman" w:cs="Times New Roman" w:eastAsia="Times New Roman" w:hAnsi="Times New Roman"/>
          <w:sz w:val="18"/>
          <w:szCs w:val="18"/>
          <w:color w:val="auto"/>
        </w:rPr>
        <w:t>Meeting Date:</w:t>
      </w:r>
      <w:r>
        <w:rPr>
          <w:sz w:val="20"/>
          <w:szCs w:val="20"/>
          <w:color w:val="auto"/>
        </w:rPr>
        <w:tab/>
      </w:r>
      <w:r>
        <w:rPr>
          <w:rFonts w:ascii="Times New Roman" w:cs="Times New Roman" w:eastAsia="Times New Roman" w:hAnsi="Times New Roman"/>
          <w:sz w:val="17"/>
          <w:szCs w:val="17"/>
          <w:color w:val="auto"/>
        </w:rPr>
        <w:t>Tuesday, May 24, 2022</w:t>
      </w:r>
    </w:p>
    <w:p>
      <w:pPr>
        <w:spacing w:after="0" w:line="27"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18"/>
          <w:szCs w:val="18"/>
          <w:color w:val="auto"/>
        </w:rPr>
        <w:t>Time:</w:t>
      </w:r>
      <w:r>
        <w:rPr>
          <w:sz w:val="20"/>
          <w:szCs w:val="20"/>
          <w:color w:val="auto"/>
        </w:rPr>
        <w:tab/>
      </w:r>
      <w:r>
        <w:rPr>
          <w:rFonts w:ascii="Times New Roman" w:cs="Times New Roman" w:eastAsia="Times New Roman" w:hAnsi="Times New Roman"/>
          <w:sz w:val="17"/>
          <w:szCs w:val="17"/>
          <w:color w:val="auto"/>
        </w:rPr>
        <w:t>10:00 a.m. (Eastern Time)</w:t>
      </w:r>
    </w:p>
    <w:p>
      <w:pPr>
        <w:spacing w:after="0" w:line="9"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18"/>
          <w:szCs w:val="18"/>
          <w:color w:val="auto"/>
        </w:rPr>
        <w:t>Place:</w:t>
      </w:r>
      <w:r>
        <w:rPr>
          <w:sz w:val="20"/>
          <w:szCs w:val="20"/>
          <w:color w:val="auto"/>
        </w:rPr>
        <w:tab/>
      </w:r>
      <w:r>
        <w:rPr>
          <w:rFonts w:ascii="Times New Roman" w:cs="Times New Roman" w:eastAsia="Times New Roman" w:hAnsi="Times New Roman"/>
          <w:sz w:val="17"/>
          <w:szCs w:val="17"/>
          <w:color w:val="auto"/>
        </w:rPr>
        <w:t>http://www.virtualshareholdermeeting.com/PWP2022</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are holding our 2022 annual meeting of stockholders for the following purposes, which are described in more detail in the proxy statement:</w:t>
      </w:r>
    </w:p>
    <w:p>
      <w:pPr>
        <w:spacing w:after="0" w:line="225" w:lineRule="exact"/>
        <w:rPr>
          <w:sz w:val="20"/>
          <w:szCs w:val="20"/>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elect five directors to our board of directors;</w:t>
      </w:r>
    </w:p>
    <w:p>
      <w:pPr>
        <w:spacing w:after="0" w:line="225" w:lineRule="exact"/>
        <w:rPr>
          <w:rFonts w:ascii="Times New Roman" w:cs="Times New Roman" w:eastAsia="Times New Roman" w:hAnsi="Times New Roman"/>
          <w:sz w:val="18"/>
          <w:szCs w:val="18"/>
          <w:color w:val="auto"/>
        </w:rPr>
      </w:pPr>
    </w:p>
    <w:p>
      <w:pPr>
        <w:ind w:left="660" w:right="380" w:hanging="328"/>
        <w:spacing w:after="0" w:line="282"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ratify the appointment of Ernst &amp; Young LLP as our independent registered public accounting firm for the fiscal year ending December 31, 2022; and</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transact any other business as may properly come before the meeting or any adjournment or postponement thereof.</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Only stockholders of record as of the close of business on March 30, 2022, will be entitled to attend and vote at the annual meeting.</w:t>
      </w:r>
    </w:p>
    <w:p>
      <w:pPr>
        <w:spacing w:after="0" w:line="198" w:lineRule="exact"/>
        <w:rPr>
          <w:sz w:val="20"/>
          <w:szCs w:val="20"/>
          <w:color w:val="auto"/>
        </w:rPr>
      </w:pPr>
    </w:p>
    <w:p>
      <w:pPr>
        <w:ind w:right="300"/>
        <w:spacing w:after="0" w:line="258" w:lineRule="auto"/>
        <w:rPr>
          <w:sz w:val="20"/>
          <w:szCs w:val="20"/>
          <w:color w:val="auto"/>
        </w:rPr>
      </w:pPr>
      <w:r>
        <w:rPr>
          <w:rFonts w:ascii="Times New Roman" w:cs="Times New Roman" w:eastAsia="Times New Roman" w:hAnsi="Times New Roman"/>
          <w:sz w:val="18"/>
          <w:szCs w:val="18"/>
          <w:color w:val="auto"/>
        </w:rPr>
        <w:t>We will furnish our proxy materials over the Internet as permitted by the rules of the U.S. Securities and Exchange Commission. As a result, we are sending to certain of our stockholders a Notice of Internet Availability of Proxy Materials rather than a full paper set of the proxy materials. Such notice contains instructions on how to access our proxy materials on the Internet, as well as instructions on how stockholders may obtain a paper copy of the proxy materials. This process will reduce the costs associated with printing and distributing our proxy materials. We expect to mail this notice and our proxy materials on or about April 12, 2022.</w:t>
      </w:r>
    </w:p>
    <w:p>
      <w:pPr>
        <w:spacing w:after="0" w:line="143" w:lineRule="exact"/>
        <w:rPr>
          <w:sz w:val="20"/>
          <w:szCs w:val="20"/>
          <w:color w:val="auto"/>
        </w:rPr>
      </w:pPr>
    </w:p>
    <w:p>
      <w:pPr>
        <w:jc w:val="both"/>
        <w:ind w:right="600"/>
        <w:spacing w:after="0" w:line="266" w:lineRule="auto"/>
        <w:rPr>
          <w:sz w:val="20"/>
          <w:szCs w:val="20"/>
          <w:color w:val="auto"/>
        </w:rPr>
      </w:pPr>
      <w:r>
        <w:rPr>
          <w:rFonts w:ascii="Times New Roman" w:cs="Times New Roman" w:eastAsia="Times New Roman" w:hAnsi="Times New Roman"/>
          <w:sz w:val="18"/>
          <w:szCs w:val="18"/>
          <w:color w:val="auto"/>
        </w:rPr>
        <w:t>Your vote is important. We encourage you to vote by proxy in advance of the meeting, whether or not you plan to attend the meeting. The Notice of Internet Availability of Proxy Materials includes instructions on how to vote, including by Internet and telephone. If you hold your shares through a brokerage firm, bank, broker-dealer or other similar organization, please follow their instructions.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Order of the Board of Directors,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Lisa Saski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326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3265" cy="8255"/>
                    </a:xfrm>
                    <a:prstGeom prst="rect">
                      <a:avLst/>
                    </a:prstGeom>
                    <a:noFill/>
                  </pic:spPr>
                </pic:pic>
              </a:graphicData>
            </a:graphic>
          </wp:anchor>
        </w:drawing>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Lisa Saski</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Corporate Secretary</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12, 2022</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line="286" w:lineRule="auto"/>
        <w:rPr>
          <w:sz w:val="20"/>
          <w:szCs w:val="20"/>
          <w:color w:val="auto"/>
        </w:rPr>
      </w:pPr>
      <w:r>
        <w:rPr>
          <w:rFonts w:ascii="Times New Roman" w:cs="Times New Roman" w:eastAsia="Times New Roman" w:hAnsi="Times New Roman"/>
          <w:sz w:val="18"/>
          <w:szCs w:val="18"/>
          <w:b w:val="1"/>
          <w:bCs w:val="1"/>
          <w:color w:val="auto"/>
        </w:rPr>
        <w:t>IMPORTANT NOTICE REGARDING THE AVAILABILITY OF PROXY MATERIALS FOR THE ANNUAL MEETING TO BE HELD ON MAY 24, 2022.</w:t>
      </w:r>
    </w:p>
    <w:p>
      <w:pPr>
        <w:spacing w:after="0" w:line="1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Company’s Proxy Statement and 2021 Annual Report on Form 10-K</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are also available at www.proxyvote.com.</w:t>
      </w:r>
    </w:p>
    <w:p>
      <w:pPr>
        <w:sectPr>
          <w:pgSz w:w="11900" w:h="16838" w:orient="portrait"/>
          <w:cols w:equalWidth="0" w:num="1">
            <w:col w:w="11240"/>
          </w:cols>
          <w:pgMar w:left="320" w:top="1440" w:right="339" w:bottom="1440" w:gutter="0" w:footer="0" w:header="0"/>
        </w:sectPr>
      </w:pPr>
    </w:p>
    <w:bookmarkStart w:id="3" w:name="page4"/>
    <w:bookmarkEnd w:id="3"/>
    <w:p>
      <w:pPr>
        <w:spacing w:after="0" w:line="136" w:lineRule="exact"/>
        <w:rPr>
          <w:sz w:val="20"/>
          <w:szCs w:val="20"/>
          <w:color w:val="auto"/>
        </w:rPr>
      </w:pPr>
    </w:p>
    <w:tbl>
      <w:tblPr>
        <w:tblLayout w:type="fixed"/>
        <w:tblInd w:w="80" w:type="dxa"/>
        <w:tblCellMar>
          <w:top w:w="0" w:type="dxa"/>
          <w:left w:w="0" w:type="dxa"/>
          <w:bottom w:w="0" w:type="dxa"/>
          <w:right w:w="0" w:type="dxa"/>
        </w:tblCellMar>
      </w:tblPr>
      <w:tr>
        <w:trPr>
          <w:trHeight w:val="238"/>
        </w:trPr>
        <w:tc>
          <w:tcPr>
            <w:tcW w:w="2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580" w:type="dxa"/>
            <w:vAlign w:val="bottom"/>
            <w:gridSpan w:val="4"/>
          </w:tcPr>
          <w:p>
            <w:pPr>
              <w:ind w:left="124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78"/>
        </w:trPr>
        <w:tc>
          <w:tcPr>
            <w:tcW w:w="2120" w:type="dxa"/>
            <w:vAlign w:val="bottom"/>
            <w:tcBorders>
              <w:bottom w:val="single" w:sz="8" w:color="0E32E1"/>
            </w:tcBorders>
          </w:tcPr>
          <w:p>
            <w:pPr>
              <w:spacing w:after="0"/>
              <w:rPr>
                <w:rFonts w:ascii="Times New Roman" w:cs="Times New Roman" w:eastAsia="Times New Roman" w:hAnsi="Times New Roman"/>
                <w:sz w:val="18"/>
                <w:szCs w:val="18"/>
                <w:color w:val="0E32E1"/>
                <w:w w:val="97"/>
              </w:rPr>
            </w:pPr>
            <w:hyperlink w:anchor="page4">
              <w:r>
                <w:rPr>
                  <w:rFonts w:ascii="Times New Roman" w:cs="Times New Roman" w:eastAsia="Times New Roman" w:hAnsi="Times New Roman"/>
                  <w:sz w:val="18"/>
                  <w:szCs w:val="18"/>
                  <w:color w:val="0E32E1"/>
                  <w:w w:val="97"/>
                </w:rPr>
                <w:t>GENERAL INFORMATION</w:t>
              </w:r>
            </w:hyperlink>
          </w:p>
        </w:tc>
        <w:tc>
          <w:tcPr>
            <w:tcW w:w="8800" w:type="dxa"/>
            <w:vAlign w:val="bottom"/>
            <w:gridSpan w:val="10"/>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Borders>
              <w:bottom w:val="single" w:sz="8" w:color="0E32E1"/>
            </w:tcBorders>
          </w:tcPr>
          <w:p>
            <w:pPr>
              <w:jc w:val="right"/>
              <w:spacing w:after="0"/>
              <w:rPr>
                <w:rFonts w:ascii="Times New Roman" w:cs="Times New Roman" w:eastAsia="Times New Roman" w:hAnsi="Times New Roman"/>
                <w:sz w:val="18"/>
                <w:szCs w:val="18"/>
                <w:color w:val="0E32E1"/>
                <w:w w:val="88"/>
              </w:rPr>
            </w:pPr>
            <w:hyperlink w:anchor="page4">
              <w:r>
                <w:rPr>
                  <w:rFonts w:ascii="Times New Roman" w:cs="Times New Roman" w:eastAsia="Times New Roman" w:hAnsi="Times New Roman"/>
                  <w:sz w:val="18"/>
                  <w:szCs w:val="18"/>
                  <w:color w:val="0E32E1"/>
                  <w:w w:val="88"/>
                </w:rPr>
                <w:t>1</w:t>
              </w:r>
            </w:hyperlink>
          </w:p>
        </w:tc>
      </w:tr>
      <w:tr>
        <w:trPr>
          <w:trHeight w:val="209"/>
        </w:trPr>
        <w:tc>
          <w:tcPr>
            <w:tcW w:w="10920" w:type="dxa"/>
            <w:vAlign w:val="bottom"/>
            <w:gridSpan w:val="11"/>
          </w:tcPr>
          <w:p>
            <w:pPr>
              <w:spacing w:after="0"/>
              <w:rPr>
                <w:rFonts w:ascii="Times New Roman" w:cs="Times New Roman" w:eastAsia="Times New Roman" w:hAnsi="Times New Roman"/>
                <w:sz w:val="18"/>
                <w:szCs w:val="18"/>
                <w:color w:val="0E32E1"/>
              </w:rPr>
            </w:pPr>
            <w:hyperlink w:anchor="page9">
              <w:r>
                <w:rPr>
                  <w:rFonts w:ascii="Times New Roman" w:cs="Times New Roman" w:eastAsia="Times New Roman" w:hAnsi="Times New Roman"/>
                  <w:sz w:val="18"/>
                  <w:szCs w:val="18"/>
                  <w:color w:val="0E32E1"/>
                </w:rPr>
                <w:t>PROPOSAL 1: ELECTION OF DIRECTORS</w:t>
              </w:r>
            </w:hyperlink>
          </w:p>
        </w:tc>
        <w:tc>
          <w:tcPr>
            <w:tcW w:w="180" w:type="dxa"/>
            <w:vAlign w:val="bottom"/>
            <w:gridSpan w:val="2"/>
          </w:tcPr>
          <w:p>
            <w:pPr>
              <w:jc w:val="right"/>
              <w:spacing w:after="0"/>
              <w:rPr>
                <w:rFonts w:ascii="Times New Roman" w:cs="Times New Roman" w:eastAsia="Times New Roman" w:hAnsi="Times New Roman"/>
                <w:sz w:val="18"/>
                <w:szCs w:val="18"/>
                <w:color w:val="0E32E1"/>
              </w:rPr>
            </w:pPr>
            <w:hyperlink w:anchor="page9">
              <w:r>
                <w:rPr>
                  <w:rFonts w:ascii="Times New Roman" w:cs="Times New Roman" w:eastAsia="Times New Roman" w:hAnsi="Times New Roman"/>
                  <w:sz w:val="18"/>
                  <w:szCs w:val="18"/>
                  <w:color w:val="0E32E1"/>
                </w:rPr>
                <w:t>6</w:t>
              </w:r>
            </w:hyperlink>
          </w:p>
        </w:tc>
      </w:tr>
      <w:tr>
        <w:trPr>
          <w:trHeight w:val="209"/>
        </w:trPr>
        <w:tc>
          <w:tcPr>
            <w:tcW w:w="2340" w:type="dxa"/>
            <w:vAlign w:val="bottom"/>
            <w:tcBorders>
              <w:top w:val="single" w:sz="8" w:color="0E32E1"/>
              <w:bottom w:val="single" w:sz="8" w:color="0E32E1"/>
            </w:tcBorders>
            <w:gridSpan w:val="3"/>
          </w:tcPr>
          <w:p>
            <w:pPr>
              <w:spacing w:after="0"/>
              <w:rPr>
                <w:rFonts w:ascii="Times New Roman" w:cs="Times New Roman" w:eastAsia="Times New Roman" w:hAnsi="Times New Roman"/>
                <w:sz w:val="18"/>
                <w:szCs w:val="18"/>
                <w:color w:val="0E32E1"/>
                <w:w w:val="98"/>
              </w:rPr>
            </w:pPr>
            <w:hyperlink w:anchor="page10">
              <w:r>
                <w:rPr>
                  <w:rFonts w:ascii="Times New Roman" w:cs="Times New Roman" w:eastAsia="Times New Roman" w:hAnsi="Times New Roman"/>
                  <w:sz w:val="18"/>
                  <w:szCs w:val="18"/>
                  <w:color w:val="0E32E1"/>
                  <w:w w:val="98"/>
                </w:rPr>
                <w:t>CORPORATE GOVERNANCE</w:t>
              </w:r>
            </w:hyperlink>
          </w:p>
        </w:tc>
        <w:tc>
          <w:tcPr>
            <w:tcW w:w="1000" w:type="dxa"/>
            <w:vAlign w:val="bottom"/>
            <w:tcBorders>
              <w:top w:val="single" w:sz="8" w:color="0E32E1"/>
            </w:tcBorders>
            <w:gridSpan w:val="4"/>
          </w:tcPr>
          <w:p>
            <w:pPr>
              <w:spacing w:after="0"/>
              <w:rPr>
                <w:sz w:val="18"/>
                <w:szCs w:val="18"/>
                <w:color w:val="auto"/>
              </w:rPr>
            </w:pPr>
          </w:p>
        </w:tc>
        <w:tc>
          <w:tcPr>
            <w:tcW w:w="7580" w:type="dxa"/>
            <w:vAlign w:val="bottom"/>
            <w:gridSpan w:val="4"/>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top w:val="single" w:sz="8" w:color="0E32E1"/>
              <w:bottom w:val="single" w:sz="8" w:color="0E32E1"/>
            </w:tcBorders>
          </w:tcPr>
          <w:p>
            <w:pPr>
              <w:jc w:val="right"/>
              <w:spacing w:after="0"/>
              <w:rPr>
                <w:rFonts w:ascii="Times New Roman" w:cs="Times New Roman" w:eastAsia="Times New Roman" w:hAnsi="Times New Roman"/>
                <w:sz w:val="18"/>
                <w:szCs w:val="18"/>
                <w:color w:val="0E32E1"/>
                <w:w w:val="88"/>
              </w:rPr>
            </w:pPr>
            <w:hyperlink w:anchor="page10">
              <w:r>
                <w:rPr>
                  <w:rFonts w:ascii="Times New Roman" w:cs="Times New Roman" w:eastAsia="Times New Roman" w:hAnsi="Times New Roman"/>
                  <w:sz w:val="18"/>
                  <w:szCs w:val="18"/>
                  <w:color w:val="0E32E1"/>
                  <w:w w:val="88"/>
                </w:rPr>
                <w:t>7</w:t>
              </w:r>
            </w:hyperlink>
          </w:p>
        </w:tc>
      </w:tr>
      <w:tr>
        <w:trPr>
          <w:trHeight w:val="210"/>
        </w:trPr>
        <w:tc>
          <w:tcPr>
            <w:tcW w:w="10920" w:type="dxa"/>
            <w:vAlign w:val="bottom"/>
            <w:gridSpan w:val="11"/>
          </w:tcPr>
          <w:p>
            <w:pPr>
              <w:spacing w:after="0"/>
              <w:rPr>
                <w:rFonts w:ascii="Times New Roman" w:cs="Times New Roman" w:eastAsia="Times New Roman" w:hAnsi="Times New Roman"/>
                <w:sz w:val="18"/>
                <w:szCs w:val="18"/>
                <w:color w:val="0E32E1"/>
              </w:rPr>
            </w:pPr>
            <w:hyperlink w:anchor="page20">
              <w:r>
                <w:rPr>
                  <w:rFonts w:ascii="Times New Roman" w:cs="Times New Roman" w:eastAsia="Times New Roman" w:hAnsi="Times New Roman"/>
                  <w:sz w:val="18"/>
                  <w:szCs w:val="18"/>
                  <w:color w:val="0E32E1"/>
                </w:rPr>
                <w:t>DIRECTOR COMPENSATION</w:t>
              </w:r>
            </w:hyperlink>
          </w:p>
        </w:tc>
        <w:tc>
          <w:tcPr>
            <w:tcW w:w="180" w:type="dxa"/>
            <w:vAlign w:val="bottom"/>
            <w:gridSpan w:val="2"/>
          </w:tcPr>
          <w:p>
            <w:pPr>
              <w:jc w:val="right"/>
              <w:spacing w:after="0"/>
              <w:rPr>
                <w:rFonts w:ascii="Times New Roman" w:cs="Times New Roman" w:eastAsia="Times New Roman" w:hAnsi="Times New Roman"/>
                <w:sz w:val="18"/>
                <w:szCs w:val="18"/>
                <w:color w:val="0E32E1"/>
                <w:w w:val="88"/>
              </w:rPr>
            </w:pPr>
            <w:hyperlink w:anchor="page20">
              <w:r>
                <w:rPr>
                  <w:rFonts w:ascii="Times New Roman" w:cs="Times New Roman" w:eastAsia="Times New Roman" w:hAnsi="Times New Roman"/>
                  <w:sz w:val="18"/>
                  <w:szCs w:val="18"/>
                  <w:color w:val="0E32E1"/>
                  <w:w w:val="88"/>
                </w:rPr>
                <w:t>17</w:t>
              </w:r>
            </w:hyperlink>
          </w:p>
        </w:tc>
      </w:tr>
      <w:tr>
        <w:trPr>
          <w:trHeight w:val="20"/>
        </w:trPr>
        <w:tc>
          <w:tcPr>
            <w:tcW w:w="2320" w:type="dxa"/>
            <w:vAlign w:val="bottom"/>
            <w:gridSpan w:val="2"/>
            <w:shd w:val="clear" w:color="auto" w:fill="0E32E1"/>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36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c>
          <w:tcPr>
            <w:tcW w:w="180" w:type="dxa"/>
            <w:vAlign w:val="bottom"/>
            <w:gridSpan w:val="2"/>
            <w:shd w:val="clear" w:color="auto" w:fill="0E32E1"/>
          </w:tcPr>
          <w:p>
            <w:pPr>
              <w:spacing w:after="0" w:line="20" w:lineRule="exact"/>
              <w:rPr>
                <w:sz w:val="1"/>
                <w:szCs w:val="1"/>
                <w:color w:val="auto"/>
              </w:rPr>
            </w:pPr>
          </w:p>
        </w:tc>
      </w:tr>
      <w:tr>
        <w:trPr>
          <w:trHeight w:val="209"/>
        </w:trPr>
        <w:tc>
          <w:tcPr>
            <w:tcW w:w="2440" w:type="dxa"/>
            <w:vAlign w:val="bottom"/>
            <w:tcBorders>
              <w:bottom w:val="single" w:sz="8" w:color="0E32E1"/>
            </w:tcBorders>
            <w:gridSpan w:val="5"/>
          </w:tcPr>
          <w:p>
            <w:pPr>
              <w:spacing w:after="0"/>
              <w:rPr>
                <w:rFonts w:ascii="Times New Roman" w:cs="Times New Roman" w:eastAsia="Times New Roman" w:hAnsi="Times New Roman"/>
                <w:sz w:val="18"/>
                <w:szCs w:val="18"/>
                <w:color w:val="0E32E1"/>
                <w:w w:val="98"/>
              </w:rPr>
            </w:pPr>
            <w:hyperlink w:anchor="page21">
              <w:r>
                <w:rPr>
                  <w:rFonts w:ascii="Times New Roman" w:cs="Times New Roman" w:eastAsia="Times New Roman" w:hAnsi="Times New Roman"/>
                  <w:sz w:val="18"/>
                  <w:szCs w:val="18"/>
                  <w:color w:val="0E32E1"/>
                  <w:w w:val="98"/>
                </w:rPr>
                <w:t>EXECUTIVE COMPENSATION</w:t>
              </w:r>
            </w:hyperlink>
          </w:p>
        </w:tc>
        <w:tc>
          <w:tcPr>
            <w:tcW w:w="8480" w:type="dxa"/>
            <w:vAlign w:val="bottom"/>
            <w:gridSpan w:val="6"/>
          </w:tcPr>
          <w:p>
            <w:pPr>
              <w:spacing w:after="0"/>
              <w:rPr>
                <w:sz w:val="18"/>
                <w:szCs w:val="18"/>
                <w:color w:val="auto"/>
              </w:rPr>
            </w:pPr>
          </w:p>
        </w:tc>
        <w:tc>
          <w:tcPr>
            <w:tcW w:w="180" w:type="dxa"/>
            <w:vAlign w:val="bottom"/>
            <w:tcBorders>
              <w:bottom w:val="single" w:sz="8" w:color="0E32E1"/>
            </w:tcBorders>
            <w:gridSpan w:val="2"/>
          </w:tcPr>
          <w:p>
            <w:pPr>
              <w:jc w:val="right"/>
              <w:spacing w:after="0"/>
              <w:rPr>
                <w:rFonts w:ascii="Times New Roman" w:cs="Times New Roman" w:eastAsia="Times New Roman" w:hAnsi="Times New Roman"/>
                <w:sz w:val="18"/>
                <w:szCs w:val="18"/>
                <w:color w:val="0E32E1"/>
                <w:w w:val="88"/>
              </w:rPr>
            </w:pPr>
            <w:hyperlink w:anchor="page21">
              <w:r>
                <w:rPr>
                  <w:rFonts w:ascii="Times New Roman" w:cs="Times New Roman" w:eastAsia="Times New Roman" w:hAnsi="Times New Roman"/>
                  <w:sz w:val="18"/>
                  <w:szCs w:val="18"/>
                  <w:color w:val="0E32E1"/>
                  <w:w w:val="88"/>
                </w:rPr>
                <w:t>18</w:t>
              </w:r>
            </w:hyperlink>
          </w:p>
        </w:tc>
      </w:tr>
      <w:tr>
        <w:trPr>
          <w:trHeight w:val="209"/>
        </w:trPr>
        <w:tc>
          <w:tcPr>
            <w:tcW w:w="10920" w:type="dxa"/>
            <w:vAlign w:val="bottom"/>
            <w:gridSpan w:val="11"/>
          </w:tcPr>
          <w:p>
            <w:pPr>
              <w:spacing w:after="0"/>
              <w:rPr>
                <w:rFonts w:ascii="Times New Roman" w:cs="Times New Roman" w:eastAsia="Times New Roman" w:hAnsi="Times New Roman"/>
                <w:sz w:val="18"/>
                <w:szCs w:val="18"/>
                <w:color w:val="0E32E1"/>
              </w:rPr>
            </w:pPr>
            <w:hyperlink w:anchor="page30">
              <w:r>
                <w:rPr>
                  <w:rFonts w:ascii="Times New Roman" w:cs="Times New Roman" w:eastAsia="Times New Roman" w:hAnsi="Times New Roman"/>
                  <w:sz w:val="18"/>
                  <w:szCs w:val="18"/>
                  <w:color w:val="0E32E1"/>
                </w:rPr>
                <w:t>STOCK OWNERSHIP OF CERTAIN BENEFICIAL OWNERS AND MANAGEMENT</w:t>
              </w:r>
            </w:hyperlink>
          </w:p>
        </w:tc>
        <w:tc>
          <w:tcPr>
            <w:tcW w:w="180" w:type="dxa"/>
            <w:vAlign w:val="bottom"/>
            <w:gridSpan w:val="2"/>
          </w:tcPr>
          <w:p>
            <w:pPr>
              <w:jc w:val="right"/>
              <w:spacing w:after="0"/>
              <w:rPr>
                <w:rFonts w:ascii="Times New Roman" w:cs="Times New Roman" w:eastAsia="Times New Roman" w:hAnsi="Times New Roman"/>
                <w:sz w:val="18"/>
                <w:szCs w:val="18"/>
                <w:color w:val="0E32E1"/>
                <w:w w:val="88"/>
              </w:rPr>
            </w:pPr>
            <w:hyperlink w:anchor="page30">
              <w:r>
                <w:rPr>
                  <w:rFonts w:ascii="Times New Roman" w:cs="Times New Roman" w:eastAsia="Times New Roman" w:hAnsi="Times New Roman"/>
                  <w:sz w:val="18"/>
                  <w:szCs w:val="18"/>
                  <w:color w:val="0E32E1"/>
                  <w:w w:val="88"/>
                </w:rPr>
                <w:t>27</w:t>
              </w:r>
            </w:hyperlink>
          </w:p>
        </w:tc>
      </w:tr>
      <w:tr>
        <w:trPr>
          <w:trHeight w:val="210"/>
        </w:trPr>
        <w:tc>
          <w:tcPr>
            <w:tcW w:w="6420" w:type="dxa"/>
            <w:vAlign w:val="bottom"/>
            <w:tcBorders>
              <w:top w:val="single" w:sz="8" w:color="0E32E1"/>
            </w:tcBorders>
            <w:gridSpan w:val="10"/>
          </w:tcPr>
          <w:p>
            <w:pPr>
              <w:spacing w:after="0"/>
              <w:rPr>
                <w:rFonts w:ascii="Times New Roman" w:cs="Times New Roman" w:eastAsia="Times New Roman" w:hAnsi="Times New Roman"/>
                <w:sz w:val="18"/>
                <w:szCs w:val="18"/>
                <w:color w:val="0E32E1"/>
              </w:rPr>
            </w:pPr>
            <w:hyperlink w:anchor="page35">
              <w:r>
                <w:rPr>
                  <w:rFonts w:ascii="Times New Roman" w:cs="Times New Roman" w:eastAsia="Times New Roman" w:hAnsi="Times New Roman"/>
                  <w:sz w:val="18"/>
                  <w:szCs w:val="18"/>
                  <w:color w:val="0E32E1"/>
                </w:rPr>
                <w:t>DELINQUENT SECTION 16(A) REPORTS</w:t>
              </w:r>
            </w:hyperlink>
          </w:p>
        </w:tc>
        <w:tc>
          <w:tcPr>
            <w:tcW w:w="4500" w:type="dxa"/>
            <w:vAlign w:val="bottom"/>
          </w:tcPr>
          <w:p>
            <w:pPr>
              <w:spacing w:after="0"/>
              <w:rPr>
                <w:sz w:val="18"/>
                <w:szCs w:val="18"/>
                <w:color w:val="auto"/>
              </w:rPr>
            </w:pPr>
          </w:p>
        </w:tc>
        <w:tc>
          <w:tcPr>
            <w:tcW w:w="180" w:type="dxa"/>
            <w:vAlign w:val="bottom"/>
            <w:tcBorders>
              <w:top w:val="single" w:sz="8" w:color="0E32E1"/>
            </w:tcBorders>
            <w:gridSpan w:val="2"/>
          </w:tcPr>
          <w:p>
            <w:pPr>
              <w:jc w:val="right"/>
              <w:spacing w:after="0"/>
              <w:rPr>
                <w:rFonts w:ascii="Times New Roman" w:cs="Times New Roman" w:eastAsia="Times New Roman" w:hAnsi="Times New Roman"/>
                <w:sz w:val="18"/>
                <w:szCs w:val="18"/>
                <w:color w:val="0E32E1"/>
                <w:w w:val="88"/>
              </w:rPr>
            </w:pPr>
            <w:hyperlink w:anchor="page35">
              <w:r>
                <w:rPr>
                  <w:rFonts w:ascii="Times New Roman" w:cs="Times New Roman" w:eastAsia="Times New Roman" w:hAnsi="Times New Roman"/>
                  <w:sz w:val="18"/>
                  <w:szCs w:val="18"/>
                  <w:color w:val="0E32E1"/>
                  <w:w w:val="88"/>
                </w:rPr>
                <w:t>32</w:t>
              </w:r>
            </w:hyperlink>
          </w:p>
        </w:tc>
      </w:tr>
      <w:tr>
        <w:trPr>
          <w:trHeight w:val="20"/>
        </w:trPr>
        <w:tc>
          <w:tcPr>
            <w:tcW w:w="2120" w:type="dxa"/>
            <w:vAlign w:val="bottom"/>
            <w:shd w:val="clear" w:color="auto" w:fill="0E32E1"/>
          </w:tcPr>
          <w:p>
            <w:pPr>
              <w:spacing w:after="0" w:line="20" w:lineRule="exact"/>
              <w:rPr>
                <w:sz w:val="1"/>
                <w:szCs w:val="1"/>
                <w:color w:val="auto"/>
              </w:rPr>
            </w:pPr>
          </w:p>
        </w:tc>
        <w:tc>
          <w:tcPr>
            <w:tcW w:w="200" w:type="dxa"/>
            <w:vAlign w:val="bottom"/>
            <w:shd w:val="clear" w:color="auto" w:fill="0E32E1"/>
          </w:tcPr>
          <w:p>
            <w:pPr>
              <w:spacing w:after="0" w:line="20" w:lineRule="exact"/>
              <w:rPr>
                <w:sz w:val="1"/>
                <w:szCs w:val="1"/>
                <w:color w:val="auto"/>
              </w:rPr>
            </w:pPr>
          </w:p>
        </w:tc>
        <w:tc>
          <w:tcPr>
            <w:tcW w:w="20" w:type="dxa"/>
            <w:vAlign w:val="bottom"/>
            <w:shd w:val="clear" w:color="auto" w:fill="0E32E1"/>
          </w:tcPr>
          <w:p>
            <w:pPr>
              <w:spacing w:after="0" w:line="20" w:lineRule="exact"/>
              <w:rPr>
                <w:sz w:val="1"/>
                <w:szCs w:val="1"/>
                <w:color w:val="auto"/>
              </w:rPr>
            </w:pPr>
          </w:p>
        </w:tc>
        <w:tc>
          <w:tcPr>
            <w:tcW w:w="60" w:type="dxa"/>
            <w:vAlign w:val="bottom"/>
            <w:shd w:val="clear" w:color="auto" w:fill="0E32E1"/>
          </w:tcPr>
          <w:p>
            <w:pPr>
              <w:spacing w:after="0" w:line="20" w:lineRule="exact"/>
              <w:rPr>
                <w:sz w:val="1"/>
                <w:szCs w:val="1"/>
                <w:color w:val="auto"/>
              </w:rPr>
            </w:pPr>
          </w:p>
        </w:tc>
        <w:tc>
          <w:tcPr>
            <w:tcW w:w="40" w:type="dxa"/>
            <w:vAlign w:val="bottom"/>
            <w:shd w:val="clear" w:color="auto" w:fill="0E32E1"/>
          </w:tcPr>
          <w:p>
            <w:pPr>
              <w:spacing w:after="0" w:line="20" w:lineRule="exact"/>
              <w:rPr>
                <w:sz w:val="1"/>
                <w:szCs w:val="1"/>
                <w:color w:val="auto"/>
              </w:rPr>
            </w:pPr>
          </w:p>
        </w:tc>
        <w:tc>
          <w:tcPr>
            <w:tcW w:w="800" w:type="dxa"/>
            <w:vAlign w:val="bottom"/>
            <w:shd w:val="clear" w:color="auto" w:fill="0E32E1"/>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c>
          <w:tcPr>
            <w:tcW w:w="80" w:type="dxa"/>
            <w:vAlign w:val="bottom"/>
            <w:shd w:val="clear" w:color="auto" w:fill="0E32E1"/>
          </w:tcPr>
          <w:p>
            <w:pPr>
              <w:spacing w:after="0" w:line="20" w:lineRule="exact"/>
              <w:rPr>
                <w:sz w:val="1"/>
                <w:szCs w:val="1"/>
                <w:color w:val="auto"/>
              </w:rPr>
            </w:pPr>
          </w:p>
        </w:tc>
        <w:tc>
          <w:tcPr>
            <w:tcW w:w="100" w:type="dxa"/>
            <w:vAlign w:val="bottom"/>
            <w:shd w:val="clear" w:color="auto" w:fill="0E32E1"/>
          </w:tcPr>
          <w:p>
            <w:pPr>
              <w:spacing w:after="0" w:line="20" w:lineRule="exact"/>
              <w:rPr>
                <w:sz w:val="1"/>
                <w:szCs w:val="1"/>
                <w:color w:val="auto"/>
              </w:rPr>
            </w:pPr>
          </w:p>
        </w:tc>
      </w:tr>
      <w:tr>
        <w:trPr>
          <w:trHeight w:val="209"/>
        </w:trPr>
        <w:tc>
          <w:tcPr>
            <w:tcW w:w="5600" w:type="dxa"/>
            <w:vAlign w:val="bottom"/>
            <w:tcBorders>
              <w:bottom w:val="single" w:sz="8" w:color="0E32E1"/>
            </w:tcBorders>
            <w:gridSpan w:val="8"/>
          </w:tcPr>
          <w:p>
            <w:pPr>
              <w:spacing w:after="0"/>
              <w:rPr>
                <w:rFonts w:ascii="Times New Roman" w:cs="Times New Roman" w:eastAsia="Times New Roman" w:hAnsi="Times New Roman"/>
                <w:sz w:val="18"/>
                <w:szCs w:val="18"/>
                <w:color w:val="0E32E1"/>
                <w:w w:val="98"/>
              </w:rPr>
            </w:pPr>
            <w:hyperlink w:anchor="page36">
              <w:r>
                <w:rPr>
                  <w:rFonts w:ascii="Times New Roman" w:cs="Times New Roman" w:eastAsia="Times New Roman" w:hAnsi="Times New Roman"/>
                  <w:sz w:val="18"/>
                  <w:szCs w:val="18"/>
                  <w:color w:val="0E32E1"/>
                  <w:w w:val="98"/>
                </w:rPr>
                <w:t>CERTAIN RELATIONSHIPS AND RELATED PERSON TRANSACTIONS</w:t>
              </w:r>
            </w:hyperlink>
          </w:p>
        </w:tc>
        <w:tc>
          <w:tcPr>
            <w:tcW w:w="5320" w:type="dxa"/>
            <w:vAlign w:val="bottom"/>
            <w:gridSpan w:val="3"/>
          </w:tcPr>
          <w:p>
            <w:pPr>
              <w:spacing w:after="0"/>
              <w:rPr>
                <w:sz w:val="18"/>
                <w:szCs w:val="18"/>
                <w:color w:val="auto"/>
              </w:rPr>
            </w:pPr>
          </w:p>
        </w:tc>
        <w:tc>
          <w:tcPr>
            <w:tcW w:w="180" w:type="dxa"/>
            <w:vAlign w:val="bottom"/>
            <w:tcBorders>
              <w:bottom w:val="single" w:sz="8" w:color="0E32E1"/>
            </w:tcBorders>
            <w:gridSpan w:val="2"/>
          </w:tcPr>
          <w:p>
            <w:pPr>
              <w:jc w:val="right"/>
              <w:spacing w:after="0"/>
              <w:rPr>
                <w:rFonts w:ascii="Times New Roman" w:cs="Times New Roman" w:eastAsia="Times New Roman" w:hAnsi="Times New Roman"/>
                <w:sz w:val="18"/>
                <w:szCs w:val="18"/>
                <w:color w:val="0E32E1"/>
                <w:w w:val="88"/>
              </w:rPr>
            </w:pPr>
            <w:hyperlink w:anchor="page36">
              <w:r>
                <w:rPr>
                  <w:rFonts w:ascii="Times New Roman" w:cs="Times New Roman" w:eastAsia="Times New Roman" w:hAnsi="Times New Roman"/>
                  <w:sz w:val="18"/>
                  <w:szCs w:val="18"/>
                  <w:color w:val="0E32E1"/>
                  <w:w w:val="88"/>
                </w:rPr>
                <w:t>33</w:t>
              </w:r>
            </w:hyperlink>
          </w:p>
        </w:tc>
      </w:tr>
      <w:tr>
        <w:trPr>
          <w:trHeight w:val="210"/>
        </w:trPr>
        <w:tc>
          <w:tcPr>
            <w:tcW w:w="6100" w:type="dxa"/>
            <w:vAlign w:val="bottom"/>
            <w:tcBorders>
              <w:bottom w:val="single" w:sz="8" w:color="0E32E1"/>
            </w:tcBorders>
            <w:gridSpan w:val="9"/>
          </w:tcPr>
          <w:p>
            <w:pPr>
              <w:spacing w:after="0"/>
              <w:rPr>
                <w:rFonts w:ascii="Times New Roman" w:cs="Times New Roman" w:eastAsia="Times New Roman" w:hAnsi="Times New Roman"/>
                <w:sz w:val="18"/>
                <w:szCs w:val="18"/>
                <w:color w:val="0E32E1"/>
                <w:w w:val="98"/>
              </w:rPr>
            </w:pPr>
            <w:hyperlink w:anchor="page47">
              <w:r>
                <w:rPr>
                  <w:rFonts w:ascii="Times New Roman" w:cs="Times New Roman" w:eastAsia="Times New Roman" w:hAnsi="Times New Roman"/>
                  <w:sz w:val="18"/>
                  <w:szCs w:val="18"/>
                  <w:color w:val="0E32E1"/>
                  <w:w w:val="98"/>
                </w:rPr>
                <w:t>PROPOSAL 2: RATIFICATION OF INDEPENDENT AUDITOR APPOINTMENT</w:t>
              </w:r>
            </w:hyperlink>
          </w:p>
        </w:tc>
        <w:tc>
          <w:tcPr>
            <w:tcW w:w="4820" w:type="dxa"/>
            <w:vAlign w:val="bottom"/>
            <w:gridSpan w:val="2"/>
          </w:tcPr>
          <w:p>
            <w:pPr>
              <w:spacing w:after="0"/>
              <w:rPr>
                <w:sz w:val="18"/>
                <w:szCs w:val="18"/>
                <w:color w:val="auto"/>
              </w:rPr>
            </w:pPr>
          </w:p>
        </w:tc>
        <w:tc>
          <w:tcPr>
            <w:tcW w:w="180" w:type="dxa"/>
            <w:vAlign w:val="bottom"/>
            <w:tcBorders>
              <w:bottom w:val="single" w:sz="8" w:color="0E32E1"/>
            </w:tcBorders>
            <w:gridSpan w:val="2"/>
          </w:tcPr>
          <w:p>
            <w:pPr>
              <w:jc w:val="right"/>
              <w:spacing w:after="0"/>
              <w:rPr>
                <w:rFonts w:ascii="Times New Roman" w:cs="Times New Roman" w:eastAsia="Times New Roman" w:hAnsi="Times New Roman"/>
                <w:sz w:val="18"/>
                <w:szCs w:val="18"/>
                <w:color w:val="0E32E1"/>
                <w:w w:val="88"/>
              </w:rPr>
            </w:pPr>
            <w:hyperlink w:anchor="page47">
              <w:r>
                <w:rPr>
                  <w:rFonts w:ascii="Times New Roman" w:cs="Times New Roman" w:eastAsia="Times New Roman" w:hAnsi="Times New Roman"/>
                  <w:sz w:val="18"/>
                  <w:szCs w:val="18"/>
                  <w:color w:val="0E32E1"/>
                  <w:w w:val="88"/>
                </w:rPr>
                <w:t>44</w:t>
              </w:r>
            </w:hyperlink>
          </w:p>
        </w:tc>
      </w:tr>
      <w:tr>
        <w:trPr>
          <w:trHeight w:val="209"/>
        </w:trPr>
        <w:tc>
          <w:tcPr>
            <w:tcW w:w="2400" w:type="dxa"/>
            <w:vAlign w:val="bottom"/>
            <w:tcBorders>
              <w:bottom w:val="single" w:sz="8" w:color="0E32E1"/>
            </w:tcBorders>
            <w:gridSpan w:val="4"/>
          </w:tcPr>
          <w:p>
            <w:pPr>
              <w:spacing w:after="0"/>
              <w:rPr>
                <w:rFonts w:ascii="Times New Roman" w:cs="Times New Roman" w:eastAsia="Times New Roman" w:hAnsi="Times New Roman"/>
                <w:sz w:val="18"/>
                <w:szCs w:val="18"/>
                <w:color w:val="0E32E1"/>
                <w:w w:val="98"/>
              </w:rPr>
            </w:pPr>
            <w:hyperlink w:anchor="page48">
              <w:r>
                <w:rPr>
                  <w:rFonts w:ascii="Times New Roman" w:cs="Times New Roman" w:eastAsia="Times New Roman" w:hAnsi="Times New Roman"/>
                  <w:sz w:val="18"/>
                  <w:szCs w:val="18"/>
                  <w:color w:val="0E32E1"/>
                  <w:w w:val="98"/>
                </w:rPr>
                <w:t>AUDIT COMMITTEE REPORT</w:t>
              </w:r>
            </w:hyperlink>
          </w:p>
        </w:tc>
        <w:tc>
          <w:tcPr>
            <w:tcW w:w="8520" w:type="dxa"/>
            <w:vAlign w:val="bottom"/>
            <w:gridSpan w:val="7"/>
          </w:tcPr>
          <w:p>
            <w:pPr>
              <w:spacing w:after="0"/>
              <w:rPr>
                <w:sz w:val="18"/>
                <w:szCs w:val="18"/>
                <w:color w:val="auto"/>
              </w:rPr>
            </w:pPr>
          </w:p>
        </w:tc>
        <w:tc>
          <w:tcPr>
            <w:tcW w:w="180" w:type="dxa"/>
            <w:vAlign w:val="bottom"/>
            <w:tcBorders>
              <w:bottom w:val="single" w:sz="8" w:color="0E32E1"/>
            </w:tcBorders>
            <w:gridSpan w:val="2"/>
          </w:tcPr>
          <w:p>
            <w:pPr>
              <w:jc w:val="right"/>
              <w:spacing w:after="0"/>
              <w:rPr>
                <w:rFonts w:ascii="Times New Roman" w:cs="Times New Roman" w:eastAsia="Times New Roman" w:hAnsi="Times New Roman"/>
                <w:sz w:val="18"/>
                <w:szCs w:val="18"/>
                <w:color w:val="0E32E1"/>
                <w:w w:val="88"/>
              </w:rPr>
            </w:pPr>
            <w:hyperlink w:anchor="page48">
              <w:r>
                <w:rPr>
                  <w:rFonts w:ascii="Times New Roman" w:cs="Times New Roman" w:eastAsia="Times New Roman" w:hAnsi="Times New Roman"/>
                  <w:sz w:val="18"/>
                  <w:szCs w:val="18"/>
                  <w:color w:val="0E32E1"/>
                  <w:w w:val="88"/>
                </w:rPr>
                <w:t>45</w:t>
              </w:r>
            </w:hyperlink>
          </w:p>
        </w:tc>
      </w:tr>
      <w:tr>
        <w:trPr>
          <w:trHeight w:val="209"/>
        </w:trPr>
        <w:tc>
          <w:tcPr>
            <w:tcW w:w="2400" w:type="dxa"/>
            <w:vAlign w:val="bottom"/>
            <w:tcBorders>
              <w:bottom w:val="single" w:sz="8" w:color="0E32E1"/>
            </w:tcBorders>
            <w:gridSpan w:val="4"/>
          </w:tcPr>
          <w:p>
            <w:pPr>
              <w:spacing w:after="0"/>
              <w:rPr>
                <w:rFonts w:ascii="Times New Roman" w:cs="Times New Roman" w:eastAsia="Times New Roman" w:hAnsi="Times New Roman"/>
                <w:sz w:val="18"/>
                <w:szCs w:val="18"/>
                <w:color w:val="0E32E1"/>
                <w:w w:val="98"/>
              </w:rPr>
            </w:pPr>
            <w:hyperlink w:anchor="page49">
              <w:r>
                <w:rPr>
                  <w:rFonts w:ascii="Times New Roman" w:cs="Times New Roman" w:eastAsia="Times New Roman" w:hAnsi="Times New Roman"/>
                  <w:sz w:val="18"/>
                  <w:szCs w:val="18"/>
                  <w:color w:val="0E32E1"/>
                  <w:w w:val="98"/>
                </w:rPr>
                <w:t>ADDITIONAL INFORMATION</w:t>
              </w:r>
            </w:hyperlink>
          </w:p>
        </w:tc>
        <w:tc>
          <w:tcPr>
            <w:tcW w:w="8520" w:type="dxa"/>
            <w:vAlign w:val="bottom"/>
            <w:gridSpan w:val="7"/>
          </w:tcPr>
          <w:p>
            <w:pPr>
              <w:spacing w:after="0"/>
              <w:rPr>
                <w:sz w:val="18"/>
                <w:szCs w:val="18"/>
                <w:color w:val="auto"/>
              </w:rPr>
            </w:pPr>
          </w:p>
        </w:tc>
        <w:tc>
          <w:tcPr>
            <w:tcW w:w="180" w:type="dxa"/>
            <w:vAlign w:val="bottom"/>
            <w:tcBorders>
              <w:bottom w:val="single" w:sz="8" w:color="0E32E1"/>
            </w:tcBorders>
            <w:gridSpan w:val="2"/>
          </w:tcPr>
          <w:p>
            <w:pPr>
              <w:jc w:val="right"/>
              <w:spacing w:after="0"/>
              <w:rPr>
                <w:rFonts w:ascii="Times New Roman" w:cs="Times New Roman" w:eastAsia="Times New Roman" w:hAnsi="Times New Roman"/>
                <w:sz w:val="18"/>
                <w:szCs w:val="18"/>
                <w:color w:val="0E32E1"/>
                <w:w w:val="88"/>
              </w:rPr>
            </w:pPr>
            <w:hyperlink w:anchor="page49">
              <w:r>
                <w:rPr>
                  <w:rFonts w:ascii="Times New Roman" w:cs="Times New Roman" w:eastAsia="Times New Roman" w:hAnsi="Times New Roman"/>
                  <w:sz w:val="18"/>
                  <w:szCs w:val="18"/>
                  <w:color w:val="0E32E1"/>
                  <w:w w:val="88"/>
                </w:rPr>
                <w:t>46</w:t>
              </w:r>
            </w:hyperlink>
          </w:p>
        </w:tc>
      </w:tr>
    </w:tbl>
    <w:p>
      <w:pPr>
        <w:spacing w:after="0" w:line="315" w:lineRule="exact"/>
        <w:rPr>
          <w:sz w:val="20"/>
          <w:szCs w:val="20"/>
          <w:color w:val="auto"/>
        </w:rPr>
      </w:pPr>
    </w:p>
    <w:p>
      <w:pPr>
        <w:spacing w:after="0" w:line="239" w:lineRule="auto"/>
        <w:rPr>
          <w:sz w:val="20"/>
          <w:szCs w:val="20"/>
          <w:color w:val="auto"/>
        </w:rPr>
      </w:pPr>
      <w:r>
        <w:rPr>
          <w:rFonts w:ascii="Times New Roman" w:cs="Times New Roman" w:eastAsia="Times New Roman" w:hAnsi="Times New Roman"/>
          <w:sz w:val="18"/>
          <w:szCs w:val="18"/>
          <w:b w:val="1"/>
          <w:bCs w:val="1"/>
          <w:i w:val="1"/>
          <w:iCs w:val="1"/>
          <w:color w:val="auto"/>
        </w:rPr>
        <w:t>Although we refer to our website in this proxy statement, the contents of our website are not included or incorporated by reference into this proxy statement. All references to our website in this proxy statement are intended to be inactive textual references only.</w:t>
      </w:r>
    </w:p>
    <w:p>
      <w:pPr>
        <w:sectPr>
          <w:pgSz w:w="11900" w:h="16838" w:orient="portrait"/>
          <w:cols w:equalWidth="0" w:num="1">
            <w:col w:w="11240"/>
          </w:cols>
          <w:pgMar w:left="320" w:top="1440" w:right="339" w:bottom="1440" w:gutter="0" w:footer="0" w:header="0"/>
        </w:sectPr>
      </w:pPr>
    </w:p>
    <w:bookmarkStart w:id="4" w:name="page5"/>
    <w:bookmarkEnd w:id="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2917190</wp:posOffset>
            </wp:positionH>
            <wp:positionV relativeFrom="page">
              <wp:posOffset>1023620</wp:posOffset>
            </wp:positionV>
            <wp:extent cx="1714500" cy="6515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clrChange>
                        <a:clrFrom>
                          <a:srgbClr val="FFFFFF"/>
                        </a:clrFrom>
                        <a:clrTo>
                          <a:srgbClr val="FFFFFF">
                            <a:alpha val="0"/>
                          </a:srgbClr>
                        </a:clrTo>
                      </a:clrChange>
                      <a:extLst>
                        <a:ext uri="{28A0092B-C50C-407E-A947-70E740481C1C}"/>
                      </a:extLst>
                    </a:blip>
                    <a:srcRect/>
                    <a:stretch>
                      <a:fillRect/>
                    </a:stretch>
                  </pic:blipFill>
                  <pic:spPr bwMode="auto">
                    <a:xfrm>
                      <a:off x="0" y="0"/>
                      <a:ext cx="1714500" cy="651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8"/>
          <w:szCs w:val="18"/>
          <w:b w:val="1"/>
          <w:bCs w:val="1"/>
          <w:color w:val="auto"/>
        </w:rPr>
        <w:t>PROXY STATEMENT</w:t>
      </w:r>
    </w:p>
    <w:p>
      <w:pPr>
        <w:spacing w:after="0" w:line="164" w:lineRule="exact"/>
        <w:rPr>
          <w:sz w:val="20"/>
          <w:szCs w:val="20"/>
          <w:color w:val="auto"/>
        </w:rPr>
      </w:pPr>
    </w:p>
    <w:p>
      <w:pPr>
        <w:ind w:left="3660"/>
        <w:spacing w:after="0"/>
        <w:rPr>
          <w:sz w:val="20"/>
          <w:szCs w:val="20"/>
          <w:color w:val="auto"/>
        </w:rPr>
      </w:pPr>
      <w:r>
        <w:rPr>
          <w:rFonts w:ascii="Times New Roman" w:cs="Times New Roman" w:eastAsia="Times New Roman" w:hAnsi="Times New Roman"/>
          <w:sz w:val="18"/>
          <w:szCs w:val="18"/>
          <w:b w:val="1"/>
          <w:bCs w:val="1"/>
          <w:color w:val="auto"/>
        </w:rPr>
        <w:t>2022 ANNUAL MEETING OF STOCKHOLDERS</w:t>
      </w: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TO BE HELD ON MAY 24, 2022</w:t>
      </w:r>
    </w:p>
    <w:p>
      <w:pPr>
        <w:spacing w:after="0" w:line="1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GENERAL INFORMATION</w:t>
      </w:r>
    </w:p>
    <w:p>
      <w:pPr>
        <w:spacing w:after="0" w:line="202" w:lineRule="exact"/>
        <w:rPr>
          <w:sz w:val="20"/>
          <w:szCs w:val="20"/>
          <w:color w:val="auto"/>
        </w:rPr>
      </w:pPr>
    </w:p>
    <w:p>
      <w:pPr>
        <w:ind w:right="40" w:firstLine="324"/>
        <w:spacing w:after="0" w:line="256" w:lineRule="auto"/>
        <w:rPr>
          <w:sz w:val="20"/>
          <w:szCs w:val="20"/>
          <w:color w:val="auto"/>
        </w:rPr>
      </w:pPr>
      <w:r>
        <w:rPr>
          <w:rFonts w:ascii="Times New Roman" w:cs="Times New Roman" w:eastAsia="Times New Roman" w:hAnsi="Times New Roman"/>
          <w:sz w:val="18"/>
          <w:szCs w:val="18"/>
          <w:color w:val="auto"/>
        </w:rPr>
        <w:t>Perella Weinberg Partners is providing this proxy statement to you in connection with the solicitation of proxies by the board of directors for our 2022 Annual Meeting of Stockholders to be held on Tuesday, May 24, 2022, at 10:00 a.m. (Eastern Time) at http://www.virtualshareholdermeeting.com/PWP2022, and any adjournment or postponement of that meeting (the “Annual Meeting”). As a stockholder, you are invited to attend the Annual Meeting and are entitled and encouraged to vote on the proposals described in this proxy statement. On or about April 12, 2022, we mailed our stockholders a Notice of Internet Availability of Proxy Materials containing instructions on how to access our proxy statement and our 2021 Annual Report on Form 10-K.</w:t>
      </w:r>
    </w:p>
    <w:p>
      <w:pPr>
        <w:spacing w:after="0" w:line="160" w:lineRule="exact"/>
        <w:rPr>
          <w:sz w:val="20"/>
          <w:szCs w:val="20"/>
          <w:color w:val="auto"/>
        </w:rPr>
      </w:pPr>
    </w:p>
    <w:p>
      <w:pPr>
        <w:ind w:right="420" w:firstLine="324"/>
        <w:spacing w:after="0" w:line="282" w:lineRule="auto"/>
        <w:rPr>
          <w:sz w:val="20"/>
          <w:szCs w:val="20"/>
          <w:color w:val="auto"/>
        </w:rPr>
      </w:pPr>
      <w:r>
        <w:rPr>
          <w:rFonts w:ascii="Times New Roman" w:cs="Times New Roman" w:eastAsia="Times New Roman" w:hAnsi="Times New Roman"/>
          <w:sz w:val="18"/>
          <w:szCs w:val="18"/>
          <w:color w:val="auto"/>
        </w:rPr>
        <w:t>We are a leading global independent advisory firm that provides strategic and financial advice to clients across a range of the most active industry sectors and international markets.</w:t>
      </w:r>
    </w:p>
    <w:p>
      <w:pPr>
        <w:spacing w:after="0" w:line="121"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PWP is a holding company and our only material assets are our partnership interests in PWP Holdings LP (“PWP OpCo”) and our equity interest in the general partner of PWP OpCo, PWP GP LLC (“PWP GP”). We operate and control all of the business and affairs of our advisory business, as run by PWP OpCo and its operating entity subsidiaries, indirectly through our equity interest in PWP GP.</w:t>
      </w:r>
    </w:p>
    <w:p>
      <w:pPr>
        <w:spacing w:after="0" w:line="135" w:lineRule="exact"/>
        <w:rPr>
          <w:sz w:val="20"/>
          <w:szCs w:val="20"/>
          <w:color w:val="auto"/>
        </w:rPr>
      </w:pPr>
    </w:p>
    <w:p>
      <w:pPr>
        <w:ind w:right="40" w:firstLine="324"/>
        <w:spacing w:after="0" w:line="258" w:lineRule="auto"/>
        <w:rPr>
          <w:sz w:val="20"/>
          <w:szCs w:val="20"/>
          <w:color w:val="auto"/>
        </w:rPr>
      </w:pPr>
      <w:r>
        <w:rPr>
          <w:rFonts w:ascii="Times New Roman" w:cs="Times New Roman" w:eastAsia="Times New Roman" w:hAnsi="Times New Roman"/>
          <w:sz w:val="18"/>
          <w:szCs w:val="18"/>
          <w:color w:val="auto"/>
        </w:rPr>
        <w:t>In this proxy statement, unless the context requires otherwise, any of the “Company,” “PWP,” “we,” “us” and “our” refers to Perella Weinberg Partners and its subsidiaries, and for periods prior to the reorganization in connection with our business combination (the “Business Combination”) refers to the advisory business of our predecessor company, PWP OpCo. In connection with the closing of our Business Combination, we acquired interests in PWP OpCo, which is jointly-owned by PWP, PWP Professional Partners LP (“Professional Partners”) and certain existing partners of PWP OpCo. PWP OpCo serves as the Company’s operating partnership.</w:t>
      </w:r>
    </w:p>
    <w:p>
      <w:pPr>
        <w:spacing w:after="0" w:line="156" w:lineRule="exact"/>
        <w:rPr>
          <w:sz w:val="20"/>
          <w:szCs w:val="20"/>
          <w:color w:val="auto"/>
        </w:rPr>
      </w:pPr>
    </w:p>
    <w:p>
      <w:pPr>
        <w:ind w:right="120" w:firstLine="324"/>
        <w:spacing w:after="0" w:line="282" w:lineRule="auto"/>
        <w:rPr>
          <w:sz w:val="20"/>
          <w:szCs w:val="20"/>
          <w:color w:val="auto"/>
        </w:rPr>
      </w:pPr>
      <w:r>
        <w:rPr>
          <w:rFonts w:ascii="Times New Roman" w:cs="Times New Roman" w:eastAsia="Times New Roman" w:hAnsi="Times New Roman"/>
          <w:sz w:val="18"/>
          <w:szCs w:val="18"/>
          <w:color w:val="auto"/>
        </w:rPr>
        <w:t>Perella Weinberg Partners was formed in June 2006 and completed our Business Combination in June 2021. Our Class A common stock trades on the Nasdaq Global Select Market (“Nasdaq”) under the symbol “PWP.”</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Below are answers to common questions stockholders may have about the Annual Meeting.</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Why did I receive a Notice of Internet Availability of Proxy Materials instead of a full set of proxy materials?</w:t>
      </w:r>
    </w:p>
    <w:p>
      <w:pPr>
        <w:spacing w:after="0" w:line="189"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color w:val="auto"/>
        </w:rPr>
        <w:t>Under rules adopted by the U.S. Securities and Exchange Commission (“SEC”), we are furnishing proxy materials to our stockholders online at www.proxyvote.com, rather than mailing printed copies of our proxy materials. We believe that this process expedites stockholders’ receipt of these materials, lowers the costs of our Annual Meeting and helps to conserve natural resources. If you received a Notice of Internet Availability of Proxy Materials by mail, you will not receive printed copies of the proxy materials unless you request them. Instead, the notice will contain instructions on how to access and review the proxy materials online, including this proxy statement and our annual report on Form 10-K for the fiscal year ended December 31, 2021, as well as the proxy card to vote online. If you would like printed copies of the proxy materials, please follow the instructions on the notice.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240"/>
          </w:cols>
          <w:pgMar w:left="320" w:top="1440" w:right="339" w:bottom="1440" w:gutter="0" w:footer="0" w:header="0"/>
        </w:sectPr>
      </w:pPr>
    </w:p>
    <w:bookmarkStart w:id="5" w:name="page6"/>
    <w:bookmarkEnd w:id="5"/>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Who is entitled to vote at the Annual Meeting?</w:t>
      </w:r>
    </w:p>
    <w:p>
      <w:pPr>
        <w:spacing w:after="0" w:line="189" w:lineRule="exact"/>
        <w:rPr>
          <w:sz w:val="20"/>
          <w:szCs w:val="20"/>
          <w:color w:val="auto"/>
        </w:rPr>
      </w:pPr>
    </w:p>
    <w:p>
      <w:pPr>
        <w:ind w:right="80" w:firstLine="324"/>
        <w:spacing w:after="0" w:line="258" w:lineRule="auto"/>
        <w:rPr>
          <w:sz w:val="20"/>
          <w:szCs w:val="20"/>
          <w:color w:val="auto"/>
        </w:rPr>
      </w:pPr>
      <w:r>
        <w:rPr>
          <w:rFonts w:ascii="Times New Roman" w:cs="Times New Roman" w:eastAsia="Times New Roman" w:hAnsi="Times New Roman"/>
          <w:sz w:val="18"/>
          <w:szCs w:val="18"/>
          <w:color w:val="auto"/>
        </w:rPr>
        <w:t>Only stockholders of record of PWP Class A common stock and Class B common stock as of the close of business on March 30, 2022 (the “Record Date”) are entitled to receive notice and to vote their shares at the Annual Meeting. As of the close of business on the Record Date, there were 47,037,195 shares of Class A common stock, 44,354,908.737 shares of Class B-1 common stock and 1,964,044.000 shares of Class B-2 common stock outstanding. Holders of our Class A common stock are entitled to one vote for each share, and holders of our Class B common stock are entitled to ten votes for each share. Holders of our Class A common stock and Class B common stock will vote as a single class on all matters at the Annual Meeting.</w:t>
      </w:r>
    </w:p>
    <w:p>
      <w:pPr>
        <w:spacing w:after="0" w:line="156" w:lineRule="exact"/>
        <w:rPr>
          <w:sz w:val="20"/>
          <w:szCs w:val="20"/>
          <w:color w:val="auto"/>
        </w:rPr>
      </w:pPr>
    </w:p>
    <w:p>
      <w:pPr>
        <w:ind w:right="100" w:firstLine="324"/>
        <w:spacing w:after="0" w:line="266" w:lineRule="auto"/>
        <w:rPr>
          <w:sz w:val="20"/>
          <w:szCs w:val="20"/>
          <w:color w:val="auto"/>
        </w:rPr>
      </w:pPr>
      <w:r>
        <w:rPr>
          <w:rFonts w:ascii="Times New Roman" w:cs="Times New Roman" w:eastAsia="Times New Roman" w:hAnsi="Times New Roman"/>
          <w:sz w:val="18"/>
          <w:szCs w:val="18"/>
          <w:color w:val="auto"/>
        </w:rPr>
        <w:t>You may vote all of the shares owned by you as of the close of business on the Record Date. These shares include shares that are (i) held of record directly in your name (in which case, you are a “record holder” with respect to such shares) and (ii) held for you as the beneficial owner through a broker, bank or other nominee. There are some distinctions between being a record holder and a beneficial owner, as described below.</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What is the difference between a stockholder of record and a beneficial owner?</w:t>
      </w:r>
    </w:p>
    <w:p>
      <w:pPr>
        <w:spacing w:after="0" w:line="187" w:lineRule="exact"/>
        <w:rPr>
          <w:sz w:val="20"/>
          <w:szCs w:val="20"/>
          <w:color w:val="auto"/>
        </w:rPr>
      </w:pPr>
    </w:p>
    <w:p>
      <w:pPr>
        <w:ind w:right="160"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Stockholder of Record. </w:t>
      </w:r>
      <w:r>
        <w:rPr>
          <w:rFonts w:ascii="Times New Roman" w:cs="Times New Roman" w:eastAsia="Times New Roman" w:hAnsi="Times New Roman"/>
          <w:sz w:val="18"/>
          <w:szCs w:val="18"/>
          <w:color w:val="auto"/>
        </w:rPr>
        <w:t>If your shares are registered directly in your name with our transfer agent, American Stock Transfer &amp; Trust Company, LLC,</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you are a stockholder of record.</w:t>
      </w:r>
    </w:p>
    <w:p>
      <w:pPr>
        <w:spacing w:after="0" w:line="158" w:lineRule="exact"/>
        <w:rPr>
          <w:sz w:val="20"/>
          <w:szCs w:val="20"/>
          <w:color w:val="auto"/>
        </w:rPr>
      </w:pPr>
    </w:p>
    <w:p>
      <w:pPr>
        <w:ind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Beneficial Owner. </w:t>
      </w:r>
      <w:r>
        <w:rPr>
          <w:rFonts w:ascii="Times New Roman" w:cs="Times New Roman" w:eastAsia="Times New Roman" w:hAnsi="Times New Roman"/>
          <w:sz w:val="18"/>
          <w:szCs w:val="18"/>
          <w:color w:val="auto"/>
        </w:rPr>
        <w:t>If your shares are held in a stock brokerage account or by a bank or other nominee, then you are a beneficial owner of shares held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“street name,” and the proxy materials were forwarded to you by your broker or other nominee who is considered, with respect to those shares, the stockholder of record. As a beneficial owner, you have the right to direct your broker or other nominee on how to vote the shares you hold in your account.</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What items will be voted on at the Annual Meeting?</w:t>
      </w:r>
    </w:p>
    <w:p>
      <w:pPr>
        <w:spacing w:after="0" w:line="1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There are two proposals to be voted on at the Annual Meeting:</w:t>
      </w:r>
    </w:p>
    <w:p>
      <w:pPr>
        <w:spacing w:after="0" w:line="225" w:lineRule="exact"/>
        <w:rPr>
          <w:sz w:val="20"/>
          <w:szCs w:val="20"/>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election of five directors to our board of directors; and</w:t>
      </w:r>
    </w:p>
    <w:p>
      <w:pPr>
        <w:spacing w:after="0" w:line="225" w:lineRule="exact"/>
        <w:rPr>
          <w:rFonts w:ascii="Times New Roman" w:cs="Times New Roman" w:eastAsia="Times New Roman" w:hAnsi="Times New Roman"/>
          <w:sz w:val="18"/>
          <w:szCs w:val="18"/>
          <w:color w:val="auto"/>
        </w:rPr>
      </w:pPr>
    </w:p>
    <w:p>
      <w:pPr>
        <w:ind w:left="660" w:right="700" w:hanging="328"/>
        <w:spacing w:after="0" w:line="282"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ratification of the appointment of Ernst &amp; Young LLP as our independent registered public accounting firm for the fiscal year ending December 31, 2022.</w:t>
      </w:r>
    </w:p>
    <w:p>
      <w:pPr>
        <w:spacing w:after="0" w:line="135" w:lineRule="exact"/>
        <w:rPr>
          <w:sz w:val="20"/>
          <w:szCs w:val="20"/>
          <w:color w:val="auto"/>
        </w:rPr>
      </w:pPr>
    </w:p>
    <w:p>
      <w:pPr>
        <w:ind w:right="60" w:firstLine="324"/>
        <w:spacing w:after="0" w:line="266" w:lineRule="auto"/>
        <w:rPr>
          <w:sz w:val="20"/>
          <w:szCs w:val="20"/>
          <w:color w:val="auto"/>
        </w:rPr>
      </w:pPr>
      <w:r>
        <w:rPr>
          <w:rFonts w:ascii="Times New Roman" w:cs="Times New Roman" w:eastAsia="Times New Roman" w:hAnsi="Times New Roman"/>
          <w:sz w:val="18"/>
          <w:szCs w:val="18"/>
          <w:color w:val="auto"/>
        </w:rPr>
        <w:t>Our amended and restated bylaws (the “bylaws”) require that we receive advance notice of any proposals to be brought before the Annual Meeting by our stockholders. We have not received any such proposals. We do not anticipate any other matters will come before the Annual Meeting. If any other matter properly comes before the Annual Meeting, the proxy holders appointed by our board of directors will have discretion to vote on those matters.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board of directors recommends:</w:t>
      </w:r>
    </w:p>
    <w:p>
      <w:pPr>
        <w:spacing w:after="0" w:line="229" w:lineRule="exact"/>
        <w:rPr>
          <w:sz w:val="20"/>
          <w:szCs w:val="20"/>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you vote “FOR” each of the nominees in Proposal 1; and</w:t>
      </w:r>
    </w:p>
    <w:p>
      <w:pPr>
        <w:spacing w:after="0" w:line="225" w:lineRule="exact"/>
        <w:rPr>
          <w:rFonts w:ascii="Times New Roman" w:cs="Times New Roman" w:eastAsia="Times New Roman" w:hAnsi="Times New Roman"/>
          <w:sz w:val="18"/>
          <w:szCs w:val="18"/>
          <w:color w:val="auto"/>
        </w:rPr>
      </w:pPr>
    </w:p>
    <w:p>
      <w:pPr>
        <w:ind w:left="660" w:right="160" w:hanging="328"/>
        <w:spacing w:after="0" w:line="282"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you vote “FOR” the ratification of the appointment of Ernst &amp; Young LLP as our independent registered public accounting firm for 2022 in Proposal 2.</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What do I need to do if I want to attend the meeting?</w:t>
      </w:r>
    </w:p>
    <w:p>
      <w:pPr>
        <w:spacing w:after="0" w:line="189"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color w:val="auto"/>
        </w:rPr>
        <w:t>You may attend the Annual Meeting, as well as vote during the Annual Meeting, by visiting http://www.virtualshareholdermeeting.com/PWP2022. You will need your 16-digit control number, which appears in the notice, the proxy card or voting instructions that accompanied the proxy materials. In the event that you do not have a control number, please contact your broker, bank or other nominee as soon as possible so that you can be provided with a control number and gain access to the meeting.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180"/>
          </w:cols>
          <w:pgMar w:left="320" w:top="1440" w:right="399" w:bottom="1440" w:gutter="0" w:footer="0" w:header="0"/>
        </w:sectPr>
      </w:pPr>
    </w:p>
    <w:bookmarkStart w:id="6" w:name="page7"/>
    <w:bookmarkEnd w:id="6"/>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What constitutes a quorum at the Annual Meeting?</w:t>
      </w:r>
    </w:p>
    <w:p>
      <w:pPr>
        <w:spacing w:after="0" w:line="189" w:lineRule="exact"/>
        <w:rPr>
          <w:sz w:val="20"/>
          <w:szCs w:val="20"/>
          <w:color w:val="auto"/>
        </w:rPr>
      </w:pPr>
    </w:p>
    <w:p>
      <w:pPr>
        <w:ind w:right="140" w:firstLine="324"/>
        <w:spacing w:after="0" w:line="282" w:lineRule="auto"/>
        <w:rPr>
          <w:sz w:val="20"/>
          <w:szCs w:val="20"/>
          <w:color w:val="auto"/>
        </w:rPr>
      </w:pPr>
      <w:r>
        <w:rPr>
          <w:rFonts w:ascii="Times New Roman" w:cs="Times New Roman" w:eastAsia="Times New Roman" w:hAnsi="Times New Roman"/>
          <w:sz w:val="18"/>
          <w:szCs w:val="18"/>
          <w:color w:val="auto"/>
        </w:rPr>
        <w:t>The presence, in person or represented by proxy, of holders of a majority in voting power of the Company’s capital stock entitled to vote constitutes a quorum. A quorum is required in order to hold and conduct business at the Annual Meeting.</w:t>
      </w:r>
    </w:p>
    <w:p>
      <w:pPr>
        <w:spacing w:after="0" w:line="135"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auto"/>
        </w:rPr>
        <w:t>If you submit your proxy, regardless of whether you abstain from voting on one or more matters, your shares will be counted as present at the Annual Meeting for the purpose of determining a quorum. If your shares are held in “street name,” your shares are counted as present for purposes of determining a quorum if your broker, bank, trust or other nominee submits a proxy covering your shares. Your broker, bank, trust or other nominee is entitled to submit a proxy covering your shares as to certain “routine” matters, even if you have not instructed your broker, bank, trust or other nominee on how to vote on those matters.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How do I vote?</w:t>
      </w:r>
    </w:p>
    <w:p>
      <w:pPr>
        <w:spacing w:after="0" w:line="189" w:lineRule="exact"/>
        <w:rPr>
          <w:sz w:val="20"/>
          <w:szCs w:val="20"/>
          <w:color w:val="auto"/>
        </w:rPr>
      </w:pPr>
    </w:p>
    <w:p>
      <w:pPr>
        <w:ind w:right="580" w:firstLine="324"/>
        <w:spacing w:after="0" w:line="282" w:lineRule="auto"/>
        <w:rPr>
          <w:sz w:val="20"/>
          <w:szCs w:val="20"/>
          <w:color w:val="auto"/>
        </w:rPr>
      </w:pPr>
      <w:r>
        <w:rPr>
          <w:rFonts w:ascii="Times New Roman" w:cs="Times New Roman" w:eastAsia="Times New Roman" w:hAnsi="Times New Roman"/>
          <w:sz w:val="18"/>
          <w:szCs w:val="18"/>
          <w:color w:val="auto"/>
        </w:rPr>
        <w:t>If you hold your shares through a brokerage firm, bank, broker-dealer or other similar organization, please follow their instructions. If you are a stockholder of record, you can vote through the following methods:</w:t>
      </w:r>
    </w:p>
    <w:p>
      <w:pPr>
        <w:spacing w:after="0" w:line="160" w:lineRule="exact"/>
        <w:rPr>
          <w:sz w:val="20"/>
          <w:szCs w:val="20"/>
          <w:color w:val="auto"/>
        </w:rPr>
      </w:pPr>
    </w:p>
    <w:p>
      <w:pPr>
        <w:ind w:left="660" w:right="360" w:hanging="328"/>
        <w:spacing w:after="0" w:line="284"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Via the Internet. </w:t>
      </w:r>
      <w:r>
        <w:rPr>
          <w:rFonts w:ascii="Times New Roman" w:cs="Times New Roman" w:eastAsia="Times New Roman" w:hAnsi="Times New Roman"/>
          <w:sz w:val="18"/>
          <w:szCs w:val="18"/>
          <w:color w:val="auto"/>
        </w:rPr>
        <w:t>You may vote via the Internet by visiting http://www.proxyvote.com and entering the 16-digit control number for your shares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located on the Notice of Internet Availability of Proxy Materials or proxy card.</w:t>
      </w:r>
    </w:p>
    <w:p>
      <w:pPr>
        <w:spacing w:after="0" w:line="15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By telephone. </w:t>
      </w:r>
      <w:r>
        <w:rPr>
          <w:rFonts w:ascii="Times New Roman" w:cs="Times New Roman" w:eastAsia="Times New Roman" w:hAnsi="Times New Roman"/>
          <w:sz w:val="18"/>
          <w:szCs w:val="18"/>
          <w:color w:val="auto"/>
        </w:rPr>
        <w:t>You may vote by telephone by calling the telephone number and following the instructions provided on your proxy card.</w:t>
      </w:r>
    </w:p>
    <w:p>
      <w:pPr>
        <w:spacing w:after="0" w:line="225" w:lineRule="exact"/>
        <w:rPr>
          <w:rFonts w:ascii="Times New Roman" w:cs="Times New Roman" w:eastAsia="Times New Roman" w:hAnsi="Times New Roman"/>
          <w:sz w:val="18"/>
          <w:szCs w:val="18"/>
          <w:color w:val="auto"/>
        </w:rPr>
      </w:pPr>
    </w:p>
    <w:p>
      <w:pPr>
        <w:ind w:left="660" w:right="140" w:hanging="328"/>
        <w:spacing w:after="0" w:line="267"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By mail. </w:t>
      </w:r>
      <w:r>
        <w:rPr>
          <w:rFonts w:ascii="Times New Roman" w:cs="Times New Roman" w:eastAsia="Times New Roman" w:hAnsi="Times New Roman"/>
          <w:sz w:val="18"/>
          <w:szCs w:val="18"/>
          <w:color w:val="auto"/>
        </w:rPr>
        <w:t>If you requested that proxy materials be mailed to you, you will receive a proxy card with your proxy materials. You may vote by filling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out and signing the proxy card and returning it in the envelope provided. The proxy card must be received by the close of business on the day before the Annual Meeting.</w:t>
      </w:r>
    </w:p>
    <w:p>
      <w:pPr>
        <w:spacing w:after="0" w:line="173" w:lineRule="exact"/>
        <w:rPr>
          <w:rFonts w:ascii="Times New Roman" w:cs="Times New Roman" w:eastAsia="Times New Roman" w:hAnsi="Times New Roman"/>
          <w:sz w:val="18"/>
          <w:szCs w:val="18"/>
          <w:color w:val="auto"/>
        </w:rPr>
      </w:pPr>
    </w:p>
    <w:p>
      <w:pPr>
        <w:ind w:left="660" w:right="360" w:hanging="328"/>
        <w:spacing w:after="0" w:line="284"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During the meeting. </w:t>
      </w:r>
      <w:r>
        <w:rPr>
          <w:rFonts w:ascii="Times New Roman" w:cs="Times New Roman" w:eastAsia="Times New Roman" w:hAnsi="Times New Roman"/>
          <w:sz w:val="18"/>
          <w:szCs w:val="18"/>
          <w:color w:val="auto"/>
        </w:rPr>
        <w:t>You can vote at the Annual Meeting online at http://www.virtualshareholdermeeting.com/PWP2022 by using the 16-digit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control number included on your notice, on your proxy card, or in the voting instructions that accompanied your proxy materials.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What vote is required for each proposal?</w:t>
      </w:r>
    </w:p>
    <w:p>
      <w:pPr>
        <w:spacing w:after="0" w:line="189" w:lineRule="exact"/>
        <w:rPr>
          <w:sz w:val="20"/>
          <w:szCs w:val="20"/>
          <w:color w:val="auto"/>
        </w:rPr>
      </w:pPr>
    </w:p>
    <w:p>
      <w:pPr>
        <w:ind w:right="460" w:firstLine="324"/>
        <w:spacing w:after="0" w:line="282" w:lineRule="auto"/>
        <w:rPr>
          <w:sz w:val="20"/>
          <w:szCs w:val="20"/>
          <w:color w:val="auto"/>
        </w:rPr>
      </w:pPr>
      <w:r>
        <w:rPr>
          <w:rFonts w:ascii="Times New Roman" w:cs="Times New Roman" w:eastAsia="Times New Roman" w:hAnsi="Times New Roman"/>
          <w:sz w:val="18"/>
          <w:szCs w:val="18"/>
          <w:color w:val="auto"/>
        </w:rPr>
        <w:t>For the election of directors, each director must be elected by a plurality of the votes cast. This means that the five nominees receiving the largest number of “for” votes will be elected as directors. We do not have cumulative voting.</w:t>
      </w:r>
    </w:p>
    <w:p>
      <w:pPr>
        <w:spacing w:after="0" w:line="135"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The ratification of the Company’s independent registered public accounting firm and any other proposal that may come before the Annual Meeting will be determined by the vote of the holders of a majority of the voting power of the shares represented at the Annual Meeting and entitled to vote on such question, voting as a single class.</w:t>
      </w:r>
    </w:p>
    <w:p>
      <w:pPr>
        <w:spacing w:after="0" w:line="135" w:lineRule="exact"/>
        <w:rPr>
          <w:sz w:val="20"/>
          <w:szCs w:val="20"/>
          <w:color w:val="auto"/>
        </w:rPr>
      </w:pPr>
    </w:p>
    <w:p>
      <w:pPr>
        <w:ind w:right="40" w:firstLine="324"/>
        <w:spacing w:after="0" w:line="254" w:lineRule="auto"/>
        <w:rPr>
          <w:sz w:val="20"/>
          <w:szCs w:val="20"/>
          <w:color w:val="auto"/>
        </w:rPr>
      </w:pPr>
      <w:r>
        <w:rPr>
          <w:rFonts w:ascii="Times New Roman" w:cs="Times New Roman" w:eastAsia="Times New Roman" w:hAnsi="Times New Roman"/>
          <w:sz w:val="18"/>
          <w:szCs w:val="18"/>
          <w:color w:val="auto"/>
        </w:rPr>
        <w:t>As of the Record Date, Professional Partners owned all of our outstanding Class B-1 common stock. Professional Partners is controlled by Professionals GP. As the result of our stockholders agreement (the “Stockholders Agreement”) with Professional Partners, Professional Partners or its limited partners as of the date of the closing of our Business Combination or its or their respective successors or assigns maintain, directly or indirectly, ownership of PWP OpCo Class A partnership units that represent at least 10% of our issued and outstanding Class A common stock (calculated, without duplication, on the basis that all issued and outstanding PWP OpCo Class A partnership units not held by us or our subsidiaries had been exchanged for our Class A common stock) (the “Class B Condition”). For so long as the Class B Condition is satisfied, Professional Partners has approval rights over significant corporate actions by us. Our board of directors will nominate individuals designated by Professional Partners equal to a majority of the board of directors, for so long as the Class B Condition is satisfied.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240"/>
          </w:cols>
          <w:pgMar w:left="320" w:top="1440" w:right="339" w:bottom="1440" w:gutter="0" w:footer="0" w:header="0"/>
        </w:sectPr>
      </w:pPr>
    </w:p>
    <w:bookmarkStart w:id="7" w:name="page8"/>
    <w:bookmarkEnd w:id="7"/>
    <w:p>
      <w:pPr>
        <w:spacing w:after="0" w:line="153" w:lineRule="exact"/>
        <w:rPr>
          <w:sz w:val="20"/>
          <w:szCs w:val="20"/>
          <w:color w:val="auto"/>
        </w:rPr>
      </w:pPr>
    </w:p>
    <w:p>
      <w:pPr>
        <w:ind w:right="80" w:firstLine="324"/>
        <w:spacing w:after="0" w:line="254" w:lineRule="auto"/>
        <w:rPr>
          <w:sz w:val="20"/>
          <w:szCs w:val="20"/>
          <w:color w:val="auto"/>
        </w:rPr>
      </w:pPr>
      <w:r>
        <w:rPr>
          <w:rFonts w:ascii="Times New Roman" w:cs="Times New Roman" w:eastAsia="Times New Roman" w:hAnsi="Times New Roman"/>
          <w:sz w:val="18"/>
          <w:szCs w:val="18"/>
          <w:color w:val="auto"/>
        </w:rPr>
        <w:t>After the Class B Condition ceases to be satisfied, for so long as Professional Partners or its limited partners as of the date of closing or its or their respective successors or assigns maintain, directly or indirectly, ownership of PWP OpCo Class A partnership units that represent at least 5% of our issued and outstanding Class A common stock (calculated, without duplication, on the basis that all issued and outstanding PWP OpCo Class A partnership units not held by us or our subsidiaries had been exchanged for our Class A common stock) (the “Secondary Class B Condition”) is satisfied, Professional Partners will have certain approval rights (including, among others, certain amendments to our second amended and restated certificate of incorporation (“certificate of incorporation”) and the Amended and Restated Agreement of Limited Partnership of PWP OpCo, as amended, restated, modified or supplemented from time to time (the “LP Agreement”)) and our board of directors will nominate individuals designated by Professional Partners equal to one third of the board of directors. See “Certain Relationships and Related Person Transactions—PWP Related Party Transactions—Right of Professional Partners and Stockholders Agreement.”</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How are abstentions and broker non-votes counted?</w:t>
      </w:r>
    </w:p>
    <w:p>
      <w:pPr>
        <w:spacing w:after="0" w:line="202"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Abstentions and broker non-votes are counted for the purpose of establishing the presence of a quorum, but are not counted as votes cast. If you hold your shares in street name and you do not vote, the broker or other organization holding your shares can vote on certain “routine” proposals but cannot vote on other proposals. Proposal 1 is not considered a “routine” proposal. If you hold shares in street name and do not vote on Proposal 1, your uninstructed shares will be counted as “broker non-votes.” Proposal 2 is a “routine” proposal, and therefore brokers have discretion to vote uninstructed shares on Proposal 2.</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What if I do not specify how I want my shares voted?</w:t>
      </w:r>
    </w:p>
    <w:p>
      <w:pPr>
        <w:spacing w:after="0" w:line="189" w:lineRule="exact"/>
        <w:rPr>
          <w:sz w:val="20"/>
          <w:szCs w:val="20"/>
          <w:color w:val="auto"/>
        </w:rPr>
      </w:pPr>
    </w:p>
    <w:p>
      <w:pPr>
        <w:ind w:right="360" w:firstLine="324"/>
        <w:spacing w:after="0" w:line="282" w:lineRule="auto"/>
        <w:rPr>
          <w:sz w:val="20"/>
          <w:szCs w:val="20"/>
          <w:color w:val="auto"/>
        </w:rPr>
      </w:pPr>
      <w:r>
        <w:rPr>
          <w:rFonts w:ascii="Times New Roman" w:cs="Times New Roman" w:eastAsia="Times New Roman" w:hAnsi="Times New Roman"/>
          <w:sz w:val="18"/>
          <w:szCs w:val="18"/>
          <w:color w:val="auto"/>
        </w:rPr>
        <w:t>If you are the record holder of your shares and submit your proxy without specifying how your shares are to be voted, your shares will be voted as follows:</w:t>
      </w:r>
    </w:p>
    <w:p>
      <w:pPr>
        <w:spacing w:after="0" w:line="121" w:lineRule="exact"/>
        <w:rPr>
          <w:sz w:val="20"/>
          <w:szCs w:val="20"/>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election of each of the five nominees for directors; and</w:t>
      </w:r>
    </w:p>
    <w:p>
      <w:pPr>
        <w:spacing w:after="0" w:line="198" w:lineRule="exact"/>
        <w:rPr>
          <w:rFonts w:ascii="Times New Roman" w:cs="Times New Roman" w:eastAsia="Times New Roman" w:hAnsi="Times New Roman"/>
          <w:sz w:val="18"/>
          <w:szCs w:val="18"/>
          <w:color w:val="auto"/>
        </w:rPr>
      </w:pPr>
    </w:p>
    <w:p>
      <w:pPr>
        <w:ind w:left="660" w:right="340" w:hanging="328"/>
        <w:spacing w:after="0" w:line="282"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ratification of the appointment of Ernst &amp; Young LLP as our independent registered public accounting firm for the fiscal year ending December 31, 2022.</w:t>
      </w:r>
    </w:p>
    <w:p>
      <w:pPr>
        <w:spacing w:after="0" w:line="121" w:lineRule="exact"/>
        <w:rPr>
          <w:sz w:val="20"/>
          <w:szCs w:val="20"/>
          <w:color w:val="auto"/>
        </w:rPr>
      </w:pPr>
    </w:p>
    <w:p>
      <w:pPr>
        <w:ind w:right="100" w:firstLine="324"/>
        <w:spacing w:after="0" w:line="266" w:lineRule="auto"/>
        <w:rPr>
          <w:sz w:val="20"/>
          <w:szCs w:val="20"/>
          <w:color w:val="auto"/>
        </w:rPr>
      </w:pPr>
      <w:r>
        <w:rPr>
          <w:rFonts w:ascii="Times New Roman" w:cs="Times New Roman" w:eastAsia="Times New Roman" w:hAnsi="Times New Roman"/>
          <w:sz w:val="18"/>
          <w:szCs w:val="18"/>
          <w:color w:val="auto"/>
        </w:rPr>
        <w:t>In addition, the proxy holders named in the proxy are authorized to vote in their discretion on any other matters that may properly come before the Annual Meeting and at any postponement or adjournment thereof. The board of directors is not aware of any other items of business that will be presented for consideration at the Annual Meeting other than those described in this proxy statement.</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Can I change my vote after submitting a proxy?</w:t>
      </w:r>
    </w:p>
    <w:p>
      <w:pPr>
        <w:spacing w:after="0" w:line="202" w:lineRule="exact"/>
        <w:rPr>
          <w:sz w:val="20"/>
          <w:szCs w:val="20"/>
          <w:color w:val="auto"/>
        </w:rPr>
      </w:pPr>
    </w:p>
    <w:p>
      <w:pPr>
        <w:ind w:right="260" w:firstLine="324"/>
        <w:spacing w:after="0" w:line="266" w:lineRule="auto"/>
        <w:rPr>
          <w:sz w:val="20"/>
          <w:szCs w:val="20"/>
          <w:color w:val="auto"/>
        </w:rPr>
      </w:pPr>
      <w:r>
        <w:rPr>
          <w:rFonts w:ascii="Times New Roman" w:cs="Times New Roman" w:eastAsia="Times New Roman" w:hAnsi="Times New Roman"/>
          <w:sz w:val="18"/>
          <w:szCs w:val="18"/>
          <w:color w:val="auto"/>
        </w:rPr>
        <w:t>Stockholders of record may revoke their proxy before the Annual Meeting by (i) delivering to the Company’s Corporate Secretary a written notice stating that a proxy is revoked, (ii) signing and delivering a proxy bearing a later date, (iii) voting again via the Internet or by telephone or (iv) attending and voting in person at the virtual Annual Meeting.</w:t>
      </w:r>
    </w:p>
    <w:p>
      <w:pPr>
        <w:spacing w:after="0" w:line="13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Street name stockholders who wish to change their votes should contact the organization that holds their shares.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Who is paying for this proxy solicitation?</w:t>
      </w:r>
    </w:p>
    <w:p>
      <w:pPr>
        <w:spacing w:after="0" w:line="189" w:lineRule="exact"/>
        <w:rPr>
          <w:sz w:val="20"/>
          <w:szCs w:val="20"/>
          <w:color w:val="auto"/>
        </w:rPr>
      </w:pPr>
    </w:p>
    <w:p>
      <w:pPr>
        <w:jc w:val="both"/>
        <w:ind w:right="200" w:firstLine="324"/>
        <w:spacing w:after="0" w:line="261" w:lineRule="auto"/>
        <w:rPr>
          <w:sz w:val="20"/>
          <w:szCs w:val="20"/>
          <w:color w:val="auto"/>
        </w:rPr>
      </w:pPr>
      <w:r>
        <w:rPr>
          <w:rFonts w:ascii="Times New Roman" w:cs="Times New Roman" w:eastAsia="Times New Roman" w:hAnsi="Times New Roman"/>
          <w:sz w:val="18"/>
          <w:szCs w:val="18"/>
          <w:color w:val="auto"/>
        </w:rPr>
        <w:t>The Company is paying the costs of the solicitation of proxies. Members of our board of directors and officers and employees may solicit proxies by mail, telephone, fax, email or in person. We will not pay directors, officers or employees any extra amounts for soliciting proxies. We may, upon request, reimburse brokerage firms, banks or similar entities representing street name holders for their expenses in forwarding proxy materials to their customers who are street name holders and obtaining their voting instructions.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220"/>
          </w:cols>
          <w:pgMar w:left="320" w:top="1440" w:right="359" w:bottom="1440" w:gutter="0" w:footer="0" w:header="0"/>
        </w:sectPr>
      </w:pPr>
    </w:p>
    <w:bookmarkStart w:id="8" w:name="page9"/>
    <w:bookmarkEnd w:id="8"/>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Where can I find voting results?</w:t>
      </w:r>
    </w:p>
    <w:p>
      <w:pPr>
        <w:spacing w:after="0" w:line="189" w:lineRule="exact"/>
        <w:rPr>
          <w:sz w:val="20"/>
          <w:szCs w:val="20"/>
          <w:color w:val="auto"/>
        </w:rPr>
      </w:pPr>
    </w:p>
    <w:p>
      <w:pPr>
        <w:ind w:right="60" w:firstLine="324"/>
        <w:spacing w:after="0" w:line="282" w:lineRule="auto"/>
        <w:rPr>
          <w:sz w:val="20"/>
          <w:szCs w:val="20"/>
          <w:color w:val="auto"/>
        </w:rPr>
      </w:pPr>
      <w:r>
        <w:rPr>
          <w:rFonts w:ascii="Times New Roman" w:cs="Times New Roman" w:eastAsia="Times New Roman" w:hAnsi="Times New Roman"/>
          <w:sz w:val="18"/>
          <w:szCs w:val="18"/>
          <w:color w:val="auto"/>
        </w:rPr>
        <w:t>We will file a Current Report on Form 8-K with the SEC announcing the final voting results from the Annual Meeting within four business days of the Annual Meeting.</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 share an address with another stockholder. Why did we receive only one set of proxy materials?</w:t>
      </w:r>
    </w:p>
    <w:p>
      <w:pPr>
        <w:spacing w:after="0" w:line="202"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Some banks, brokers and nominees may be participating in the practice of “householding” proxy materials. This means that only one copy of our proxy materials may be sent to multiple stockholders in your household. If you hold your shares in street name and want to receive separate copies of the proxy materials in the future, or if you are receiving multiple copies and would like to receive only one copy for your household, you should contact the bank, broker, or other nominee who holds your shares.</w:t>
      </w:r>
    </w:p>
    <w:p>
      <w:pPr>
        <w:spacing w:after="0" w:line="139" w:lineRule="exact"/>
        <w:rPr>
          <w:sz w:val="20"/>
          <w:szCs w:val="20"/>
          <w:color w:val="auto"/>
        </w:rPr>
      </w:pPr>
    </w:p>
    <w:p>
      <w:pPr>
        <w:ind w:right="140" w:firstLine="324"/>
        <w:spacing w:after="0" w:line="266" w:lineRule="auto"/>
        <w:rPr>
          <w:sz w:val="20"/>
          <w:szCs w:val="20"/>
          <w:color w:val="auto"/>
        </w:rPr>
      </w:pPr>
      <w:r>
        <w:rPr>
          <w:rFonts w:ascii="Times New Roman" w:cs="Times New Roman" w:eastAsia="Times New Roman" w:hAnsi="Times New Roman"/>
          <w:sz w:val="18"/>
          <w:szCs w:val="18"/>
          <w:color w:val="auto"/>
        </w:rPr>
        <w:t>If you would like to receive separate copies of our proxy materials in the future, or if you are receiving multiple copies and would like to receive only one copy per household, you should contact your bank, broker or other holder of record, or you may contact the Investor Relations at investors@pwpartners.com or 767 Fifth Avenue, New York, NY 10153.</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Is a list of stockholders available?</w:t>
      </w:r>
    </w:p>
    <w:p>
      <w:pPr>
        <w:spacing w:after="0" w:line="189" w:lineRule="exact"/>
        <w:rPr>
          <w:sz w:val="20"/>
          <w:szCs w:val="20"/>
          <w:color w:val="auto"/>
        </w:rPr>
      </w:pPr>
    </w:p>
    <w:p>
      <w:pPr>
        <w:ind w:right="280" w:firstLine="324"/>
        <w:spacing w:after="0" w:line="266" w:lineRule="auto"/>
        <w:rPr>
          <w:sz w:val="20"/>
          <w:szCs w:val="20"/>
          <w:color w:val="auto"/>
        </w:rPr>
      </w:pPr>
      <w:r>
        <w:rPr>
          <w:rFonts w:ascii="Times New Roman" w:cs="Times New Roman" w:eastAsia="Times New Roman" w:hAnsi="Times New Roman"/>
          <w:sz w:val="18"/>
          <w:szCs w:val="18"/>
          <w:color w:val="auto"/>
        </w:rPr>
        <w:t>The names of stockholders of record entitled to vote at the Annual Meeting will be available to stockholders at least 10 days prior to our Annual Meeting at our principal executive offices located at 767 Fifth Avenue, New York, NY 10153 during normal business hours, and at the Annual Meeting. The list will also be available to stockholders at www.virtualshareholdermeeting.com/PWP2022 during the Annual Meeting.</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Who should I contact if I have additional questions?</w:t>
      </w:r>
    </w:p>
    <w:p>
      <w:pPr>
        <w:spacing w:after="0" w:line="202" w:lineRule="exact"/>
        <w:rPr>
          <w:sz w:val="20"/>
          <w:szCs w:val="20"/>
          <w:color w:val="auto"/>
        </w:rPr>
      </w:pPr>
    </w:p>
    <w:p>
      <w:pPr>
        <w:jc w:val="both"/>
        <w:ind w:right="120" w:firstLine="324"/>
        <w:spacing w:after="0" w:line="266" w:lineRule="auto"/>
        <w:rPr>
          <w:sz w:val="20"/>
          <w:szCs w:val="20"/>
          <w:color w:val="auto"/>
        </w:rPr>
      </w:pPr>
      <w:r>
        <w:rPr>
          <w:rFonts w:ascii="Times New Roman" w:cs="Times New Roman" w:eastAsia="Times New Roman" w:hAnsi="Times New Roman"/>
          <w:sz w:val="18"/>
          <w:szCs w:val="18"/>
          <w:color w:val="auto"/>
        </w:rPr>
        <w:t>You can contact our Investor Relations department at investors@pwpartners.com or at our principal executive offices at 767 Fifth Avenue, New York, NY 10153. Stockholders who hold their shares in street name should contact the organization that holds their shares for additional information on how to vote.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240"/>
          </w:cols>
          <w:pgMar w:left="320" w:top="1440" w:right="339" w:bottom="1440" w:gutter="0" w:footer="0" w:header="0"/>
        </w:sectPr>
      </w:pPr>
    </w:p>
    <w:bookmarkStart w:id="9" w:name="page10"/>
    <w:bookmarkEnd w:id="9"/>
    <w:p>
      <w:pPr>
        <w:spacing w:after="0" w:line="1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PROPOSAL 1: ELECTION OF DIRECTORS</w:t>
      </w:r>
    </w:p>
    <w:p>
      <w:pPr>
        <w:spacing w:after="0" w:line="18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Our board of directors is currently composed of nine directors, and are divided into three classes, designated Class I, Class II and Class III. At the Annual Meeting, stockholders will vote to elect as directors of the Company the three Class I directors and two new director nominees as Class II and III directors. Each of the Class I directors and the Class II and III nominees elected at the Annual Meeting will hold office until the 2025, 2023 and 2024 Annual Meeting of Stockholders, respectively, and until his or her respective successor has been duly elected and qualified.</w:t>
      </w:r>
    </w:p>
    <w:p>
      <w:pPr>
        <w:spacing w:after="0" w:line="153"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auto"/>
        </w:rPr>
        <w:t>The board of directors has nominated Joseph R. Perella, Daniel G. Cohen and Ivan G. Seidenberg for re-election as Class I directors and Kristin W. Mugford and Elizabeth (Beth) Cogan Fascitelli for election as first-time Class II and III directors, respectively at the Annual Meeting. Each of Kristin W. Mugford and Elizabeth (Beth) Cogan Fascitelli was recommended to the board of directors for consideration as a nominee by our Chairman and Chief Executive Officer. The persons named as proxy holders will vote to elect each of these nominees unless a stockholder indicates that his or her shares should be withheld with respect to one or more of such nominees.</w:t>
      </w:r>
    </w:p>
    <w:p>
      <w:pPr>
        <w:spacing w:after="0" w:line="143" w:lineRule="exact"/>
        <w:rPr>
          <w:sz w:val="20"/>
          <w:szCs w:val="20"/>
          <w:color w:val="auto"/>
        </w:rPr>
      </w:pPr>
    </w:p>
    <w:p>
      <w:pPr>
        <w:ind w:right="80" w:firstLine="324"/>
        <w:spacing w:after="0" w:line="266" w:lineRule="auto"/>
        <w:rPr>
          <w:sz w:val="20"/>
          <w:szCs w:val="20"/>
          <w:color w:val="auto"/>
        </w:rPr>
      </w:pPr>
      <w:r>
        <w:rPr>
          <w:rFonts w:ascii="Times New Roman" w:cs="Times New Roman" w:eastAsia="Times New Roman" w:hAnsi="Times New Roman"/>
          <w:sz w:val="18"/>
          <w:szCs w:val="18"/>
          <w:color w:val="auto"/>
        </w:rPr>
        <w:t>In connection with our Business Combination, we entered into a Stockholders Agreement with Professional Partners, pursuant to which, for so long as the Class B Condition is satisfied, Professional Partners has approval rights over significant corporate actions by us. Our board of directors will nominate individuals designated by Professional Partners equal to a majority of the board of directors, for so long as the Class B Condition is satisfied.</w:t>
      </w:r>
    </w:p>
    <w:p>
      <w:pPr>
        <w:spacing w:after="0" w:line="135" w:lineRule="exact"/>
        <w:rPr>
          <w:sz w:val="20"/>
          <w:szCs w:val="20"/>
          <w:color w:val="auto"/>
        </w:rPr>
      </w:pPr>
    </w:p>
    <w:p>
      <w:pPr>
        <w:ind w:right="180" w:firstLine="324"/>
        <w:spacing w:after="0" w:line="266" w:lineRule="auto"/>
        <w:rPr>
          <w:sz w:val="20"/>
          <w:szCs w:val="20"/>
          <w:color w:val="auto"/>
        </w:rPr>
      </w:pPr>
      <w:r>
        <w:rPr>
          <w:rFonts w:ascii="Times New Roman" w:cs="Times New Roman" w:eastAsia="Times New Roman" w:hAnsi="Times New Roman"/>
          <w:sz w:val="18"/>
          <w:szCs w:val="18"/>
          <w:color w:val="auto"/>
        </w:rPr>
        <w:t>After the Class B Condition ceases to be satisfied, for so long as the Secondary Class B Condition is satisfied, Professional Partners will have certain approval rights (including, among others, certain amendments to our certificate of incorporation and the PWP OpCo LP Agreement) and our board of directors will nominate individuals designated by Professional Partners equal to one third of the board of directors.</w:t>
      </w:r>
    </w:p>
    <w:p>
      <w:pPr>
        <w:spacing w:after="0" w:line="149" w:lineRule="exact"/>
        <w:rPr>
          <w:sz w:val="20"/>
          <w:szCs w:val="20"/>
          <w:color w:val="auto"/>
        </w:rPr>
      </w:pPr>
    </w:p>
    <w:p>
      <w:pPr>
        <w:ind w:right="140" w:firstLine="324"/>
        <w:spacing w:after="0" w:line="261" w:lineRule="auto"/>
        <w:rPr>
          <w:sz w:val="20"/>
          <w:szCs w:val="20"/>
          <w:color w:val="auto"/>
        </w:rPr>
      </w:pPr>
      <w:r>
        <w:rPr>
          <w:rFonts w:ascii="Times New Roman" w:cs="Times New Roman" w:eastAsia="Times New Roman" w:hAnsi="Times New Roman"/>
          <w:sz w:val="18"/>
          <w:szCs w:val="18"/>
          <w:color w:val="auto"/>
        </w:rPr>
        <w:t>Should any of the nominees become unable to serve for any reason prior to the Annual Meeting, subject to the terms of the Stockholders’ Agreement, the board of directors may designate a substitute nominee, in which event the proxy holders will vote for the election of such substitute nominee, or may reduce the number of directors on the board of directors. See “Certain Relationships and Transactions—PWP Related Party Transactions—Right of Professional Partners and Stockholders Agreement” for additional information regarding the Stockholders Agreement.</w:t>
      </w:r>
    </w:p>
    <w:p>
      <w:pPr>
        <w:spacing w:after="0" w:line="139" w:lineRule="exact"/>
        <w:rPr>
          <w:sz w:val="20"/>
          <w:szCs w:val="20"/>
          <w:color w:val="auto"/>
        </w:rPr>
      </w:pPr>
    </w:p>
    <w:p>
      <w:pPr>
        <w:ind w:right="60" w:firstLine="324"/>
        <w:spacing w:after="0" w:line="282" w:lineRule="auto"/>
        <w:rPr>
          <w:sz w:val="20"/>
          <w:szCs w:val="20"/>
          <w:color w:val="auto"/>
        </w:rPr>
      </w:pPr>
      <w:r>
        <w:rPr>
          <w:rFonts w:ascii="Times New Roman" w:cs="Times New Roman" w:eastAsia="Times New Roman" w:hAnsi="Times New Roman"/>
          <w:sz w:val="18"/>
          <w:szCs w:val="18"/>
          <w:color w:val="auto"/>
        </w:rPr>
        <w:t>In determining that each director should be nominated for re-election, our board considered his or her service, business experience, prior directorships, qualifications, attributes and skills described in the biography set forth below under “Corporate Governance—Directors and Director Nominees.”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board of directors recommends that you vote “FOR” each of the director nominees in this Proposal 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240"/>
          </w:cols>
          <w:pgMar w:left="320" w:top="1440" w:right="339" w:bottom="1440" w:gutter="0" w:footer="0" w:header="0"/>
        </w:sectPr>
      </w:pPr>
    </w:p>
    <w:bookmarkStart w:id="10" w:name="page11"/>
    <w:bookmarkEnd w:id="10"/>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CORPORATE GOVERNANCE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Directors and Director Nominees</w:t>
      </w:r>
    </w:p>
    <w:p>
      <w:pPr>
        <w:spacing w:after="0" w:line="1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Below is a list of our directors and director nominees and their respective ages and a brief account of the business experience of each of them.</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800" w:type="dxa"/>
            <w:vAlign w:val="bottom"/>
            <w:gridSpan w:val="2"/>
          </w:tcPr>
          <w:p>
            <w:pPr>
              <w:ind w:left="2620"/>
              <w:spacing w:after="0"/>
              <w:rPr>
                <w:sz w:val="20"/>
                <w:szCs w:val="20"/>
                <w:color w:val="auto"/>
              </w:rPr>
            </w:pPr>
            <w:r>
              <w:rPr>
                <w:rFonts w:ascii="Times New Roman" w:cs="Times New Roman" w:eastAsia="Times New Roman" w:hAnsi="Times New Roman"/>
                <w:sz w:val="18"/>
                <w:szCs w:val="18"/>
                <w:b w:val="1"/>
                <w:bCs w:val="1"/>
                <w:color w:val="auto"/>
              </w:rPr>
              <w:t>Name</w:t>
            </w:r>
          </w:p>
        </w:tc>
        <w:tc>
          <w:tcPr>
            <w:tcW w:w="80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Age</w:t>
            </w:r>
          </w:p>
        </w:tc>
        <w:tc>
          <w:tcPr>
            <w:tcW w:w="4640" w:type="dxa"/>
            <w:vAlign w:val="bottom"/>
          </w:tcPr>
          <w:p>
            <w:pPr>
              <w:ind w:left="2120"/>
              <w:spacing w:after="0"/>
              <w:rPr>
                <w:sz w:val="20"/>
                <w:szCs w:val="20"/>
                <w:color w:val="auto"/>
              </w:rPr>
            </w:pPr>
            <w:r>
              <w:rPr>
                <w:rFonts w:ascii="Times New Roman" w:cs="Times New Roman" w:eastAsia="Times New Roman" w:hAnsi="Times New Roman"/>
                <w:sz w:val="18"/>
                <w:szCs w:val="18"/>
                <w:b w:val="1"/>
                <w:bCs w:val="1"/>
                <w:color w:val="auto"/>
              </w:rPr>
              <w:t>Class</w:t>
            </w:r>
          </w:p>
        </w:tc>
      </w:tr>
      <w:tr>
        <w:trPr>
          <w:trHeight w:val="223"/>
        </w:trPr>
        <w:tc>
          <w:tcPr>
            <w:tcW w:w="56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Peter A. Weinberg</w:t>
            </w:r>
          </w:p>
        </w:tc>
        <w:tc>
          <w:tcPr>
            <w:tcW w:w="120" w:type="dxa"/>
            <w:vAlign w:val="bottom"/>
            <w:tcBorders>
              <w:top w:val="single" w:sz="8" w:color="CCEEFF"/>
            </w:tcBorders>
            <w:shd w:val="clear" w:color="auto" w:fill="CCEEFF"/>
          </w:tcPr>
          <w:p>
            <w:pPr>
              <w:spacing w:after="0"/>
              <w:rPr>
                <w:sz w:val="19"/>
                <w:szCs w:val="19"/>
                <w:color w:val="auto"/>
              </w:rPr>
            </w:pPr>
          </w:p>
        </w:tc>
        <w:tc>
          <w:tcPr>
            <w:tcW w:w="6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64</w:t>
            </w:r>
          </w:p>
        </w:tc>
        <w:tc>
          <w:tcPr>
            <w:tcW w:w="120" w:type="dxa"/>
            <w:vAlign w:val="bottom"/>
            <w:tcBorders>
              <w:top w:val="single" w:sz="8" w:color="CCEEFF"/>
            </w:tcBorders>
            <w:shd w:val="clear" w:color="auto" w:fill="CCEEFF"/>
          </w:tcPr>
          <w:p>
            <w:pPr>
              <w:spacing w:after="0"/>
              <w:rPr>
                <w:sz w:val="19"/>
                <w:szCs w:val="19"/>
                <w:color w:val="auto"/>
              </w:rPr>
            </w:pPr>
          </w:p>
        </w:tc>
        <w:tc>
          <w:tcPr>
            <w:tcW w:w="46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Class III</w:t>
            </w:r>
          </w:p>
        </w:tc>
      </w:tr>
      <w:tr>
        <w:trPr>
          <w:trHeight w:val="229"/>
        </w:trPr>
        <w:tc>
          <w:tcPr>
            <w:tcW w:w="5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Joseph R. Perella</w:t>
            </w:r>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80</w:t>
            </w:r>
          </w:p>
        </w:tc>
        <w:tc>
          <w:tcPr>
            <w:tcW w:w="120" w:type="dxa"/>
            <w:vAlign w:val="bottom"/>
          </w:tcPr>
          <w:p>
            <w:pPr>
              <w:spacing w:after="0"/>
              <w:rPr>
                <w:sz w:val="19"/>
                <w:szCs w:val="19"/>
                <w:color w:val="auto"/>
              </w:rPr>
            </w:pPr>
          </w:p>
        </w:tc>
        <w:tc>
          <w:tcPr>
            <w:tcW w:w="4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Class I</w:t>
            </w:r>
          </w:p>
        </w:tc>
      </w:tr>
      <w:tr>
        <w:trPr>
          <w:trHeight w:val="230"/>
        </w:trPr>
        <w:tc>
          <w:tcPr>
            <w:tcW w:w="58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Robert K. Steel</w:t>
            </w:r>
          </w:p>
        </w:tc>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70</w:t>
            </w:r>
          </w:p>
        </w:tc>
        <w:tc>
          <w:tcPr>
            <w:tcW w:w="120" w:type="dxa"/>
            <w:vAlign w:val="bottom"/>
            <w:shd w:val="clear" w:color="auto" w:fill="CCEEFF"/>
          </w:tcPr>
          <w:p>
            <w:pPr>
              <w:spacing w:after="0"/>
              <w:rPr>
                <w:sz w:val="19"/>
                <w:szCs w:val="19"/>
                <w:color w:val="auto"/>
              </w:rPr>
            </w:pPr>
          </w:p>
        </w:tc>
        <w:tc>
          <w:tcPr>
            <w:tcW w:w="4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Class II</w:t>
            </w:r>
          </w:p>
        </w:tc>
      </w:tr>
      <w:tr>
        <w:trPr>
          <w:trHeight w:val="229"/>
        </w:trPr>
        <w:tc>
          <w:tcPr>
            <w:tcW w:w="5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Dietrich Becker</w:t>
            </w:r>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59</w:t>
            </w:r>
          </w:p>
        </w:tc>
        <w:tc>
          <w:tcPr>
            <w:tcW w:w="120" w:type="dxa"/>
            <w:vAlign w:val="bottom"/>
          </w:tcPr>
          <w:p>
            <w:pPr>
              <w:spacing w:after="0"/>
              <w:rPr>
                <w:sz w:val="19"/>
                <w:szCs w:val="19"/>
                <w:color w:val="auto"/>
              </w:rPr>
            </w:pPr>
          </w:p>
        </w:tc>
        <w:tc>
          <w:tcPr>
            <w:tcW w:w="4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Class III</w:t>
            </w:r>
          </w:p>
        </w:tc>
      </w:tr>
      <w:tr>
        <w:trPr>
          <w:trHeight w:val="230"/>
        </w:trPr>
        <w:tc>
          <w:tcPr>
            <w:tcW w:w="5800" w:type="dxa"/>
            <w:vAlign w:val="bottom"/>
            <w:gridSpan w:val="2"/>
            <w:shd w:val="clear" w:color="auto" w:fill="CCECFF"/>
          </w:tcPr>
          <w:p>
            <w:pPr>
              <w:ind w:left="20"/>
              <w:spacing w:after="0"/>
              <w:rPr>
                <w:sz w:val="20"/>
                <w:szCs w:val="20"/>
                <w:color w:val="auto"/>
              </w:rPr>
            </w:pPr>
            <w:r>
              <w:rPr>
                <w:rFonts w:ascii="Times New Roman" w:cs="Times New Roman" w:eastAsia="Times New Roman" w:hAnsi="Times New Roman"/>
                <w:sz w:val="18"/>
                <w:szCs w:val="18"/>
                <w:color w:val="auto"/>
              </w:rPr>
              <w:t>Andrew Bednar</w:t>
            </w:r>
          </w:p>
        </w:tc>
        <w:tc>
          <w:tcPr>
            <w:tcW w:w="6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8"/>
                <w:szCs w:val="18"/>
                <w:color w:val="auto"/>
                <w:w w:val="99"/>
              </w:rPr>
              <w:t>54</w:t>
            </w:r>
          </w:p>
        </w:tc>
        <w:tc>
          <w:tcPr>
            <w:tcW w:w="120" w:type="dxa"/>
            <w:vAlign w:val="bottom"/>
            <w:shd w:val="clear" w:color="auto" w:fill="CCECFF"/>
          </w:tcPr>
          <w:p>
            <w:pPr>
              <w:spacing w:after="0"/>
              <w:rPr>
                <w:sz w:val="19"/>
                <w:szCs w:val="19"/>
                <w:color w:val="auto"/>
              </w:rPr>
            </w:pPr>
          </w:p>
        </w:tc>
        <w:tc>
          <w:tcPr>
            <w:tcW w:w="46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8"/>
                <w:szCs w:val="18"/>
                <w:color w:val="auto"/>
              </w:rPr>
              <w:t>Class II</w:t>
            </w:r>
          </w:p>
        </w:tc>
      </w:tr>
      <w:tr>
        <w:trPr>
          <w:trHeight w:val="229"/>
        </w:trPr>
        <w:tc>
          <w:tcPr>
            <w:tcW w:w="5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Jorma Ollila</w:t>
            </w:r>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71</w:t>
            </w:r>
          </w:p>
        </w:tc>
        <w:tc>
          <w:tcPr>
            <w:tcW w:w="120" w:type="dxa"/>
            <w:vAlign w:val="bottom"/>
          </w:tcPr>
          <w:p>
            <w:pPr>
              <w:spacing w:after="0"/>
              <w:rPr>
                <w:sz w:val="19"/>
                <w:szCs w:val="19"/>
                <w:color w:val="auto"/>
              </w:rPr>
            </w:pPr>
          </w:p>
        </w:tc>
        <w:tc>
          <w:tcPr>
            <w:tcW w:w="4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Class II</w:t>
            </w:r>
          </w:p>
        </w:tc>
      </w:tr>
      <w:tr>
        <w:trPr>
          <w:trHeight w:val="229"/>
        </w:trPr>
        <w:tc>
          <w:tcPr>
            <w:tcW w:w="58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Ivan G. Seidenberg</w:t>
            </w:r>
          </w:p>
        </w:tc>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75</w:t>
            </w:r>
          </w:p>
        </w:tc>
        <w:tc>
          <w:tcPr>
            <w:tcW w:w="120" w:type="dxa"/>
            <w:vAlign w:val="bottom"/>
            <w:shd w:val="clear" w:color="auto" w:fill="CCEEFF"/>
          </w:tcPr>
          <w:p>
            <w:pPr>
              <w:spacing w:after="0"/>
              <w:rPr>
                <w:sz w:val="19"/>
                <w:szCs w:val="19"/>
                <w:color w:val="auto"/>
              </w:rPr>
            </w:pPr>
          </w:p>
        </w:tc>
        <w:tc>
          <w:tcPr>
            <w:tcW w:w="4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Class I</w:t>
            </w:r>
          </w:p>
        </w:tc>
      </w:tr>
      <w:tr>
        <w:trPr>
          <w:trHeight w:val="230"/>
        </w:trPr>
        <w:tc>
          <w:tcPr>
            <w:tcW w:w="5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Jane C. Sherburne</w:t>
            </w:r>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71</w:t>
            </w:r>
          </w:p>
        </w:tc>
        <w:tc>
          <w:tcPr>
            <w:tcW w:w="120" w:type="dxa"/>
            <w:vAlign w:val="bottom"/>
          </w:tcPr>
          <w:p>
            <w:pPr>
              <w:spacing w:after="0"/>
              <w:rPr>
                <w:sz w:val="19"/>
                <w:szCs w:val="19"/>
                <w:color w:val="auto"/>
              </w:rPr>
            </w:pPr>
          </w:p>
        </w:tc>
        <w:tc>
          <w:tcPr>
            <w:tcW w:w="4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Class III</w:t>
            </w:r>
          </w:p>
        </w:tc>
      </w:tr>
      <w:tr>
        <w:trPr>
          <w:trHeight w:val="229"/>
        </w:trPr>
        <w:tc>
          <w:tcPr>
            <w:tcW w:w="58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Daniel G. Cohen</w:t>
            </w:r>
          </w:p>
        </w:tc>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52</w:t>
            </w:r>
          </w:p>
        </w:tc>
        <w:tc>
          <w:tcPr>
            <w:tcW w:w="120" w:type="dxa"/>
            <w:vAlign w:val="bottom"/>
            <w:shd w:val="clear" w:color="auto" w:fill="CCEEFF"/>
          </w:tcPr>
          <w:p>
            <w:pPr>
              <w:spacing w:after="0"/>
              <w:rPr>
                <w:sz w:val="19"/>
                <w:szCs w:val="19"/>
                <w:color w:val="auto"/>
              </w:rPr>
            </w:pPr>
          </w:p>
        </w:tc>
        <w:tc>
          <w:tcPr>
            <w:tcW w:w="4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Class I</w:t>
            </w:r>
          </w:p>
        </w:tc>
      </w:tr>
      <w:tr>
        <w:trPr>
          <w:trHeight w:val="250"/>
        </w:trPr>
        <w:tc>
          <w:tcPr>
            <w:tcW w:w="5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Elizabeth (Beth) Cogan Fascitelli</w:t>
            </w:r>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63</w:t>
            </w:r>
          </w:p>
        </w:tc>
        <w:tc>
          <w:tcPr>
            <w:tcW w:w="120" w:type="dxa"/>
            <w:vAlign w:val="bottom"/>
          </w:tcPr>
          <w:p>
            <w:pPr>
              <w:spacing w:after="0"/>
              <w:rPr>
                <w:sz w:val="21"/>
                <w:szCs w:val="21"/>
                <w:color w:val="auto"/>
              </w:rPr>
            </w:pPr>
          </w:p>
        </w:tc>
        <w:tc>
          <w:tcPr>
            <w:tcW w:w="4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Class III</w:t>
            </w:r>
          </w:p>
        </w:tc>
      </w:tr>
      <w:tr>
        <w:trPr>
          <w:trHeight w:val="250"/>
        </w:trPr>
        <w:tc>
          <w:tcPr>
            <w:tcW w:w="58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Kristin W. Mugford</w:t>
            </w:r>
          </w:p>
        </w:tc>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53</w:t>
            </w:r>
          </w:p>
        </w:tc>
        <w:tc>
          <w:tcPr>
            <w:tcW w:w="120" w:type="dxa"/>
            <w:vAlign w:val="bottom"/>
            <w:shd w:val="clear" w:color="auto" w:fill="CCEEFF"/>
          </w:tcPr>
          <w:p>
            <w:pPr>
              <w:spacing w:after="0"/>
              <w:rPr>
                <w:sz w:val="21"/>
                <w:szCs w:val="21"/>
                <w:color w:val="auto"/>
              </w:rPr>
            </w:pPr>
          </w:p>
        </w:tc>
        <w:tc>
          <w:tcPr>
            <w:tcW w:w="4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Class II</w:t>
            </w:r>
          </w:p>
        </w:tc>
      </w:tr>
    </w:tbl>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Class I Director Nominees for Election – Term Expiring 2025</w:t>
      </w:r>
    </w:p>
    <w:p>
      <w:pPr>
        <w:spacing w:after="0" w:line="202" w:lineRule="exact"/>
        <w:rPr>
          <w:sz w:val="20"/>
          <w:szCs w:val="20"/>
          <w:color w:val="auto"/>
        </w:rPr>
      </w:pPr>
    </w:p>
    <w:p>
      <w:pPr>
        <w:ind w:right="120" w:firstLine="324"/>
        <w:spacing w:after="0" w:line="266" w:lineRule="auto"/>
        <w:rPr>
          <w:sz w:val="20"/>
          <w:szCs w:val="20"/>
          <w:color w:val="auto"/>
        </w:rPr>
      </w:pPr>
      <w:r>
        <w:rPr>
          <w:rFonts w:ascii="Times New Roman" w:cs="Times New Roman" w:eastAsia="Times New Roman" w:hAnsi="Times New Roman"/>
          <w:sz w:val="18"/>
          <w:szCs w:val="18"/>
          <w:color w:val="auto"/>
        </w:rPr>
        <w:t>The current term of the Class I directors will expire at the Annual Meeting. Our board of directors nominated each of Joseph R. Perella, Daniel G. Cohen and Ivan G. Seidenberg for re-election at the Annual Meeting as a Class I director to hold office until the annual meeting of stockholders to be held in 2025 and until his successor is duly elected and qualified, or his earlier death, resignation, or removal.</w:t>
      </w:r>
    </w:p>
    <w:p>
      <w:pPr>
        <w:spacing w:after="0" w:line="13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Below is a biography of each of the Class I directors standing for re-election at the Annual Meeting:</w:t>
      </w:r>
    </w:p>
    <w:p>
      <w:pPr>
        <w:spacing w:after="0" w:line="181" w:lineRule="exact"/>
        <w:rPr>
          <w:sz w:val="20"/>
          <w:szCs w:val="20"/>
          <w:color w:val="auto"/>
        </w:rPr>
      </w:pPr>
    </w:p>
    <w:p>
      <w:pPr>
        <w:ind w:right="40" w:firstLine="324"/>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Joseph R. Perella </w:t>
      </w:r>
      <w:r>
        <w:rPr>
          <w:rFonts w:ascii="Times New Roman" w:cs="Times New Roman" w:eastAsia="Times New Roman" w:hAnsi="Times New Roman"/>
          <w:sz w:val="18"/>
          <w:szCs w:val="18"/>
          <w:color w:val="auto"/>
        </w:rPr>
        <w:t>has served as our Chairman Emeritus since the closing of the Business Combination in June 2021. Mr. Perella is a Founding Partner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of PWP and served as PWP’s Chief Executive Officer from 2006 until 2014. Mr. Perella has approximately 49 years of investment banking experience. Prior to co-founding PWP in 2006, Mr. Perella was a member of Morgan Stanley’s Management Committee (from 1993 until 2005) and held several senior positions at the firm, including Vice Chairman, Chairman of Institutional Securities and Investment Banking, and Worldwide Head of the Investment Banking Division. In 1988, Mr. Perella co-founded Wasserstein Perella &amp; Co., Inc. and was Chairman of the Board until September 1993. From 1972 to 1988, Mr. Perella held senior positions at First Boston and was the founder of its Mergers &amp; Acquisitions Group. Mr. Perella received a Bachelor of Science in Business Administration from Lehigh University and a Master’s in Business Administration from Harvard Business School. We believe that Mr. Perella is qualified to serve on our board of directors due to his extensive finance industry and business leadership experience, as well as his deep understanding of the Company's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240"/>
          </w:cols>
          <w:pgMar w:left="320" w:top="1440" w:right="339" w:bottom="1440" w:gutter="0" w:footer="0" w:header="0"/>
        </w:sectPr>
      </w:pPr>
    </w:p>
    <w:bookmarkStart w:id="11" w:name="page12"/>
    <w:bookmarkEnd w:id="11"/>
    <w:p>
      <w:pPr>
        <w:spacing w:after="0" w:line="14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Daniel G. Cohen </w:t>
      </w:r>
      <w:r>
        <w:rPr>
          <w:rFonts w:ascii="Times New Roman" w:cs="Times New Roman" w:eastAsia="Times New Roman" w:hAnsi="Times New Roman"/>
          <w:sz w:val="18"/>
          <w:szCs w:val="18"/>
          <w:color w:val="auto"/>
        </w:rPr>
        <w:t>has served as a member of our board of directors since the closing of the Business Combination in June 2021. Mr. Cohen served as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FTIV’s Chief Executive Officer from May 2019 until the closing of the Business Combination, Chief Executive Officer of FinTech III since March 2017,</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Chairman of the board of directors of FTIV from December 2018 until the closing of the Business Combination and as Chairman of the board of directors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FTIV II since January 2019. Mr. Cohen served as a director and Chief Executive Officer of FinTech II from May 2015 until July 2018. He previously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served as a director of FinTech I from November 2013 until July 2016, as FinTech I’s President and Chief Executive Officer from August 2014 until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July 2016, and as FinTech I’s Executive Vice President from July 2014 through August 2014. Mr. Cohen has been the Chairman of Bancorp and Chairman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the Executive Committee of Bancorp’s Board of Directors since its inception in 1999. Mr. Cohen is Vice-Chairman of Bancorp Bank’s Board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Directors and Chairman of its Executive Committee. Mr. Cohen had previously been Chairman of Bancorp Bank’s Board of Directors from</w:t>
      </w:r>
    </w:p>
    <w:p>
      <w:pPr>
        <w:spacing w:after="0" w:line="9"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color w:val="auto"/>
        </w:rPr>
        <w:t>September 2000 to November 2003 and, from July 2000 to September 2000, had been Bancorp Bank’s Chief Executive Officer. Mr. Cohen has served as the Chairman of the Board of Directors and of the Board of Managers of Cohen &amp; Company, LLC, and has, since September 16, 2013, served as the President and Chief Executive of the European Business of Cohen and Company Inc. (NYSE: COHN), a financial services company with approximately $2.63 billion in assets under management as of September 30, 2020, and as President, a director and the Chief Investment Officer of Cohen and Company Inc.’s indirect majority owned subsidiary, Cohen &amp; Company Financial Limited (formerly known as EuroDekania Management Limited), a Financial Conduct Authority regulated investment advisor and broker dealer focusing on the European capital markets. Mr. Cohen served as Vice Chairman of the Board of Directors and of the Board of Managers of Cohen &amp; Company, LLC from September 16, 2013 to February 21, 2018. Mr. Cohen served as the Chief Executive Officer and Chief Investment Officer of Cohen and Company Inc. from December 16, 2009, to September 16, 2013, and as the Chairman of the Board of Directors from October 6, 2006 to September 16, 2013. Mr. Cohen served as the executive Chairman of Cohen and Company Inc. from October 18, 2006 to December 16, 2009. In addition, Mr. Cohen served as the Chairman of the Board of Managers of Cohen &amp; Company, LLC from 2001 to September 16, 2013, as the Chief Investment Officer of Cohen &amp; Company, LLC from October 2008 to September 16, 2013, and as Chief Executive Officer of Cohen &amp; Company, LLC from December 16, 2009, to September 16, 2013. Mr. Cohen served as the Chairman and Chief Executive Officer of J.V.B. Financial Group, LLC (formerly C&amp;Co/PrinceRidge Partners LLC), Cohen and Company Inc.’s indirect broker dealer subsidiary, from July 19, 2012 to September 16, 2013. Mr. Cohen previously served as Chief Executive Officer of RAIT from December 2006, when it merged with Taberna Realty Finance Trust, to February 2009, and served as a trustee from the date RAIT acquired Taberna until his resignation from that position in February 2010. Mr. Cohen was Chairman of the Board of Trustees of Taberna Realty Finance Trust from its inception in March 2005 until its December 2006 acquisition by RAIT, and its Chief Executive Officer from March 2005 to December 2006. Mr. Cohen served as a director of Star Asia, a joint venture investing in Asian commercial real estate, from February 2007 to February 2014 and as a director of Muni Funding Company of America, LLC, a company investing in middle-market non-profit organizations, from April 2007 to June 2011. Mr. Cohen is a member of the Academy of the University of Pennsylvania, a member of the Visiting Committees for the Humanities and a member of the Paris Center of the University of Chicago. Mr. Cohen is also a Trustee of the List College Board of the Jewish Theological Seminary, a member of the board of the Columbia Global Center in Paris, a Trustee of the Paideia Institute and a Trustee of the Arete Foundation. Mr. Cohen earned a Bachelor of Arts from the University of Chicago. We believe that Mr. Cohen is qualified to serve on our board of directors due to his knowledge of and extensive experience with finance, banking and investments, in addition to his years of experience and expertise as a senior corporate executive.</w:t>
      </w:r>
    </w:p>
    <w:p>
      <w:pPr>
        <w:spacing w:after="0" w:line="163" w:lineRule="exact"/>
        <w:rPr>
          <w:sz w:val="20"/>
          <w:szCs w:val="20"/>
          <w:color w:val="auto"/>
        </w:rPr>
      </w:pPr>
    </w:p>
    <w:p>
      <w:pPr>
        <w:ind w:right="140" w:firstLine="324"/>
        <w:spacing w:after="0" w:line="226" w:lineRule="auto"/>
        <w:rPr>
          <w:sz w:val="20"/>
          <w:szCs w:val="20"/>
          <w:color w:val="auto"/>
        </w:rPr>
      </w:pPr>
      <w:r>
        <w:rPr>
          <w:rFonts w:ascii="Times New Roman" w:cs="Times New Roman" w:eastAsia="Times New Roman" w:hAnsi="Times New Roman"/>
          <w:sz w:val="18"/>
          <w:szCs w:val="18"/>
          <w:b w:val="1"/>
          <w:bCs w:val="1"/>
          <w:i w:val="1"/>
          <w:iCs w:val="1"/>
          <w:color w:val="auto"/>
        </w:rPr>
        <w:t xml:space="preserve">Ivan G. Seidenberg </w:t>
      </w:r>
      <w:r>
        <w:rPr>
          <w:rFonts w:ascii="Times New Roman" w:cs="Times New Roman" w:eastAsia="Times New Roman" w:hAnsi="Times New Roman"/>
          <w:sz w:val="18"/>
          <w:szCs w:val="18"/>
          <w:color w:val="auto"/>
        </w:rPr>
        <w:t>has served as a member of our board of directors since the closing of the Business Combination in June 2021. Mr. Seidenberg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serves on the board of directors of Madison Square Garden Sports, a leading publicly traded sports and entertainment company, and served on PWP’s Advisory Committee from June 2012 until PWP’s Advisory Committee disbanded on March 1, 2019. Mr. Seidenberg retired as the Chairman of the board of directors of Verizon Communications Inc. in December 2011 and previously served as its Chief Executive Officer from 2002 to 2011. Prior to the creation of Verizon Communications Inc. Mr. Seidenberg brings extensive executive leadership, technological and operational experience to the Board from his tenure at Verizon Communications Inc., one of the world’s leading providers of communications services. Mr. Seidenberg earned a Bachelor of Arts from Lehman College and a Master’s in Business Administration from Pace University. Through his extensive experience on the boards of public companies, Mr. Seidenberg has developed an in-depth understanding of business and corporate governance.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240"/>
          </w:cols>
          <w:pgMar w:left="320" w:top="1440"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i w:val="1"/>
          <w:iCs w:val="1"/>
          <w:color w:val="auto"/>
        </w:rPr>
        <w:t>New Director Nominees for Election – Terms Expiring 2023 and 2024</w:t>
      </w:r>
    </w:p>
    <w:p>
      <w:pPr>
        <w:spacing w:after="0" w:line="229" w:lineRule="exact"/>
        <w:rPr>
          <w:sz w:val="20"/>
          <w:szCs w:val="20"/>
          <w:color w:val="auto"/>
        </w:rPr>
      </w:pPr>
    </w:p>
    <w:p>
      <w:pPr>
        <w:ind w:right="60" w:firstLine="324"/>
        <w:spacing w:after="0" w:line="236" w:lineRule="auto"/>
        <w:rPr>
          <w:sz w:val="20"/>
          <w:szCs w:val="20"/>
          <w:color w:val="auto"/>
        </w:rPr>
      </w:pPr>
      <w:r>
        <w:rPr>
          <w:rFonts w:ascii="Times New Roman" w:cs="Times New Roman" w:eastAsia="Times New Roman" w:hAnsi="Times New Roman"/>
          <w:sz w:val="18"/>
          <w:szCs w:val="18"/>
          <w:color w:val="auto"/>
        </w:rPr>
        <w:t>Our board of directors nominated each of Kristin W. Mugford and Elizabeth (Beth) Cogan Fascitelli for election at the Annual Meeting as a Class II and III director to hold office until the annual meeting of stockholders to be held in 2023 and 2024, respectively, and until her successor is duly elected and qualified, or her earlier death, resignation, or removal.</w:t>
      </w:r>
    </w:p>
    <w:p>
      <w:pPr>
        <w:spacing w:after="0" w:line="195" w:lineRule="exact"/>
        <w:rPr>
          <w:sz w:val="20"/>
          <w:szCs w:val="20"/>
          <w:color w:val="auto"/>
        </w:rPr>
      </w:pPr>
    </w:p>
    <w:p>
      <w:pPr>
        <w:ind w:firstLine="324"/>
        <w:spacing w:after="0" w:line="226" w:lineRule="auto"/>
        <w:rPr>
          <w:sz w:val="20"/>
          <w:szCs w:val="20"/>
          <w:color w:val="auto"/>
        </w:rPr>
      </w:pPr>
      <w:r>
        <w:rPr>
          <w:rFonts w:ascii="Times New Roman" w:cs="Times New Roman" w:eastAsia="Times New Roman" w:hAnsi="Times New Roman"/>
          <w:sz w:val="18"/>
          <w:szCs w:val="18"/>
          <w:b w:val="1"/>
          <w:bCs w:val="1"/>
          <w:i w:val="1"/>
          <w:iCs w:val="1"/>
          <w:color w:val="auto"/>
        </w:rPr>
        <w:t xml:space="preserve">Kristin W. Mugford </w:t>
      </w:r>
      <w:r>
        <w:rPr>
          <w:rFonts w:ascii="Times New Roman" w:cs="Times New Roman" w:eastAsia="Times New Roman" w:hAnsi="Times New Roman"/>
          <w:sz w:val="18"/>
          <w:szCs w:val="18"/>
          <w:color w:val="auto"/>
        </w:rPr>
        <w:t>currently serves as the Melvin Tukman Senior Lecturer of Business Administration in the Finance Unit at the Harvard Business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School. Prior to joining academia, she spent nearly 20 years with Bain Capital Partners, LP, joining their private equity business in 1994, where she focused on the consumer and media industries. In 1998, she helped start Bain Capital Credit, LP (formerly known as Sankaty Advisors, LP), the credit affiliate of Bain Capital Partners, LP, where she was a senior member of the management and investment committee. Ms. Mugford began her career at the Walt Disney Company as a strategic planning analyst. Ms. Mugford is a member of the board of directors of Dollarama (TSE: DOL), where she is the Chair of the Human Resources and Compensation Committee and a member of the Audit Committee. Ms. Mugford earned a Bachelor of Arts with honors in economics from Harvard College and a Master’s in Business Administration from Harvard Business School as a Baker Scholar. We believe that Ms. Mugford is qualified to serve on our board of directors due to her extensive business consulting and finance industry experience.</w:t>
      </w:r>
    </w:p>
    <w:p>
      <w:pPr>
        <w:spacing w:after="0" w:line="209" w:lineRule="exact"/>
        <w:rPr>
          <w:sz w:val="20"/>
          <w:szCs w:val="20"/>
          <w:color w:val="auto"/>
        </w:rPr>
      </w:pPr>
    </w:p>
    <w:p>
      <w:pPr>
        <w:ind w:right="60" w:firstLine="324"/>
        <w:spacing w:after="0" w:line="242" w:lineRule="auto"/>
        <w:rPr>
          <w:sz w:val="20"/>
          <w:szCs w:val="20"/>
          <w:color w:val="auto"/>
        </w:rPr>
      </w:pPr>
      <w:r>
        <w:rPr>
          <w:rFonts w:ascii="Times New Roman" w:cs="Times New Roman" w:eastAsia="Times New Roman" w:hAnsi="Times New Roman"/>
          <w:sz w:val="18"/>
          <w:szCs w:val="18"/>
          <w:b w:val="1"/>
          <w:bCs w:val="1"/>
          <w:i w:val="1"/>
          <w:iCs w:val="1"/>
          <w:color w:val="auto"/>
        </w:rPr>
        <w:t xml:space="preserve">Elizabeth (Beth) Cogan Fascitelli </w:t>
      </w:r>
      <w:r>
        <w:rPr>
          <w:rFonts w:ascii="Times New Roman" w:cs="Times New Roman" w:eastAsia="Times New Roman" w:hAnsi="Times New Roman"/>
          <w:sz w:val="18"/>
          <w:szCs w:val="18"/>
          <w:color w:val="auto"/>
        </w:rPr>
        <w:t>worked for Goldman Sachs Group, Inc. from 1984 to 2020, most recently serving as a Partner and Managing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Director and Chief Operating Officer of the Merchant Banking Division. Ms. Fascitelli is a former director of Carmike Cinemas, Cosmetics Plus Group, Globe Manufacturing, Neuromedical Systems and Whole Foods Market. Ms. Fascitelli is a trustee of the nonprofit Partnership for Inner-City Education and Child Mind Institute and serves as a member of the Board of Trustees for Dartmouth College. Ms. Fascitelli earned a Bachelor of Arts from Dartmouth College and a Master’s in Business Administration from Harvard Business School. We believe that Ms. Fascitelli is qualified to serve on our board of directors due to her extensive financial industry and public company board experience.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Class II and Class III Directors Continuing in Office</w:t>
      </w:r>
    </w:p>
    <w:p>
      <w:pPr>
        <w:spacing w:after="0" w:line="198" w:lineRule="exact"/>
        <w:rPr>
          <w:sz w:val="20"/>
          <w:szCs w:val="20"/>
          <w:color w:val="auto"/>
        </w:rPr>
      </w:pPr>
    </w:p>
    <w:p>
      <w:pPr>
        <w:ind w:right="20" w:firstLine="324"/>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Peter A. Weinberg </w:t>
      </w:r>
      <w:r>
        <w:rPr>
          <w:rFonts w:ascii="Times New Roman" w:cs="Times New Roman" w:eastAsia="Times New Roman" w:hAnsi="Times New Roman"/>
          <w:sz w:val="18"/>
          <w:szCs w:val="18"/>
          <w:color w:val="auto"/>
        </w:rPr>
        <w:t>has served as our Chairman and Chief Executive Officer since the closing of the Business Combination in June 2021. Mr. Weinberg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is a Founding Partner of PWP and has served as PWP’s Chief Executive Officer since the PWP Separation. Mr. Weinberg has over 35 years of investment banking experience. Prior to co-founding PWP in 2006, Mr. Weinberg was the Chief Executive Officer of Goldman Sachs International in London from 1999 to 2005 and served on the firm’s Management Committee and led the European Management Committee. At Goldman Sachs, where he began his career in 1988, Mr. Weinberg served as co-head of the Global Investment Banking Division, co-head of the Partnership Committee and he founded the Financial Sponsors Group. Mr. Weinberg earned a Bachelor of Arts from Claremont McKenna College and a Master’s in Business Administration from Harvard Business School. We believe that Mr. Weinberg is qualified to serve on our board of directors due to his extensive finance industry, investment banking and executive leadership experience.</w:t>
      </w:r>
    </w:p>
    <w:p>
      <w:pPr>
        <w:spacing w:after="0" w:line="144" w:lineRule="exact"/>
        <w:rPr>
          <w:sz w:val="20"/>
          <w:szCs w:val="20"/>
          <w:color w:val="auto"/>
        </w:rPr>
      </w:pPr>
    </w:p>
    <w:p>
      <w:pPr>
        <w:ind w:right="20" w:firstLine="324"/>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Robert K. Steel </w:t>
      </w:r>
      <w:r>
        <w:rPr>
          <w:rFonts w:ascii="Times New Roman" w:cs="Times New Roman" w:eastAsia="Times New Roman" w:hAnsi="Times New Roman"/>
          <w:sz w:val="18"/>
          <w:szCs w:val="18"/>
          <w:color w:val="auto"/>
        </w:rPr>
        <w:t>has served as our Vice Chairman since the closing of the Business Combination in June 2021. Mr. Steel is a Partner of PWP and served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as PWP’s Chief Executive Officer from 2014 until February 28, 2019. Mr. Steel has more than 40 years of experience. Prior to joining PWP, he was New York City’s Deputy Mayor for Economic Development from 2010 to 2013. In 2008, he was named president and Chief Executive Officer of Wachovia Corporation, where he oversaw the sale of the bank to Wells Fargo &amp; Co. and served on the Wells Fargo board of directors until 2010. Prior to that, Mr. Steel was Under Secretary for Domestic Finance of the United States Treasury from 2006 to 2008. From 1976 to 2004, he worked at Goldman Sachs, rising to Head of the Global Equities Division, Vice Chairman of the firm and a member of its Management Committee. He earned a Bachelor of Arts from Duke University and a Master’s in Business Administration from the University of Chicago’s Booth School of Business. We believe that Mr. Steel is qualified to serve on our board of directors due to his extensive finance industry and financial regulatory experience.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240"/>
          </w:cols>
          <w:pgMar w:left="320" w:top="1400" w:right="339" w:bottom="1440" w:gutter="0" w:footer="0" w:header="0"/>
        </w:sectPr>
      </w:pPr>
    </w:p>
    <w:bookmarkStart w:id="13" w:name="page14"/>
    <w:bookmarkEnd w:id="13"/>
    <w:p>
      <w:pPr>
        <w:spacing w:after="0" w:line="149"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Dietrich Becker </w:t>
      </w:r>
      <w:r>
        <w:rPr>
          <w:rFonts w:ascii="Times New Roman" w:cs="Times New Roman" w:eastAsia="Times New Roman" w:hAnsi="Times New Roman"/>
          <w:sz w:val="18"/>
          <w:szCs w:val="18"/>
          <w:color w:val="auto"/>
        </w:rPr>
        <w:t>has served as our Co-President and a member of our board of directors since the closing of the Business Combination in June 2021.</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Mr. Becker is a Founding Partner of PWP and has served as PWP’s Co-President since March 2020. Mr. Becker has over 30 years of investment banking experience. In addition to his current role, Mr. Becker is a partner in PWP’s Advisory business where he has served as Head of PWP’s Advisory business in Europe since 2017. Prior to joining PWP in 2006, Mr. Becker was Co-Head of the Global Industrial Group at Morgan Stanley. He began his investment banking career with Merrill Lynch in 1991. Mr. Becker earned a degree from Cologne University Law School and a Master’s in Business Administration from New York University Stern Graduate School of Business. We believe that Mr. Becker is qualified to serve on our board of directors due to his extensive investment banking and investment advisory experience.</w:t>
      </w:r>
    </w:p>
    <w:p>
      <w:pPr>
        <w:spacing w:after="0" w:line="156"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Andrew Bednar </w:t>
      </w:r>
      <w:r>
        <w:rPr>
          <w:rFonts w:ascii="Times New Roman" w:cs="Times New Roman" w:eastAsia="Times New Roman" w:hAnsi="Times New Roman"/>
          <w:sz w:val="18"/>
          <w:szCs w:val="18"/>
          <w:color w:val="auto"/>
        </w:rPr>
        <w:t>has served as our Co-President and a member of our board of directors since the closing of the Business Combination in June 2021.</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Mr. Bednar is a Founding Partner of PWP and has served as PWP’s Co-President since March 2020. Mr. Bednar has over 25 years of investment banking experience. In addition to his current role, Mr. Bednar is a partner in PWP’s Advisory business where he served as Co-Head of PWP’s Advisory business in the U.S. until 2013. Prior to joining PWP in 2006, Mr. Bednar was Head of U.S. Mergers &amp; Acquisition at Bank of America and a member of the Investment Banking Executive Committee. Prior to that, he was a Managing Director at Goldman, Sachs &amp; Co. He began his career at Cravath, Swaine &amp; Moore LLP in 1994. Mr. Bednar earned a Bachelor of Science and a Master’s in Business Administration from Cornell University, and also received a Juris Doctor from Columbia University. We believe that Mr. Bednar is qualified to serve on our board of directors due to his extensive investment banking and investment advisory experience.</w:t>
      </w:r>
    </w:p>
    <w:p>
      <w:pPr>
        <w:spacing w:after="0" w:line="144" w:lineRule="exact"/>
        <w:rPr>
          <w:sz w:val="20"/>
          <w:szCs w:val="20"/>
          <w:color w:val="auto"/>
        </w:rPr>
      </w:pPr>
    </w:p>
    <w:p>
      <w:pPr>
        <w:ind w:right="40" w:firstLine="324"/>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Jorma Ollila </w:t>
      </w:r>
      <w:r>
        <w:rPr>
          <w:rFonts w:ascii="Times New Roman" w:cs="Times New Roman" w:eastAsia="Times New Roman" w:hAnsi="Times New Roman"/>
          <w:sz w:val="18"/>
          <w:szCs w:val="18"/>
          <w:color w:val="auto"/>
        </w:rPr>
        <w:t>has served as a member of our board of directors since the closing of the Business Combination in June 2021. Mr. Ollila is the Former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Chairman and CEO of Nokia. Mr. Ollila has more than 40 years of corporate experience. Prior to joining PWP’s board, from 1985 to 2012. Mr. Ollila served in various senior positions at Nokia, and served on our Advisory Committee from 2015 until our Advisory Committee disbanded on March 1, 2019. From 1999 to 2012, Mr. Ollila was Chairman of Nokia. Prior to that, Mr. Ollila served as President and CEO from 1992 to 2012, and was previously President of Nokia Mobile Phones and Senior Vice President, Finance. Mr. Ollila began his career at Citibank in 1978 and held various managerial positions within corporate banking in London and Helsinki. Mr. Ollila was the Chairman of Royal Dutch Shell from 2006 to 2015. Mr. Ollila earned a Master of Science in Political Science from the University of Helsinki, a Master of Science in Economics from London School of Economics and a Master of Science in Engineering Physics from Helsinki University of Technology. We believe that Mr. Ollila is qualified to serve on our board of directors due to his extensive business management and financial industry experience.</w:t>
      </w:r>
    </w:p>
    <w:p>
      <w:pPr>
        <w:spacing w:after="0" w:line="148"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Jane C. Sherburne </w:t>
      </w:r>
      <w:r>
        <w:rPr>
          <w:rFonts w:ascii="Times New Roman" w:cs="Times New Roman" w:eastAsia="Times New Roman" w:hAnsi="Times New Roman"/>
          <w:sz w:val="18"/>
          <w:szCs w:val="18"/>
          <w:color w:val="auto"/>
        </w:rPr>
        <w:t>has served as a member of our board of directors since the closing of the Business Combination in June 2021. Ms. Sherburne is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Principal of Sherburne PLLC. Ms. Sherburne has over 30 years of legal experience, and served on PWP’s Advisory Committee from 2015 until PWP’s Advisory Committee disbanded on March 1, 2019. Over the past 14 years, Ms. Sherburne has served as General Counsel to several financial institutions, including BNY Mellon, Wachovia and Citi Global Consumer Group. From July 2001 to December 2006, Ms. Sherburne was Deputy General Counsel of Citigroup, Inc. Until July 2001, Ms. Sherburne was a litigation partner at the Washington DC law firm of Wilmer, Cutler &amp; Pickering, having joined the firm in 1984. Ms. Sherburne interrupted her private practice from 1994 to 1997, she served as Special Counsel to the President in the Clinton White House. Ms. Sherburne serves as an independent director on the boards of HSBC USA, HSBC Bank USA, HSBC Finance Corporation and HSBC North America, all of which are indirect wholly-owned subsidiaries of HSBC Holdings plc, and on the board of Teledyne Technologies, Inc. Ms. Sherburne is Chair of the Board of the National Women’s Law Center, Chair of the Board of Negotiations Strategies Institute, a member of the Executive Committee of the Lawyers’ Committee for Civil Rights Under Law, a member of the Committee for Economic Development, and a member of the American Law Institute. Ms. Sherburne earned a Bachelor of Arts and Master of Social Work from the University of Minnesota and a Juris Doctor from Georgetown University Law Center. We believe that Ms. Sherburne is qualified to serve on our board of directors due to her extensive legal and governance experience.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220"/>
          </w:cols>
          <w:pgMar w:left="320" w:top="1440" w:right="359" w:bottom="1440" w:gutter="0" w:footer="0" w:header="0"/>
        </w:sectPr>
      </w:pPr>
    </w:p>
    <w:bookmarkStart w:id="14" w:name="page15"/>
    <w:bookmarkEnd w:id="14"/>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Composition</w:t>
      </w:r>
    </w:p>
    <w:p>
      <w:pPr>
        <w:spacing w:after="0" w:line="189" w:lineRule="exact"/>
        <w:rPr>
          <w:sz w:val="20"/>
          <w:szCs w:val="20"/>
          <w:color w:val="auto"/>
        </w:rPr>
      </w:pPr>
    </w:p>
    <w:p>
      <w:pPr>
        <w:jc w:val="both"/>
        <w:ind w:right="120" w:firstLine="324"/>
        <w:spacing w:after="0" w:line="266" w:lineRule="auto"/>
        <w:rPr>
          <w:sz w:val="20"/>
          <w:szCs w:val="20"/>
          <w:color w:val="auto"/>
        </w:rPr>
      </w:pPr>
      <w:r>
        <w:rPr>
          <w:rFonts w:ascii="Times New Roman" w:cs="Times New Roman" w:eastAsia="Times New Roman" w:hAnsi="Times New Roman"/>
          <w:sz w:val="18"/>
          <w:szCs w:val="18"/>
          <w:color w:val="auto"/>
        </w:rPr>
        <w:t>Our certificate of incorporation and bylaws provide that our board of directors will consist of not less than three directors nor more than 15 directors, with the exact number of directors to be fixed from time to time by a resolution of our board of directors. Our board of directors currently consists of nine directors.</w:t>
      </w:r>
    </w:p>
    <w:p>
      <w:pPr>
        <w:spacing w:after="0" w:line="149"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color w:val="auto"/>
        </w:rPr>
        <w:t>Our board of directors is divided into three classes of nearly equal size. The initial terms of the Class I, Class II and Class III directors will expire at our 2022, 2023 and 2024 annual meetings of our stockholders, respectively, and in each case, until his or her successor has been duly elected and qualified or until his or her earlier death, resignation or removal. Upon the expiration of each initial term, directors will subsequently serve three-year terms if re-nominated and re-elected. Our Class I directors include Mr. Perella, Mr. Seidenberg and Mr. Cohen, our Class II directors include Mr. Ollila, Mr. Steel and Mr. Bednar, and our Class III directors include Mr. Weinberg, Ms. Sherburne and Mr. Becker. There are no family relationships among any of our directors or executive officers.</w:t>
      </w:r>
    </w:p>
    <w:p>
      <w:pPr>
        <w:spacing w:after="0" w:line="147"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In connection with the closing of the Business Combination, we entered into the Stockholders Agreement with Professional Partners. Under the Stockholders Agreement, for so long as the Class B Condition is satisfied, Professional Partners will have the right to designate a number of directors equal to the majority of our board of directors. After the Class B Condition ceases to be satisfied, for so long as the Secondary Class B Condition is satisfied, Professional Partners will have the right to designate a number of directors (rounded up to the nearest whole number) equal to one third of our board of directors. Professional Partners will retain the right to remove any director previously designated by it, for so long as the Class B Condition or the Secondary Class B Condition is satisfied. See “Certain Relationships and Related Person Transactions—PWP Related Party Transactions—Right of Professional Partners and Stockholders Agreement.”</w:t>
      </w:r>
    </w:p>
    <w:p>
      <w:pPr>
        <w:spacing w:after="0" w:line="148"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auto"/>
        </w:rPr>
        <w:t>Our certificate of incorporation provides that, subject to the rights, if any, of the holders of shares of preferred stock then outstanding, directors may be removed from office at any time, with or without cause, by the affirmative vote of at least two-thirds (2/3) of the voting power of the shares entitled to vote in connection with the election of our directors; provided that at any time the Class B Condition is satisfied, any or all of our directors may be removed from office at any time, with or without cause, by the affirmative vote of the holders of a majority of the voting power of the shares entitled to vote in connection with the election of our directors. Any vacancy on the board of directors may be filled by a majority of the directors then in office.</w:t>
      </w:r>
    </w:p>
    <w:p>
      <w:pPr>
        <w:spacing w:after="0" w:line="156"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We are “controlled” by the Limited Partners who manage Professional Partners, and as a result, are a “controlled company” under Nasdaq rules. Under these rules, a company of which more than 50% of the voting power is held by an individual, group or another company is a “controlled company” and may elect not to comply with certain corporate governance standards, including the requirements (i) that a majority of our board of directors consist of independent directors, as independence is defined in Rule 10A-3 of the Exchange Act and under the listing standards, (ii) that our board of directors have a compensation and committee comprised solely of independent directors and (iii) that our board of directors either (A) have a nominations committee comprised solely of independent directors or (B) that independent directors constituting a majority of the board’s independent directors select or recommend director nominees in a vote in which only independent directors participate.</w:t>
      </w:r>
    </w:p>
    <w:p>
      <w:pPr>
        <w:spacing w:after="0" w:line="148" w:lineRule="exact"/>
        <w:rPr>
          <w:sz w:val="20"/>
          <w:szCs w:val="20"/>
          <w:color w:val="auto"/>
        </w:rPr>
      </w:pPr>
    </w:p>
    <w:p>
      <w:pPr>
        <w:jc w:val="both"/>
        <w:ind w:right="80" w:firstLine="324"/>
        <w:spacing w:after="0" w:line="261" w:lineRule="auto"/>
        <w:rPr>
          <w:sz w:val="20"/>
          <w:szCs w:val="20"/>
          <w:color w:val="auto"/>
        </w:rPr>
      </w:pPr>
      <w:r>
        <w:rPr>
          <w:rFonts w:ascii="Times New Roman" w:cs="Times New Roman" w:eastAsia="Times New Roman" w:hAnsi="Times New Roman"/>
          <w:sz w:val="18"/>
          <w:szCs w:val="18"/>
          <w:color w:val="auto"/>
        </w:rPr>
        <w:t>We currently utilize some of these exemptions. As a result, we do not have a majority of independent directors on our board of directors. In the event that we cease to be a “controlled company” and our shares continue to be listed on Nasdaq, we will be required to comply with these provisions within the applicable transition periods. These exemptions do not modify the independence requirements for our audit committee, and we intend to comply with the applicable requirements of the SEC and Nasdaq with respect to our audit committee.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200"/>
          </w:cols>
          <w:pgMar w:left="320" w:top="1440" w:right="379" w:bottom="1440" w:gutter="0" w:footer="0" w:header="0"/>
        </w:sectPr>
      </w:pPr>
    </w:p>
    <w:bookmarkStart w:id="15" w:name="page16"/>
    <w:bookmarkEnd w:id="15"/>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Independence</w:t>
      </w:r>
    </w:p>
    <w:p>
      <w:pPr>
        <w:spacing w:after="0" w:line="189" w:lineRule="exact"/>
        <w:rPr>
          <w:sz w:val="20"/>
          <w:szCs w:val="20"/>
          <w:color w:val="auto"/>
        </w:rPr>
      </w:pPr>
    </w:p>
    <w:p>
      <w:pPr>
        <w:ind w:right="140" w:firstLine="324"/>
        <w:spacing w:after="0" w:line="255" w:lineRule="auto"/>
        <w:rPr>
          <w:sz w:val="20"/>
          <w:szCs w:val="20"/>
          <w:color w:val="auto"/>
        </w:rPr>
      </w:pPr>
      <w:r>
        <w:rPr>
          <w:rFonts w:ascii="Times New Roman" w:cs="Times New Roman" w:eastAsia="Times New Roman" w:hAnsi="Times New Roman"/>
          <w:sz w:val="18"/>
          <w:szCs w:val="18"/>
          <w:color w:val="auto"/>
        </w:rPr>
        <w:t>Under Nasdaq rules, independent directors must comprise a majority of a listed company’s board of directors. In addition, Nasdaq rules require that, subject to specified exceptions, each member of a listed company’s audit, compensation and nominations committees must be independent. As discussed above, we have availed ourselves of the “controlled company” exemption and, as a result, although we have an independent audit committee, we do not have a majority of independent directors on our board. Under Nasdaq rules, a director is independent only if our board of directors makes an affirmative determination that the individual does not have any relationship that would interfere with the exercise of independent judgment in carrying out the responsibilities of a director. The board has determined that Mr. Ollila, Mr. Seidenberg, Ms. Sherburne and Mr. Cohen are “independent directors” as that term is defined under Nasdaq rules and that Ms. Fascitelli and Ms. Mugford would be independent directors if elected to the board of directors.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of Directors Leadership Structure</w:t>
      </w:r>
    </w:p>
    <w:p>
      <w:pPr>
        <w:spacing w:after="0" w:line="202"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Under our corporate governance guidelines, the board of directors does not require the separation of the offices of the chairman of the board of directors (the “Chairman”) and the chief executive officer of the Company (the “Chief Executive Officer”). These guidelines provide that the board of directors shall be free to choose its chairman in any way that it deems best for the Company at any given point in time. Our Chief Executive Officer, Peter A. Weinberg, currently serves as the Chairman of our board of directors. The board of directors believes that this is an appropriate, effective and efficient leadership structure, and has determined that combining the Chief Executive Officer and Chairman roles provides for clear accountability and leadership responsibility, and facilitates effective decision-making and a cohesive corporate strategy. The board of directors periodically reviews its leadership structure and may make changes in the future. The Company does not have a lead independent director; however, an independent director presides over the executive sessions.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of Directors Role in Risk Oversight</w:t>
      </w:r>
    </w:p>
    <w:p>
      <w:pPr>
        <w:spacing w:after="0" w:line="189"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auto"/>
        </w:rPr>
        <w:t>We are exposed to a number of risks, and we regularly identify and evaluate these risks and our risk management strategy. Management is principally responsible for identifying, evaluating and managing the risks on a day-to-day basis, under the oversight of the board of directors and the audit committee. Our audit committee is responsible for overseeing the guidelines and policies governing the process by which senior management and the relevant departments of the Company, including the internal audit function, assess and manage our exposure to risk, including cybersecurity risk, as well as any major litigation, regulatory, financial and reputational risk exposures and the steps management has taken to monitor and control such exposures. Additionally, our audit committee focuses on oversight of financial risks and the compensation committee makes recommendations to the board of directors regarding executive compensation plans and arrangements. The full board of directors keeps itself regularly informed regarding risks overseen by the audit committee through management and committee reports and otherwise.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Committees</w:t>
      </w:r>
    </w:p>
    <w:p>
      <w:pPr>
        <w:spacing w:after="0" w:line="189" w:lineRule="exact"/>
        <w:rPr>
          <w:sz w:val="20"/>
          <w:szCs w:val="20"/>
          <w:color w:val="auto"/>
        </w:rPr>
      </w:pPr>
    </w:p>
    <w:p>
      <w:pPr>
        <w:ind w:right="80" w:firstLine="324"/>
        <w:spacing w:after="0" w:line="261" w:lineRule="auto"/>
        <w:rPr>
          <w:sz w:val="20"/>
          <w:szCs w:val="20"/>
          <w:color w:val="auto"/>
        </w:rPr>
      </w:pPr>
      <w:r>
        <w:rPr>
          <w:rFonts w:ascii="Times New Roman" w:cs="Times New Roman" w:eastAsia="Times New Roman" w:hAnsi="Times New Roman"/>
          <w:sz w:val="18"/>
          <w:szCs w:val="18"/>
          <w:color w:val="auto"/>
        </w:rPr>
        <w:t>Our board of directors has the authority to appoint committees to perform certain management and administrative functions and has two standing committees, an audit committee and a compensation committee, each of which has the composition and the responsibilities described below. Our board of directors may from time to time establish other committees. Each committee has adopted a written charter, which we have posted on our website at http://www.pwpartners.com.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180"/>
          </w:cols>
          <w:pgMar w:left="320" w:top="1440" w:right="399" w:bottom="1440" w:gutter="0" w:footer="0" w:header="0"/>
        </w:sectPr>
      </w:pPr>
    </w:p>
    <w:bookmarkStart w:id="16" w:name="page17"/>
    <w:bookmarkEnd w:id="16"/>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Audit Committee</w:t>
      </w:r>
    </w:p>
    <w:p>
      <w:pPr>
        <w:spacing w:after="0" w:line="18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The audit committee oversees our accounting and financial reporting process and the audit of our financial statements and assists our board of directors in monitoring our financial systems and our legal and regulatory compliance. The audit committee is responsible for, among other things:</w:t>
      </w:r>
    </w:p>
    <w:p>
      <w:pPr>
        <w:spacing w:after="0" w:line="162" w:lineRule="exact"/>
        <w:rPr>
          <w:sz w:val="20"/>
          <w:szCs w:val="20"/>
          <w:color w:val="auto"/>
        </w:rPr>
      </w:pPr>
    </w:p>
    <w:p>
      <w:pPr>
        <w:ind w:left="660" w:right="140" w:hanging="328"/>
        <w:spacing w:after="0" w:line="282"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appointing, compensating and overseeing the work of our independent auditors, including resolving disagreements between management and the independent registered public accounting firm regarding financial reporting;</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approving engagements of the independent registered public accounting firm to render any audit or permissible non-audit services;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the qualifications and independence of the independent registered public accounting firm;</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our financial statements and related disclosures and reviewing our critical accounting policies and practices;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the adequacy and effectiveness of our internal control over financial reporting;</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procedures for the receipt, retention and treatment of accounting and auditing related complaints and concerns;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preparing the audit committee report required by SEC rules to be included in our annual proxy statement;</w:t>
      </w:r>
    </w:p>
    <w:p>
      <w:pPr>
        <w:spacing w:after="0" w:line="225" w:lineRule="exact"/>
        <w:rPr>
          <w:rFonts w:ascii="Times New Roman" w:cs="Times New Roman" w:eastAsia="Times New Roman" w:hAnsi="Times New Roman"/>
          <w:sz w:val="18"/>
          <w:szCs w:val="18"/>
          <w:color w:val="auto"/>
        </w:rPr>
      </w:pPr>
    </w:p>
    <w:p>
      <w:pPr>
        <w:ind w:left="660" w:right="300" w:hanging="328"/>
        <w:spacing w:after="0" w:line="282"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discussing with management and the independent registered public accounting firm the results of the annual audit, our quarterly financial statements and our publicly filed reports; and</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in advance any proposed related person transactions.</w:t>
      </w:r>
    </w:p>
    <w:p>
      <w:pPr>
        <w:spacing w:after="0" w:line="198"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color w:val="auto"/>
        </w:rPr>
        <w:t>The members of our audit committee are Ivan G. Seidenberg, Jorma Ollila and Jane C. Sherburne. Jorma Ollila is the chairman of the audit committee. Our board of directors has determined that Jane C. Sherburne is an audit committee financial expert. The board of directors has determined that Ivan G. Seidenberg, Jorma Ollila and Jane C. Sherburne qualify as independent directors pursuant to Nasdaq rules and additional independence criteria set forth in Rule 10A-3. The audit committee held three meetings between the closing of the Business Combination and December 31, 2021.</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Compensation Committee</w:t>
      </w:r>
    </w:p>
    <w:p>
      <w:pPr>
        <w:spacing w:after="0" w:line="189" w:lineRule="exact"/>
        <w:rPr>
          <w:sz w:val="20"/>
          <w:szCs w:val="20"/>
          <w:color w:val="auto"/>
        </w:rPr>
      </w:pPr>
    </w:p>
    <w:p>
      <w:pPr>
        <w:ind w:right="180" w:firstLine="324"/>
        <w:spacing w:after="0" w:line="282" w:lineRule="auto"/>
        <w:rPr>
          <w:sz w:val="20"/>
          <w:szCs w:val="20"/>
          <w:color w:val="auto"/>
        </w:rPr>
      </w:pPr>
      <w:r>
        <w:rPr>
          <w:rFonts w:ascii="Times New Roman" w:cs="Times New Roman" w:eastAsia="Times New Roman" w:hAnsi="Times New Roman"/>
          <w:sz w:val="18"/>
          <w:szCs w:val="18"/>
          <w:color w:val="auto"/>
        </w:rPr>
        <w:t>The compensation committee oversees our compensation policies, plans and programs. The compensation committee is responsible for, among other things:</w:t>
      </w:r>
    </w:p>
    <w:p>
      <w:pPr>
        <w:spacing w:after="0" w:line="162" w:lineRule="exact"/>
        <w:rPr>
          <w:sz w:val="20"/>
          <w:szCs w:val="20"/>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recommending policies, plans and programs relating to compensation and benefits of our directors, officers and employees;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recommending compensation and the corporate goals and objectives relevant to compensation of our Chief Executive Officer;</w:t>
      </w:r>
    </w:p>
    <w:p>
      <w:pPr>
        <w:spacing w:after="0" w:line="225" w:lineRule="exact"/>
        <w:rPr>
          <w:rFonts w:ascii="Times New Roman" w:cs="Times New Roman" w:eastAsia="Times New Roman" w:hAnsi="Times New Roman"/>
          <w:sz w:val="18"/>
          <w:szCs w:val="18"/>
          <w:color w:val="auto"/>
        </w:rPr>
      </w:pPr>
    </w:p>
    <w:p>
      <w:pPr>
        <w:ind w:left="660" w:right="360" w:hanging="328"/>
        <w:spacing w:after="0" w:line="282"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recommending compensation and corporate goals and objectives relevant to compensation for executive officers other than our Chief Executive Officer;</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evaluating the performance of our Chief Executive Officer and other executive officers in light of established goals and objectives;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220"/>
          </w:cols>
          <w:pgMar w:left="320" w:top="1440" w:right="359" w:bottom="1440" w:gutter="0" w:footer="0" w:header="0"/>
        </w:sectPr>
      </w:pPr>
    </w:p>
    <w:bookmarkStart w:id="17" w:name="page18"/>
    <w:bookmarkEnd w:id="17"/>
    <w:p>
      <w:pPr>
        <w:spacing w:after="0" w:line="194" w:lineRule="exact"/>
        <w:rPr>
          <w:sz w:val="20"/>
          <w:szCs w:val="20"/>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administering our equity compensation plans for our employees and directors.</w:t>
      </w:r>
    </w:p>
    <w:p>
      <w:pPr>
        <w:spacing w:after="0" w:line="185" w:lineRule="exact"/>
        <w:rPr>
          <w:sz w:val="20"/>
          <w:szCs w:val="20"/>
          <w:color w:val="auto"/>
        </w:rPr>
      </w:pPr>
    </w:p>
    <w:p>
      <w:pPr>
        <w:ind w:right="120" w:firstLine="324"/>
        <w:spacing w:after="0" w:line="266" w:lineRule="auto"/>
        <w:rPr>
          <w:sz w:val="20"/>
          <w:szCs w:val="20"/>
          <w:color w:val="auto"/>
        </w:rPr>
      </w:pPr>
      <w:r>
        <w:rPr>
          <w:rFonts w:ascii="Times New Roman" w:cs="Times New Roman" w:eastAsia="Times New Roman" w:hAnsi="Times New Roman"/>
          <w:sz w:val="18"/>
          <w:szCs w:val="18"/>
          <w:color w:val="auto"/>
        </w:rPr>
        <w:t>The members of the compensation committee are Ivan G. Seidenberg, Jorma Ollila, Jane C. Sherburne and Daniel G. Cohen. Jane C. Sherburne is the chairman of the compensation committee. The compensation committee held four meetings between the closing of the Business Combination and December 31, 2021.</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Compensation Committee Interlocks and Insider Participation</w:t>
      </w:r>
    </w:p>
    <w:p>
      <w:pPr>
        <w:spacing w:after="0" w:line="200" w:lineRule="exact"/>
        <w:rPr>
          <w:sz w:val="20"/>
          <w:szCs w:val="20"/>
          <w:color w:val="auto"/>
        </w:rPr>
      </w:pPr>
    </w:p>
    <w:p>
      <w:pPr>
        <w:ind w:right="600" w:firstLine="324"/>
        <w:spacing w:after="0" w:line="282" w:lineRule="auto"/>
        <w:rPr>
          <w:sz w:val="20"/>
          <w:szCs w:val="20"/>
          <w:color w:val="auto"/>
        </w:rPr>
      </w:pPr>
      <w:r>
        <w:rPr>
          <w:rFonts w:ascii="Times New Roman" w:cs="Times New Roman" w:eastAsia="Times New Roman" w:hAnsi="Times New Roman"/>
          <w:sz w:val="18"/>
          <w:szCs w:val="18"/>
          <w:color w:val="auto"/>
        </w:rPr>
        <w:t>None of our executive officers currently serves, or has served during the last completed fiscal year, on the compensation committee or board of directors of any other entity that has one or more executive officers serving as a member of our board of directors or compensation committee.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and Committee Meetings; Annual Meeting Attendance</w:t>
      </w:r>
    </w:p>
    <w:p>
      <w:pPr>
        <w:spacing w:after="0" w:line="189"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color w:val="auto"/>
        </w:rPr>
        <w:t>Since the closing of the Business Combination through December 31, 2021, our board of directors held two meetings, our audit committee held three meetings and our compensation committee held four meetings. During 2021, each director attended at least 75% of the total number of meetings of the board of directors and committees on which the director served. The independent directors of the Company meet in executive session without management on a regularly scheduled basis. The Chairman, if an independent director, shall preside at such executive sessions, or if the Chairperson is not an independent director or in such director’s absence, an independent director designated by a majority of independent directors shall preside at such executive sessions.</w:t>
      </w:r>
    </w:p>
    <w:p>
      <w:pPr>
        <w:spacing w:after="0" w:line="14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Under our corporate governance guidelines, directors are expected to attend the Company’s annual meetings of stockholders.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Nomination Process</w:t>
      </w:r>
    </w:p>
    <w:p>
      <w:pPr>
        <w:spacing w:after="0" w:line="202" w:lineRule="exact"/>
        <w:rPr>
          <w:sz w:val="20"/>
          <w:szCs w:val="20"/>
          <w:color w:val="auto"/>
        </w:rPr>
      </w:pPr>
    </w:p>
    <w:p>
      <w:pPr>
        <w:ind w:right="100" w:firstLine="324"/>
        <w:spacing w:after="0" w:line="256" w:lineRule="auto"/>
        <w:rPr>
          <w:sz w:val="20"/>
          <w:szCs w:val="20"/>
          <w:color w:val="auto"/>
        </w:rPr>
      </w:pPr>
      <w:r>
        <w:rPr>
          <w:rFonts w:ascii="Times New Roman" w:cs="Times New Roman" w:eastAsia="Times New Roman" w:hAnsi="Times New Roman"/>
          <w:sz w:val="18"/>
          <w:szCs w:val="18"/>
          <w:color w:val="auto"/>
        </w:rPr>
        <w:t>We do not have a nominations committee. Our full board of directors participates in the consideration of nominees to our board of directors other than as set forth below. The board of directors believes that input from all directors in the nominating process enhances the Company’s ability to identify, evaluate and select director nominees. In addition, our Stockholders Agreement provides that our board of directors will nominate individuals designated by Professional Partners equal to a majority of the board of directors, for so long as the Class B Condition is satisfied and, thereafter, one quarter of the candidates for so long as the Secondary Class B condition is satisfied. See “Certain Relationships and Related Person Transactions—PWP Related Party Transactions—Right of Professional Partners and Stockholders Agreement” below.</w:t>
      </w:r>
    </w:p>
    <w:p>
      <w:pPr>
        <w:spacing w:after="0" w:line="147"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In considering candidates for nomination, the board of directors applies several criteria in selecting nominees. At a minimum, the board of directors considers (a) whether each such nominee has demonstrated, by significant accomplishment in his or her field, an ability to make a meaningful contribution to the board of directors’ oversight of the business and affairs of the Company and (b) the nominee’s reputation for honesty and ethical conduct in his or her personal and professional activities. Additional factors which the board of directors may consider include a candidate’s specific experiences and skills, expertise, diversity, personal and professional integrity, character, business judgment, time availability in light of other commitments, dedication, potential conflicts of interest and such other relevant factors that the board of directors considers appropriate in the context of the board of directors’ needs.</w:t>
      </w:r>
    </w:p>
    <w:p>
      <w:pPr>
        <w:spacing w:after="0" w:line="147" w:lineRule="exact"/>
        <w:rPr>
          <w:sz w:val="20"/>
          <w:szCs w:val="20"/>
          <w:color w:val="auto"/>
        </w:rPr>
      </w:pPr>
    </w:p>
    <w:p>
      <w:pPr>
        <w:ind w:right="180" w:firstLine="324"/>
        <w:spacing w:after="0" w:line="282" w:lineRule="auto"/>
        <w:rPr>
          <w:sz w:val="20"/>
          <w:szCs w:val="20"/>
          <w:color w:val="auto"/>
        </w:rPr>
      </w:pPr>
      <w:r>
        <w:rPr>
          <w:rFonts w:ascii="Times New Roman" w:cs="Times New Roman" w:eastAsia="Times New Roman" w:hAnsi="Times New Roman"/>
          <w:sz w:val="18"/>
          <w:szCs w:val="18"/>
          <w:color w:val="auto"/>
        </w:rPr>
        <w:t>The board of directors will consider a candidate nominated by a stockholder in a manner consistent with its evaluation of potential nominees, so long as the nomination meets the requirements of our bylaws, as summarized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240"/>
          </w:cols>
          <w:pgMar w:left="320" w:top="1440" w:right="339" w:bottom="1440" w:gutter="0" w:footer="0" w:header="0"/>
        </w:sectPr>
      </w:pPr>
    </w:p>
    <w:bookmarkStart w:id="18" w:name="page19"/>
    <w:bookmarkEnd w:id="18"/>
    <w:p>
      <w:pPr>
        <w:spacing w:after="0" w:line="15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notice of nomination should include the information required by PWP’s bylaws, including, but not limited to, the following:</w:t>
      </w:r>
    </w:p>
    <w:p>
      <w:pPr>
        <w:spacing w:after="0" w:line="225" w:lineRule="exact"/>
        <w:rPr>
          <w:sz w:val="20"/>
          <w:szCs w:val="20"/>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stockholder’s name, record address, and name and principal place of business,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 age, business address, residence address, and principal occupation or employment of the nominee,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class or series, and number of all shares of the Company’s stock owned beneficially or of record by the stockholder or the nominee,</w:t>
      </w:r>
    </w:p>
    <w:p>
      <w:pPr>
        <w:spacing w:after="0" w:line="225" w:lineRule="exact"/>
        <w:rPr>
          <w:rFonts w:ascii="Times New Roman" w:cs="Times New Roman" w:eastAsia="Times New Roman" w:hAnsi="Times New Roman"/>
          <w:sz w:val="18"/>
          <w:szCs w:val="18"/>
          <w:color w:val="auto"/>
        </w:rPr>
      </w:pPr>
    </w:p>
    <w:p>
      <w:pPr>
        <w:ind w:left="660" w:right="820" w:hanging="328"/>
        <w:spacing w:after="0" w:line="282"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and the extent to which any derivative or other instrument, transaction, agreement, or arrangement has been entered into by the stockholder or the nominee with respect to the Company’s stock,</w:t>
      </w:r>
    </w:p>
    <w:p>
      <w:pPr>
        <w:spacing w:after="0" w:line="16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description of all agreements or arrangements to which the stockholder or the nominee is a party with respect to the nomination, the Company or the Company’s stock,</w:t>
      </w:r>
    </w:p>
    <w:p>
      <w:pPr>
        <w:spacing w:after="0" w:line="161" w:lineRule="exact"/>
        <w:rPr>
          <w:rFonts w:ascii="Times New Roman" w:cs="Times New Roman" w:eastAsia="Times New Roman" w:hAnsi="Times New Roman"/>
          <w:sz w:val="18"/>
          <w:szCs w:val="18"/>
          <w:color w:val="auto"/>
        </w:rPr>
      </w:pPr>
    </w:p>
    <w:p>
      <w:pPr>
        <w:ind w:left="660" w:right="40" w:hanging="328"/>
        <w:spacing w:after="0" w:line="282"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description of agreements or arrangements entered into by the stockholder or the nominee with the intent to mitigate loss, manage risk or benefit from changes in the stock price or increase or decrease the stockholder’s voting power,</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representation that the stockholder will attend the meeting in person or by proxy to nominate the persons named in its notice, and</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information related to the stockholder or the nominee required to be disclosed in the solicitation of proxies for election of directors under federal securities laws.</w:t>
      </w:r>
    </w:p>
    <w:p>
      <w:pPr>
        <w:spacing w:after="0" w:line="135" w:lineRule="exact"/>
        <w:rPr>
          <w:sz w:val="20"/>
          <w:szCs w:val="20"/>
          <w:color w:val="auto"/>
        </w:rPr>
      </w:pPr>
    </w:p>
    <w:p>
      <w:pPr>
        <w:ind w:right="140" w:firstLine="324"/>
        <w:spacing w:after="0" w:line="282" w:lineRule="auto"/>
        <w:rPr>
          <w:sz w:val="20"/>
          <w:szCs w:val="20"/>
          <w:color w:val="auto"/>
        </w:rPr>
      </w:pPr>
      <w:r>
        <w:rPr>
          <w:rFonts w:ascii="Times New Roman" w:cs="Times New Roman" w:eastAsia="Times New Roman" w:hAnsi="Times New Roman"/>
          <w:sz w:val="18"/>
          <w:szCs w:val="18"/>
          <w:color w:val="auto"/>
        </w:rPr>
        <w:t>The notice must be accompanied by the nominee’s consent to be elected and to serve as a director and include certain representations and agreements by the nominee set forth in our bylaws.</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This notice must be updated, if necessary, so that the information is true and correct as of the record date for the meeting.</w:t>
      </w:r>
    </w:p>
    <w:p>
      <w:pPr>
        <w:spacing w:after="0" w:line="185"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auto"/>
        </w:rPr>
        <w:t>Stockholder nominees should be submitted to the Company’s Corporate Secretary at the Company’s principal executive offices. Stockholder nominations may be made at any time. However, in order for a candidate to be included in the slate of director nominees for approval by stockholders in connection with a meeting of stockholders and for information about the candidate to be included in the Company’s proxy materials for such a meeting, the stockholder must submit the information required by our bylaws and other information reasonably requested by the Company within the timeframe described below under “Additional Information—Procedures for Submitting Stockholder Proposals.”</w:t>
      </w:r>
    </w:p>
    <w:p>
      <w:pPr>
        <w:spacing w:after="0" w:line="156" w:lineRule="exact"/>
        <w:rPr>
          <w:sz w:val="20"/>
          <w:szCs w:val="20"/>
          <w:color w:val="auto"/>
        </w:rPr>
      </w:pPr>
    </w:p>
    <w:p>
      <w:pPr>
        <w:ind w:right="320" w:firstLine="324"/>
        <w:spacing w:after="0" w:line="282" w:lineRule="auto"/>
        <w:rPr>
          <w:sz w:val="20"/>
          <w:szCs w:val="20"/>
          <w:color w:val="auto"/>
        </w:rPr>
      </w:pPr>
      <w:r>
        <w:rPr>
          <w:rFonts w:ascii="Times New Roman" w:cs="Times New Roman" w:eastAsia="Times New Roman" w:hAnsi="Times New Roman"/>
          <w:sz w:val="18"/>
          <w:szCs w:val="18"/>
          <w:color w:val="auto"/>
        </w:rPr>
        <w:t>When the Company or the board of directors is required by contractual obligation (including pursuant to the Stockholders Agreement) to nominate candidates designated by any person or entity, the selection and nomination of these directors is not subject to the above process.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Communication with the Board of Directors</w:t>
      </w:r>
    </w:p>
    <w:p>
      <w:pPr>
        <w:spacing w:after="0" w:line="189"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Any stockholder or other interested parties who would like to communicate with the board of directors, the independent directors as a group or any specific member or members of the board of directors should send such communications to the attention of our Corporate Secretary at Perella Weinberg Partners, 767 Fifth Avenue, New York, NY 10153. Communications should contain instructions on which member or members of the board of directors the communication is intended for. Such communications will generally be forwarded to the intended recipients. However, our Corporate Secretary may, in his or her sole discretion, decline to forward any communications that are inappropriate.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220"/>
          </w:cols>
          <w:pgMar w:left="320" w:top="1440" w:right="359" w:bottom="1440" w:gutter="0" w:footer="0" w:header="0"/>
        </w:sectPr>
      </w:pPr>
    </w:p>
    <w:bookmarkStart w:id="19" w:name="page20"/>
    <w:bookmarkEnd w:id="19"/>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Committee Interlocks and Insider Participation</w:t>
      </w:r>
    </w:p>
    <w:p>
      <w:pPr>
        <w:spacing w:after="0" w:line="189" w:lineRule="exact"/>
        <w:rPr>
          <w:sz w:val="20"/>
          <w:szCs w:val="20"/>
          <w:color w:val="auto"/>
        </w:rPr>
      </w:pPr>
    </w:p>
    <w:p>
      <w:pPr>
        <w:ind w:right="500" w:firstLine="324"/>
        <w:spacing w:after="0" w:line="282" w:lineRule="auto"/>
        <w:rPr>
          <w:sz w:val="20"/>
          <w:szCs w:val="20"/>
          <w:color w:val="auto"/>
        </w:rPr>
      </w:pPr>
      <w:r>
        <w:rPr>
          <w:rFonts w:ascii="Times New Roman" w:cs="Times New Roman" w:eastAsia="Times New Roman" w:hAnsi="Times New Roman"/>
          <w:sz w:val="18"/>
          <w:szCs w:val="18"/>
          <w:color w:val="auto"/>
        </w:rPr>
        <w:t>None of our executive officers currently serves, or has served during the last completed fiscal year, on the compensation committee or board of directors of any other entity that has one or more executive officers serving as a member of our board of directors or compensation committee.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Code of Business Conduct and Ethics</w:t>
      </w:r>
    </w:p>
    <w:p>
      <w:pPr>
        <w:spacing w:after="0" w:line="202" w:lineRule="exact"/>
        <w:rPr>
          <w:sz w:val="20"/>
          <w:szCs w:val="20"/>
          <w:color w:val="auto"/>
        </w:rPr>
      </w:pPr>
    </w:p>
    <w:p>
      <w:pPr>
        <w:jc w:val="both"/>
        <w:ind w:right="60" w:firstLine="324"/>
        <w:spacing w:after="0" w:line="266" w:lineRule="auto"/>
        <w:rPr>
          <w:sz w:val="20"/>
          <w:szCs w:val="20"/>
          <w:color w:val="auto"/>
        </w:rPr>
      </w:pPr>
      <w:r>
        <w:rPr>
          <w:rFonts w:ascii="Times New Roman" w:cs="Times New Roman" w:eastAsia="Times New Roman" w:hAnsi="Times New Roman"/>
          <w:sz w:val="18"/>
          <w:szCs w:val="18"/>
          <w:color w:val="auto"/>
        </w:rPr>
        <w:t>We have adopted a code of business conduct and ethics that is applicable to all of our employees, officers and directors, including our chief executive and senior financial officers. The code of business conduct and ethics is available on our website at https://investors.pwpartners.com. We expect that any amendment to the code of business conduct and ethics, or any waivers of its requirements, will be disclosed on our website.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Governance Guidelines</w:t>
      </w:r>
    </w:p>
    <w:p>
      <w:pPr>
        <w:spacing w:after="0" w:line="18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Our board of directors has adopted corporate governance guidelines to assist the board of directors in the exercise of its responsibilities. The corporate governance guidelines are available in the Corporate Governance section of our Investor Relations website at https://investors.pwpartners.com.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140"/>
          </w:cols>
          <w:pgMar w:left="320" w:top="1440" w:right="439" w:bottom="1440" w:gutter="0" w:footer="0" w:header="0"/>
        </w:sectPr>
      </w:pPr>
    </w:p>
    <w:bookmarkStart w:id="20" w:name="page21"/>
    <w:bookmarkEnd w:id="20"/>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DIRECTOR COMPENSATION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Compensation</w:t>
      </w:r>
    </w:p>
    <w:p>
      <w:pPr>
        <w:spacing w:after="0" w:line="189"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For 2021, our non-employee directors were entitled to the following compensation for their service on our board of directors: (i) an annual base retainer in the amount of $180,000, 50% of which is paid in the form of restricted stock units (“RSUs”) and 50% of which is paid in cash; (ii) a one-time grant of RSUs with a value of $50,000 upon initial appointment to the board of directors (including in connection with the closing of the Business Combination) vesting in three equal installments on or about each anniversary of the grant date; (iii) an annual cash retainer of $20,000 for the chair of the audit committee; and (iv) an annual cash retainer of $20,000 for the chair of the compensation committee. Except for the one-time grant of RSUs upon initial appointment to our board of directors, all other RSUs will be granted on or about the date of our general annual stockholder meeting and will vest on the date of the next general annual stockholder meeting; provided that the first annual grant of RSUs was pro-rated for the period between the closing of the Business Combination and the date of our 2022 Annual Meeting of Stockholders and will vest on the date of our 2022 Annual Meeting of Stockholders.</w:t>
      </w:r>
    </w:p>
    <w:p>
      <w:pPr>
        <w:spacing w:after="0" w:line="165" w:lineRule="exact"/>
        <w:rPr>
          <w:sz w:val="20"/>
          <w:szCs w:val="20"/>
          <w:color w:val="auto"/>
        </w:rPr>
      </w:pPr>
    </w:p>
    <w:p>
      <w:pPr>
        <w:ind w:right="380" w:firstLine="324"/>
        <w:spacing w:after="0" w:line="282" w:lineRule="auto"/>
        <w:rPr>
          <w:sz w:val="20"/>
          <w:szCs w:val="20"/>
          <w:color w:val="auto"/>
        </w:rPr>
      </w:pPr>
      <w:r>
        <w:rPr>
          <w:rFonts w:ascii="Times New Roman" w:cs="Times New Roman" w:eastAsia="Times New Roman" w:hAnsi="Times New Roman"/>
          <w:sz w:val="18"/>
          <w:szCs w:val="18"/>
          <w:color w:val="auto"/>
        </w:rPr>
        <w:t>In addition, each of Ivan G. Seidenberg, Jorma Ollila and Jane C. Sherburne, received payments in the amount of $75,000 in connection with their consultant services in 2021 provided prior to the closing of the Business Combination.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Compensation Table for 2021</w:t>
      </w:r>
    </w:p>
    <w:p>
      <w:pPr>
        <w:spacing w:after="0" w:line="189" w:lineRule="exact"/>
        <w:rPr>
          <w:sz w:val="20"/>
          <w:szCs w:val="20"/>
          <w:color w:val="auto"/>
        </w:rPr>
      </w:pPr>
    </w:p>
    <w:p>
      <w:pPr>
        <w:ind w:right="180" w:firstLine="324"/>
        <w:spacing w:after="0" w:line="282" w:lineRule="auto"/>
        <w:rPr>
          <w:sz w:val="20"/>
          <w:szCs w:val="20"/>
          <w:color w:val="auto"/>
        </w:rPr>
      </w:pPr>
      <w:r>
        <w:rPr>
          <w:rFonts w:ascii="Times New Roman" w:cs="Times New Roman" w:eastAsia="Times New Roman" w:hAnsi="Times New Roman"/>
          <w:sz w:val="18"/>
          <w:szCs w:val="18"/>
          <w:color w:val="auto"/>
        </w:rPr>
        <w:t>The total 2021 compensation of our non-employee directors is shown in the following table. We do not separately compensate our affiliated directors for their service on our board of directors.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28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Name</w:t>
            </w:r>
          </w:p>
        </w:tc>
        <w:tc>
          <w:tcPr>
            <w:tcW w:w="170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Fees Earned or Paid in</w:t>
            </w:r>
          </w:p>
        </w:tc>
        <w:tc>
          <w:tcPr>
            <w:tcW w:w="260" w:type="dxa"/>
            <w:vAlign w:val="bottom"/>
          </w:tcPr>
          <w:p>
            <w:pPr>
              <w:spacing w:after="0"/>
              <w:rPr>
                <w:sz w:val="16"/>
                <w:szCs w:val="16"/>
                <w:color w:val="auto"/>
              </w:rPr>
            </w:pPr>
          </w:p>
        </w:tc>
        <w:tc>
          <w:tcPr>
            <w:tcW w:w="1560" w:type="dxa"/>
            <w:vAlign w:val="bottom"/>
            <w:gridSpan w:val="2"/>
            <w:vMerge w:val="restart"/>
          </w:tcPr>
          <w:p>
            <w:pPr>
              <w:ind w:left="100"/>
              <w:spacing w:after="0"/>
              <w:rPr>
                <w:sz w:val="20"/>
                <w:szCs w:val="20"/>
                <w:color w:val="auto"/>
              </w:rPr>
            </w:pPr>
            <w:r>
              <w:rPr>
                <w:rFonts w:ascii="Times New Roman" w:cs="Times New Roman" w:eastAsia="Times New Roman" w:hAnsi="Times New Roman"/>
                <w:sz w:val="16"/>
                <w:szCs w:val="16"/>
                <w:b w:val="1"/>
                <w:bCs w:val="1"/>
                <w:color w:val="auto"/>
              </w:rPr>
              <w:t>Stock Awards</w:t>
            </w:r>
            <w:r>
              <w:rPr>
                <w:rFonts w:ascii="Times New Roman" w:cs="Times New Roman" w:eastAsia="Times New Roman" w:hAnsi="Times New Roman"/>
                <w:sz w:val="21"/>
                <w:szCs w:val="21"/>
                <w:color w:val="auto"/>
                <w:vertAlign w:val="superscript"/>
              </w:rPr>
              <w:t>(2)</w:t>
            </w:r>
          </w:p>
        </w:tc>
        <w:tc>
          <w:tcPr>
            <w:tcW w:w="180" w:type="dxa"/>
            <w:vAlign w:val="bottom"/>
          </w:tcPr>
          <w:p>
            <w:pPr>
              <w:spacing w:after="0"/>
              <w:rPr>
                <w:sz w:val="16"/>
                <w:szCs w:val="16"/>
                <w:color w:val="auto"/>
              </w:rPr>
            </w:pPr>
          </w:p>
        </w:tc>
        <w:tc>
          <w:tcPr>
            <w:tcW w:w="1960" w:type="dxa"/>
            <w:vAlign w:val="bottom"/>
            <w:gridSpan w:val="3"/>
          </w:tcPr>
          <w:p>
            <w:pPr>
              <w:jc w:val="center"/>
              <w:ind w:right="579"/>
              <w:spacing w:after="0"/>
              <w:rPr>
                <w:sz w:val="20"/>
                <w:szCs w:val="20"/>
                <w:color w:val="auto"/>
              </w:rPr>
            </w:pPr>
            <w:r>
              <w:rPr>
                <w:rFonts w:ascii="Times New Roman" w:cs="Times New Roman" w:eastAsia="Times New Roman" w:hAnsi="Times New Roman"/>
                <w:sz w:val="16"/>
                <w:szCs w:val="16"/>
                <w:b w:val="1"/>
                <w:bCs w:val="1"/>
                <w:color w:val="auto"/>
              </w:rPr>
              <w:t>All Other</w:t>
            </w:r>
          </w:p>
        </w:tc>
        <w:tc>
          <w:tcPr>
            <w:tcW w:w="1300" w:type="dxa"/>
            <w:vAlign w:val="bottom"/>
            <w:vMerge w:val="restart"/>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16"/>
        </w:trPr>
        <w:tc>
          <w:tcPr>
            <w:tcW w:w="4280" w:type="dxa"/>
            <w:vAlign w:val="bottom"/>
            <w:gridSpan w:val="2"/>
            <w:vMerge w:val="continue"/>
          </w:tcPr>
          <w:p>
            <w:pPr>
              <w:spacing w:after="0"/>
              <w:rPr>
                <w:sz w:val="18"/>
                <w:szCs w:val="18"/>
                <w:color w:val="auto"/>
              </w:rPr>
            </w:pPr>
          </w:p>
        </w:tc>
        <w:tc>
          <w:tcPr>
            <w:tcW w:w="360" w:type="dxa"/>
            <w:vAlign w:val="bottom"/>
          </w:tcPr>
          <w:p>
            <w:pPr>
              <w:spacing w:after="0"/>
              <w:rPr>
                <w:sz w:val="18"/>
                <w:szCs w:val="18"/>
                <w:color w:val="auto"/>
              </w:rPr>
            </w:pPr>
          </w:p>
        </w:tc>
        <w:tc>
          <w:tcPr>
            <w:tcW w:w="1340" w:type="dxa"/>
            <w:vAlign w:val="bottom"/>
          </w:tcPr>
          <w:p>
            <w:pPr>
              <w:jc w:val="right"/>
              <w:ind w:right="539"/>
              <w:spacing w:after="0" w:line="216" w:lineRule="exact"/>
              <w:rPr>
                <w:sz w:val="20"/>
                <w:szCs w:val="20"/>
                <w:color w:val="auto"/>
              </w:rPr>
            </w:pPr>
            <w:r>
              <w:rPr>
                <w:rFonts w:ascii="Times New Roman" w:cs="Times New Roman" w:eastAsia="Times New Roman" w:hAnsi="Times New Roman"/>
                <w:sz w:val="16"/>
                <w:szCs w:val="16"/>
                <w:b w:val="1"/>
                <w:bCs w:val="1"/>
                <w:color w:val="auto"/>
              </w:rPr>
              <w:t>Cash</w:t>
            </w:r>
            <w:r>
              <w:rPr>
                <w:rFonts w:ascii="Times New Roman" w:cs="Times New Roman" w:eastAsia="Times New Roman" w:hAnsi="Times New Roman"/>
                <w:sz w:val="21"/>
                <w:szCs w:val="21"/>
                <w:color w:val="auto"/>
                <w:vertAlign w:val="superscript"/>
              </w:rPr>
              <w:t>(1)</w:t>
            </w:r>
          </w:p>
        </w:tc>
        <w:tc>
          <w:tcPr>
            <w:tcW w:w="260" w:type="dxa"/>
            <w:vAlign w:val="bottom"/>
          </w:tcPr>
          <w:p>
            <w:pPr>
              <w:spacing w:after="0"/>
              <w:rPr>
                <w:sz w:val="18"/>
                <w:szCs w:val="18"/>
                <w:color w:val="auto"/>
              </w:rPr>
            </w:pPr>
          </w:p>
        </w:tc>
        <w:tc>
          <w:tcPr>
            <w:tcW w:w="156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1960" w:type="dxa"/>
            <w:vAlign w:val="bottom"/>
            <w:gridSpan w:val="3"/>
          </w:tcPr>
          <w:p>
            <w:pPr>
              <w:jc w:val="center"/>
              <w:ind w:right="559"/>
              <w:spacing w:after="0" w:line="216" w:lineRule="exact"/>
              <w:rPr>
                <w:sz w:val="20"/>
                <w:szCs w:val="20"/>
                <w:color w:val="auto"/>
              </w:rPr>
            </w:pPr>
            <w:r>
              <w:rPr>
                <w:rFonts w:ascii="Times New Roman" w:cs="Times New Roman" w:eastAsia="Times New Roman" w:hAnsi="Times New Roman"/>
                <w:sz w:val="16"/>
                <w:szCs w:val="16"/>
                <w:b w:val="1"/>
                <w:bCs w:val="1"/>
                <w:color w:val="auto"/>
                <w:w w:val="97"/>
              </w:rPr>
              <w:t>Compensation</w:t>
            </w:r>
            <w:r>
              <w:rPr>
                <w:rFonts w:ascii="Times New Roman" w:cs="Times New Roman" w:eastAsia="Times New Roman" w:hAnsi="Times New Roman"/>
                <w:sz w:val="21"/>
                <w:szCs w:val="21"/>
                <w:color w:val="auto"/>
                <w:w w:val="97"/>
                <w:vertAlign w:val="superscript"/>
              </w:rPr>
              <w:t>(3)</w:t>
            </w:r>
          </w:p>
        </w:tc>
        <w:tc>
          <w:tcPr>
            <w:tcW w:w="13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2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Daniel G. Cohen</w:t>
            </w:r>
          </w:p>
        </w:tc>
        <w:tc>
          <w:tcPr>
            <w:tcW w:w="8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45,000</w:t>
            </w:r>
          </w:p>
        </w:tc>
        <w:tc>
          <w:tcPr>
            <w:tcW w:w="26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126,708</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171,708</w:t>
            </w:r>
          </w:p>
        </w:tc>
        <w:tc>
          <w:tcPr>
            <w:tcW w:w="0" w:type="dxa"/>
            <w:vAlign w:val="bottom"/>
          </w:tcPr>
          <w:p>
            <w:pPr>
              <w:spacing w:after="0"/>
              <w:rPr>
                <w:sz w:val="1"/>
                <w:szCs w:val="1"/>
                <w:color w:val="auto"/>
              </w:rPr>
            </w:pPr>
          </w:p>
        </w:tc>
      </w:tr>
      <w:tr>
        <w:trPr>
          <w:trHeight w:val="213"/>
        </w:trPr>
        <w:tc>
          <w:tcPr>
            <w:tcW w:w="42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Ivan G. Seidenberg</w:t>
            </w:r>
          </w:p>
        </w:tc>
        <w:tc>
          <w:tcPr>
            <w:tcW w:w="360" w:type="dxa"/>
            <w:vAlign w:val="bottom"/>
          </w:tcPr>
          <w:p>
            <w:pPr>
              <w:spacing w:after="0"/>
              <w:rPr>
                <w:sz w:val="18"/>
                <w:szCs w:val="18"/>
                <w:color w:val="auto"/>
              </w:rPr>
            </w:pPr>
          </w:p>
        </w:tc>
        <w:tc>
          <w:tcPr>
            <w:tcW w:w="13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43,833</w:t>
            </w:r>
          </w:p>
        </w:tc>
        <w:tc>
          <w:tcPr>
            <w:tcW w:w="26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126,708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75,000</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245,541</w:t>
            </w:r>
          </w:p>
        </w:tc>
        <w:tc>
          <w:tcPr>
            <w:tcW w:w="0" w:type="dxa"/>
            <w:vAlign w:val="bottom"/>
          </w:tcPr>
          <w:p>
            <w:pPr>
              <w:spacing w:after="0"/>
              <w:rPr>
                <w:sz w:val="1"/>
                <w:szCs w:val="1"/>
                <w:color w:val="auto"/>
              </w:rPr>
            </w:pPr>
          </w:p>
        </w:tc>
      </w:tr>
      <w:tr>
        <w:trPr>
          <w:trHeight w:val="219"/>
        </w:trPr>
        <w:tc>
          <w:tcPr>
            <w:tcW w:w="4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Jane C. Sherburne</w:t>
            </w:r>
          </w:p>
        </w:tc>
        <w:tc>
          <w:tcPr>
            <w:tcW w:w="36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54,222</w:t>
            </w:r>
          </w:p>
        </w:tc>
        <w:tc>
          <w:tcPr>
            <w:tcW w:w="2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126,708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75,000</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255,930</w:t>
            </w:r>
          </w:p>
        </w:tc>
        <w:tc>
          <w:tcPr>
            <w:tcW w:w="0" w:type="dxa"/>
            <w:vAlign w:val="bottom"/>
          </w:tcPr>
          <w:p>
            <w:pPr>
              <w:spacing w:after="0"/>
              <w:rPr>
                <w:sz w:val="1"/>
                <w:szCs w:val="1"/>
                <w:color w:val="auto"/>
              </w:rPr>
            </w:pPr>
          </w:p>
        </w:tc>
      </w:tr>
      <w:tr>
        <w:trPr>
          <w:trHeight w:val="210"/>
        </w:trPr>
        <w:tc>
          <w:tcPr>
            <w:tcW w:w="42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Jorma Ollila</w:t>
            </w:r>
          </w:p>
        </w:tc>
        <w:tc>
          <w:tcPr>
            <w:tcW w:w="360" w:type="dxa"/>
            <w:vAlign w:val="bottom"/>
          </w:tcPr>
          <w:p>
            <w:pPr>
              <w:spacing w:after="0"/>
              <w:rPr>
                <w:sz w:val="18"/>
                <w:szCs w:val="18"/>
                <w:color w:val="auto"/>
              </w:rPr>
            </w:pPr>
          </w:p>
        </w:tc>
        <w:tc>
          <w:tcPr>
            <w:tcW w:w="13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54,222</w:t>
            </w:r>
          </w:p>
        </w:tc>
        <w:tc>
          <w:tcPr>
            <w:tcW w:w="26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126,708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75,000</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255,930</w:t>
            </w:r>
          </w:p>
        </w:tc>
        <w:tc>
          <w:tcPr>
            <w:tcW w:w="0" w:type="dxa"/>
            <w:vAlign w:val="bottom"/>
          </w:tcPr>
          <w:p>
            <w:pPr>
              <w:spacing w:after="0"/>
              <w:rPr>
                <w:sz w:val="1"/>
                <w:szCs w:val="1"/>
                <w:color w:val="auto"/>
              </w:rPr>
            </w:pPr>
          </w:p>
        </w:tc>
      </w:tr>
    </w:tbl>
    <w:p>
      <w:pPr>
        <w:spacing w:after="0" w:line="320" w:lineRule="exact"/>
        <w:rPr>
          <w:sz w:val="20"/>
          <w:szCs w:val="20"/>
          <w:color w:val="auto"/>
        </w:rPr>
      </w:pPr>
    </w:p>
    <w:p>
      <w:pPr>
        <w:ind w:left="320" w:hanging="312"/>
        <w:spacing w:after="0"/>
        <w:tabs>
          <w:tab w:leader="none" w:pos="32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Amounts shown in this column reflect the cash annual base retainer fees and committee fees earned for 2021.</w:t>
      </w:r>
    </w:p>
    <w:p>
      <w:pPr>
        <w:spacing w:after="0" w:line="95" w:lineRule="exact"/>
        <w:rPr>
          <w:rFonts w:ascii="Times New Roman" w:cs="Times New Roman" w:eastAsia="Times New Roman" w:hAnsi="Times New Roman"/>
          <w:sz w:val="14"/>
          <w:szCs w:val="14"/>
          <w:color w:val="auto"/>
        </w:rPr>
      </w:pPr>
    </w:p>
    <w:p>
      <w:pPr>
        <w:jc w:val="both"/>
        <w:ind w:left="340" w:right="100" w:hanging="332"/>
        <w:spacing w:after="0" w:line="261" w:lineRule="auto"/>
        <w:tabs>
          <w:tab w:leader="none" w:pos="332"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Amounts shown in this column represent the grant date fair value, calculated in accordance with FASB ASC Topic 718, of the time-based RSUs granted to our non-employee directors. For a summary of the assumptions used in the valuation of these awards, please see Note 13 “Equity-Based Compensation” to the consolidated financial statements in our 2021 Form 10-K. As of December 31, 2021, each of our non-employee directors held 9,070 outstanding RSUs.</w:t>
      </w:r>
    </w:p>
    <w:p>
      <w:pPr>
        <w:spacing w:after="0" w:line="41" w:lineRule="exact"/>
        <w:rPr>
          <w:rFonts w:ascii="Times New Roman" w:cs="Times New Roman" w:eastAsia="Times New Roman" w:hAnsi="Times New Roman"/>
          <w:sz w:val="14"/>
          <w:szCs w:val="14"/>
          <w:color w:val="auto"/>
        </w:rPr>
      </w:pPr>
    </w:p>
    <w:p>
      <w:pPr>
        <w:ind w:left="340" w:right="100" w:hanging="332"/>
        <w:spacing w:after="0" w:line="282" w:lineRule="auto"/>
        <w:tabs>
          <w:tab w:leader="none" w:pos="332"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Amounts shown in this column reflect $75,000 paid in connection with consultant services provided by Ivan G. Seidenberg, Jorma Ollila and Jane C. Sherburne in 2021 prior to the closing of the Business Combination.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240"/>
          </w:cols>
          <w:pgMar w:left="320" w:top="1440" w:right="339" w:bottom="1440" w:gutter="0" w:footer="0" w:header="0"/>
        </w:sectPr>
      </w:pPr>
    </w:p>
    <w:bookmarkStart w:id="21" w:name="page22"/>
    <w:bookmarkEnd w:id="21"/>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EXECUTIVE COMPENSATION</w:t>
      </w:r>
    </w:p>
    <w:p>
      <w:pPr>
        <w:spacing w:after="0" w:line="189" w:lineRule="exact"/>
        <w:rPr>
          <w:sz w:val="20"/>
          <w:szCs w:val="20"/>
          <w:color w:val="auto"/>
        </w:rPr>
      </w:pPr>
    </w:p>
    <w:p>
      <w:pPr>
        <w:ind w:right="300" w:firstLine="324"/>
        <w:spacing w:after="0" w:line="282" w:lineRule="auto"/>
        <w:rPr>
          <w:sz w:val="20"/>
          <w:szCs w:val="20"/>
          <w:color w:val="auto"/>
        </w:rPr>
      </w:pPr>
      <w:r>
        <w:rPr>
          <w:rFonts w:ascii="Times New Roman" w:cs="Times New Roman" w:eastAsia="Times New Roman" w:hAnsi="Times New Roman"/>
          <w:sz w:val="18"/>
          <w:szCs w:val="18"/>
          <w:color w:val="auto"/>
        </w:rPr>
        <w:t>This section describes the compensation of our named executive officers (“NEOs”) for the periods presented below based on the reduced executive compensation disclosure requirements applicable to emerging growth companies.</w:t>
      </w:r>
    </w:p>
    <w:p>
      <w:pPr>
        <w:spacing w:after="0" w:line="13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Our NEOs for the fiscal year ended December 31, 2021 are:</w:t>
      </w:r>
    </w:p>
    <w:p>
      <w:pPr>
        <w:spacing w:after="0" w:line="225" w:lineRule="exact"/>
        <w:rPr>
          <w:sz w:val="20"/>
          <w:szCs w:val="20"/>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Peter A. Weinberg, Chief Executive Officer;</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Dietrich Becker, Co-President;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Andrew Bednar, Co-President.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Compensation Table for 2021</w:t>
      </w:r>
    </w:p>
    <w:p>
      <w:pPr>
        <w:spacing w:after="0" w:line="1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summarizes the total compensation paid to or earned by each of our NEOs in the applicable year:</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9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Name and</w:t>
            </w: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4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Professional</w:t>
            </w:r>
          </w:p>
        </w:tc>
        <w:tc>
          <w:tcPr>
            <w:tcW w:w="180" w:type="dxa"/>
            <w:vAlign w:val="bottom"/>
          </w:tcPr>
          <w:p>
            <w:pPr>
              <w:spacing w:after="0"/>
              <w:rPr>
                <w:sz w:val="13"/>
                <w:szCs w:val="13"/>
                <w:color w:val="auto"/>
              </w:rPr>
            </w:pPr>
          </w:p>
        </w:tc>
        <w:tc>
          <w:tcPr>
            <w:tcW w:w="11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Long-Term</w:t>
            </w:r>
          </w:p>
        </w:tc>
        <w:tc>
          <w:tcPr>
            <w:tcW w:w="140" w:type="dxa"/>
            <w:vAlign w:val="bottom"/>
          </w:tcPr>
          <w:p>
            <w:pPr>
              <w:spacing w:after="0"/>
              <w:rPr>
                <w:sz w:val="13"/>
                <w:szCs w:val="13"/>
                <w:color w:val="auto"/>
              </w:rPr>
            </w:pPr>
          </w:p>
        </w:tc>
        <w:tc>
          <w:tcPr>
            <w:tcW w:w="106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Total Stock</w:t>
            </w:r>
          </w:p>
        </w:tc>
        <w:tc>
          <w:tcPr>
            <w:tcW w:w="180" w:type="dxa"/>
            <w:vAlign w:val="bottom"/>
          </w:tcPr>
          <w:p>
            <w:pPr>
              <w:spacing w:after="0"/>
              <w:rPr>
                <w:sz w:val="13"/>
                <w:szCs w:val="13"/>
                <w:color w:val="auto"/>
              </w:rPr>
            </w:pPr>
          </w:p>
        </w:tc>
        <w:tc>
          <w:tcPr>
            <w:tcW w:w="104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All Other</w:t>
            </w:r>
          </w:p>
        </w:tc>
        <w:tc>
          <w:tcPr>
            <w:tcW w:w="2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190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gridSpan w:val="2"/>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Year</w:t>
            </w:r>
          </w:p>
        </w:tc>
        <w:tc>
          <w:tcPr>
            <w:tcW w:w="180" w:type="dxa"/>
            <w:vAlign w:val="bottom"/>
          </w:tcPr>
          <w:p>
            <w:pPr>
              <w:spacing w:after="0"/>
              <w:rPr>
                <w:sz w:val="11"/>
                <w:szCs w:val="11"/>
                <w:color w:val="auto"/>
              </w:rPr>
            </w:pPr>
          </w:p>
        </w:tc>
        <w:tc>
          <w:tcPr>
            <w:tcW w:w="96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Salary</w:t>
            </w:r>
            <w:r>
              <w:rPr>
                <w:rFonts w:ascii="Times New Roman" w:cs="Times New Roman" w:eastAsia="Times New Roman" w:hAnsi="Times New Roman"/>
                <w:sz w:val="9"/>
                <w:szCs w:val="9"/>
                <w:color w:val="auto"/>
              </w:rPr>
              <w:t>(1)</w:t>
            </w:r>
          </w:p>
        </w:tc>
        <w:tc>
          <w:tcPr>
            <w:tcW w:w="200" w:type="dxa"/>
            <w:vAlign w:val="bottom"/>
          </w:tcPr>
          <w:p>
            <w:pPr>
              <w:spacing w:after="0"/>
              <w:rPr>
                <w:sz w:val="11"/>
                <w:szCs w:val="11"/>
                <w:color w:val="auto"/>
              </w:rPr>
            </w:pPr>
          </w:p>
        </w:tc>
        <w:tc>
          <w:tcPr>
            <w:tcW w:w="98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Bonus</w:t>
            </w:r>
            <w:r>
              <w:rPr>
                <w:rFonts w:ascii="Times New Roman" w:cs="Times New Roman" w:eastAsia="Times New Roman" w:hAnsi="Times New Roman"/>
                <w:sz w:val="9"/>
                <w:szCs w:val="9"/>
                <w:color w:val="auto"/>
              </w:rPr>
              <w:t>(2)</w:t>
            </w:r>
          </w:p>
        </w:tc>
        <w:tc>
          <w:tcPr>
            <w:tcW w:w="160" w:type="dxa"/>
            <w:vAlign w:val="bottom"/>
          </w:tcPr>
          <w:p>
            <w:pPr>
              <w:spacing w:after="0"/>
              <w:rPr>
                <w:sz w:val="11"/>
                <w:szCs w:val="11"/>
                <w:color w:val="auto"/>
              </w:rPr>
            </w:pPr>
          </w:p>
        </w:tc>
        <w:tc>
          <w:tcPr>
            <w:tcW w:w="114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1120" w:type="dxa"/>
            <w:vAlign w:val="bottom"/>
            <w:gridSpan w:val="2"/>
          </w:tcPr>
          <w:p>
            <w:pPr>
              <w:jc w:val="center"/>
              <w:ind w:right="280"/>
              <w:spacing w:after="0" w:line="135" w:lineRule="exact"/>
              <w:rPr>
                <w:sz w:val="20"/>
                <w:szCs w:val="20"/>
                <w:color w:val="auto"/>
              </w:rPr>
            </w:pPr>
            <w:r>
              <w:rPr>
                <w:rFonts w:ascii="Times New Roman" w:cs="Times New Roman" w:eastAsia="Times New Roman" w:hAnsi="Times New Roman"/>
                <w:sz w:val="14"/>
                <w:szCs w:val="14"/>
                <w:b w:val="1"/>
                <w:bCs w:val="1"/>
                <w:color w:val="auto"/>
              </w:rPr>
              <w:t>Incentive</w:t>
            </w:r>
          </w:p>
        </w:tc>
        <w:tc>
          <w:tcPr>
            <w:tcW w:w="140" w:type="dxa"/>
            <w:vAlign w:val="bottom"/>
          </w:tcPr>
          <w:p>
            <w:pPr>
              <w:spacing w:after="0"/>
              <w:rPr>
                <w:sz w:val="11"/>
                <w:szCs w:val="11"/>
                <w:color w:val="auto"/>
              </w:rPr>
            </w:pPr>
          </w:p>
        </w:tc>
        <w:tc>
          <w:tcPr>
            <w:tcW w:w="106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1040" w:type="dxa"/>
            <w:vAlign w:val="bottom"/>
            <w:gridSpan w:val="2"/>
            <w:vMerge w:val="continue"/>
          </w:tcPr>
          <w:p>
            <w:pPr>
              <w:spacing w:after="0"/>
              <w:rPr>
                <w:sz w:val="11"/>
                <w:szCs w:val="11"/>
                <w:color w:val="auto"/>
              </w:rPr>
            </w:pPr>
          </w:p>
        </w:tc>
        <w:tc>
          <w:tcPr>
            <w:tcW w:w="240" w:type="dxa"/>
            <w:vAlign w:val="bottom"/>
          </w:tcPr>
          <w:p>
            <w:pPr>
              <w:spacing w:after="0"/>
              <w:rPr>
                <w:sz w:val="11"/>
                <w:szCs w:val="11"/>
                <w:color w:val="auto"/>
              </w:rPr>
            </w:pPr>
          </w:p>
        </w:tc>
        <w:tc>
          <w:tcPr>
            <w:tcW w:w="860" w:type="dxa"/>
            <w:vAlign w:val="bottom"/>
            <w:vMerge w:val="restart"/>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89"/>
        </w:trPr>
        <w:tc>
          <w:tcPr>
            <w:tcW w:w="1900" w:type="dxa"/>
            <w:vAlign w:val="bottom"/>
          </w:tcPr>
          <w:p>
            <w:pPr>
              <w:ind w:left="180"/>
              <w:spacing w:after="0"/>
              <w:rPr>
                <w:sz w:val="20"/>
                <w:szCs w:val="20"/>
                <w:color w:val="auto"/>
              </w:rPr>
            </w:pPr>
            <w:r>
              <w:rPr>
                <w:rFonts w:ascii="Times New Roman" w:cs="Times New Roman" w:eastAsia="Times New Roman" w:hAnsi="Times New Roman"/>
                <w:sz w:val="14"/>
                <w:szCs w:val="14"/>
                <w:b w:val="1"/>
                <w:bCs w:val="1"/>
                <w:color w:val="auto"/>
              </w:rPr>
              <w:t>Principal Position</w:t>
            </w:r>
          </w:p>
        </w:tc>
        <w:tc>
          <w:tcPr>
            <w:tcW w:w="10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gridSpan w:val="2"/>
            <w:vMerge w:val="continue"/>
          </w:tcPr>
          <w:p>
            <w:pPr>
              <w:spacing w:after="0"/>
              <w:rPr>
                <w:sz w:val="16"/>
                <w:szCs w:val="16"/>
                <w:color w:val="auto"/>
              </w:rPr>
            </w:pPr>
          </w:p>
        </w:tc>
        <w:tc>
          <w:tcPr>
            <w:tcW w:w="130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Partners Equity</w:t>
            </w:r>
            <w:r>
              <w:rPr>
                <w:rFonts w:ascii="Times New Roman" w:cs="Times New Roman" w:eastAsia="Times New Roman" w:hAnsi="Times New Roman"/>
                <w:sz w:val="9"/>
                <w:szCs w:val="9"/>
                <w:color w:val="auto"/>
              </w:rPr>
              <w:t>(3)</w:t>
            </w:r>
          </w:p>
        </w:tc>
        <w:tc>
          <w:tcPr>
            <w:tcW w:w="180" w:type="dxa"/>
            <w:vAlign w:val="bottom"/>
          </w:tcPr>
          <w:p>
            <w:pPr>
              <w:spacing w:after="0"/>
              <w:rPr>
                <w:sz w:val="16"/>
                <w:szCs w:val="16"/>
                <w:color w:val="auto"/>
              </w:rPr>
            </w:pPr>
          </w:p>
        </w:tc>
        <w:tc>
          <w:tcPr>
            <w:tcW w:w="11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Awards</w:t>
            </w:r>
            <w:r>
              <w:rPr>
                <w:rFonts w:ascii="Times New Roman" w:cs="Times New Roman" w:eastAsia="Times New Roman" w:hAnsi="Times New Roman"/>
                <w:sz w:val="9"/>
                <w:szCs w:val="9"/>
                <w:color w:val="auto"/>
              </w:rPr>
              <w:t>(4)</w:t>
            </w:r>
          </w:p>
        </w:tc>
        <w:tc>
          <w:tcPr>
            <w:tcW w:w="140" w:type="dxa"/>
            <w:vAlign w:val="bottom"/>
          </w:tcPr>
          <w:p>
            <w:pPr>
              <w:spacing w:after="0"/>
              <w:rPr>
                <w:sz w:val="16"/>
                <w:szCs w:val="16"/>
                <w:color w:val="auto"/>
              </w:rPr>
            </w:pPr>
          </w:p>
        </w:tc>
        <w:tc>
          <w:tcPr>
            <w:tcW w:w="10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Awards</w:t>
            </w:r>
            <w:r>
              <w:rPr>
                <w:rFonts w:ascii="Times New Roman" w:cs="Times New Roman" w:eastAsia="Times New Roman" w:hAnsi="Times New Roman"/>
                <w:sz w:val="9"/>
                <w:szCs w:val="9"/>
                <w:color w:val="auto"/>
              </w:rPr>
              <w:t>(5)</w:t>
            </w:r>
          </w:p>
        </w:tc>
        <w:tc>
          <w:tcPr>
            <w:tcW w:w="122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Compensation</w:t>
            </w:r>
            <w:r>
              <w:rPr>
                <w:rFonts w:ascii="Times New Roman" w:cs="Times New Roman" w:eastAsia="Times New Roman" w:hAnsi="Times New Roman"/>
                <w:sz w:val="9"/>
                <w:szCs w:val="9"/>
                <w:color w:val="auto"/>
              </w:rPr>
              <w:t>(6)</w:t>
            </w:r>
          </w:p>
        </w:tc>
        <w:tc>
          <w:tcPr>
            <w:tcW w:w="24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19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Peter A. Weinberg,</w:t>
            </w:r>
          </w:p>
        </w:tc>
        <w:tc>
          <w:tcPr>
            <w:tcW w:w="10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2021</w:t>
            </w: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500,000</w:t>
            </w:r>
          </w:p>
        </w:tc>
        <w:tc>
          <w:tcPr>
            <w:tcW w:w="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15,698,000</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26,298,703</w:t>
            </w: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29,252,272</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55,550,975</w:t>
            </w: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10,500</w:t>
            </w:r>
          </w:p>
        </w:tc>
        <w:tc>
          <w:tcPr>
            <w:tcW w:w="1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71,759,475</w:t>
            </w:r>
          </w:p>
        </w:tc>
        <w:tc>
          <w:tcPr>
            <w:tcW w:w="0" w:type="dxa"/>
            <w:vAlign w:val="bottom"/>
          </w:tcPr>
          <w:p>
            <w:pPr>
              <w:spacing w:after="0"/>
              <w:rPr>
                <w:sz w:val="1"/>
                <w:szCs w:val="1"/>
                <w:color w:val="auto"/>
              </w:rPr>
            </w:pPr>
          </w:p>
        </w:tc>
      </w:tr>
      <w:tr>
        <w:trPr>
          <w:trHeight w:val="190"/>
        </w:trPr>
        <w:tc>
          <w:tcPr>
            <w:tcW w:w="19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i w:val="1"/>
                <w:iCs w:val="1"/>
                <w:color w:val="auto"/>
              </w:rPr>
              <w:t>Chief Executive Officer</w:t>
            </w:r>
          </w:p>
        </w:tc>
        <w:tc>
          <w:tcPr>
            <w:tcW w:w="100" w:type="dxa"/>
            <w:vAlign w:val="bottom"/>
            <w:shd w:val="clear" w:color="auto" w:fill="CCEEFF"/>
          </w:tcPr>
          <w:p>
            <w:pPr>
              <w:spacing w:after="0"/>
              <w:rPr>
                <w:sz w:val="16"/>
                <w:szCs w:val="16"/>
                <w:color w:val="auto"/>
              </w:rPr>
            </w:pPr>
          </w:p>
        </w:tc>
        <w:tc>
          <w:tcPr>
            <w:tcW w:w="700" w:type="dxa"/>
            <w:vAlign w:val="bottom"/>
            <w:vMerge w:val="restart"/>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2020</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500,000</w:t>
            </w: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4,500,000</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513,728</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6"/>
                <w:szCs w:val="16"/>
                <w:color w:val="auto"/>
              </w:rPr>
            </w:pP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513,728</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8,550</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5,522,278</w:t>
            </w:r>
          </w:p>
        </w:tc>
        <w:tc>
          <w:tcPr>
            <w:tcW w:w="0" w:type="dxa"/>
            <w:vAlign w:val="bottom"/>
          </w:tcPr>
          <w:p>
            <w:pPr>
              <w:spacing w:after="0"/>
              <w:rPr>
                <w:sz w:val="1"/>
                <w:szCs w:val="1"/>
                <w:color w:val="auto"/>
              </w:rPr>
            </w:pPr>
          </w:p>
        </w:tc>
      </w:tr>
      <w:tr>
        <w:trPr>
          <w:trHeight w:val="80"/>
        </w:trPr>
        <w:tc>
          <w:tcPr>
            <w:tcW w:w="19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70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880" w:type="dxa"/>
            <w:vAlign w:val="bottom"/>
            <w:vMerge w:val="continue"/>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88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04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1120" w:type="dxa"/>
            <w:vAlign w:val="bottom"/>
            <w:gridSpan w:val="2"/>
            <w:vMerge w:val="continue"/>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96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94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86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06"/>
        </w:trPr>
        <w:tc>
          <w:tcPr>
            <w:tcW w:w="19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Dietrich Becker,</w:t>
            </w:r>
          </w:p>
        </w:tc>
        <w:tc>
          <w:tcPr>
            <w:tcW w:w="800" w:type="dxa"/>
            <w:vAlign w:val="bottom"/>
            <w:gridSpan w:val="2"/>
          </w:tcPr>
          <w:p>
            <w:pPr>
              <w:ind w:left="300"/>
              <w:spacing w:after="0"/>
              <w:rPr>
                <w:sz w:val="20"/>
                <w:szCs w:val="20"/>
                <w:color w:val="auto"/>
              </w:rPr>
            </w:pPr>
            <w:r>
              <w:rPr>
                <w:rFonts w:ascii="Times New Roman" w:cs="Times New Roman" w:eastAsia="Times New Roman" w:hAnsi="Times New Roman"/>
                <w:sz w:val="14"/>
                <w:szCs w:val="14"/>
                <w:color w:val="auto"/>
              </w:rPr>
              <w:t>2021</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529,480</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12,466,103</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20,396,958</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20,831,164</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41,228,122</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21,179</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54,244,884</w:t>
            </w:r>
          </w:p>
        </w:tc>
        <w:tc>
          <w:tcPr>
            <w:tcW w:w="0" w:type="dxa"/>
            <w:vAlign w:val="bottom"/>
          </w:tcPr>
          <w:p>
            <w:pPr>
              <w:spacing w:after="0"/>
              <w:rPr>
                <w:sz w:val="1"/>
                <w:szCs w:val="1"/>
                <w:color w:val="auto"/>
              </w:rPr>
            </w:pPr>
          </w:p>
        </w:tc>
      </w:tr>
      <w:tr>
        <w:trPr>
          <w:trHeight w:val="37"/>
        </w:trPr>
        <w:tc>
          <w:tcPr>
            <w:tcW w:w="1900" w:type="dxa"/>
            <w:vAlign w:val="bottom"/>
            <w:vMerge w:val="continue"/>
          </w:tcPr>
          <w:p>
            <w:pPr>
              <w:spacing w:after="0"/>
              <w:rPr>
                <w:sz w:val="3"/>
                <w:szCs w:val="3"/>
                <w:color w:val="auto"/>
              </w:rPr>
            </w:pPr>
          </w:p>
        </w:tc>
        <w:tc>
          <w:tcPr>
            <w:tcW w:w="800" w:type="dxa"/>
            <w:vAlign w:val="bottom"/>
            <w:gridSpan w:val="2"/>
            <w:vMerge w:val="restart"/>
          </w:tcPr>
          <w:p>
            <w:pPr>
              <w:ind w:left="300"/>
              <w:spacing w:after="0"/>
              <w:rPr>
                <w:sz w:val="20"/>
                <w:szCs w:val="20"/>
                <w:color w:val="auto"/>
              </w:rPr>
            </w:pPr>
            <w:r>
              <w:rPr>
                <w:rFonts w:ascii="Times New Roman" w:cs="Times New Roman" w:eastAsia="Times New Roman" w:hAnsi="Times New Roman"/>
                <w:sz w:val="14"/>
                <w:szCs w:val="14"/>
                <w:color w:val="auto"/>
              </w:rPr>
              <w:t>2020</w:t>
            </w: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493,696</w:t>
            </w: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5,506,304</w:t>
            </w: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256,864</w:t>
            </w: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1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3"/>
                <w:szCs w:val="3"/>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256,864</w:t>
            </w: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19,747</w:t>
            </w: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6,276,611</w:t>
            </w:r>
          </w:p>
        </w:tc>
        <w:tc>
          <w:tcPr>
            <w:tcW w:w="0" w:type="dxa"/>
            <w:vAlign w:val="bottom"/>
          </w:tcPr>
          <w:p>
            <w:pPr>
              <w:spacing w:after="0" w:line="20" w:lineRule="exact"/>
              <w:rPr>
                <w:sz w:val="1"/>
                <w:szCs w:val="1"/>
                <w:color w:val="auto"/>
              </w:rPr>
            </w:pPr>
          </w:p>
        </w:tc>
      </w:tr>
      <w:tr>
        <w:trPr>
          <w:trHeight w:val="189"/>
        </w:trPr>
        <w:tc>
          <w:tcPr>
            <w:tcW w:w="1900" w:type="dxa"/>
            <w:vAlign w:val="bottom"/>
          </w:tcPr>
          <w:p>
            <w:pPr>
              <w:ind w:left="180"/>
              <w:spacing w:after="0"/>
              <w:rPr>
                <w:sz w:val="20"/>
                <w:szCs w:val="20"/>
                <w:color w:val="auto"/>
              </w:rPr>
            </w:pPr>
            <w:r>
              <w:rPr>
                <w:rFonts w:ascii="Times New Roman" w:cs="Times New Roman" w:eastAsia="Times New Roman" w:hAnsi="Times New Roman"/>
                <w:sz w:val="14"/>
                <w:szCs w:val="14"/>
                <w:i w:val="1"/>
                <w:iCs w:val="1"/>
                <w:color w:val="auto"/>
              </w:rPr>
              <w:t>Co-President</w:t>
            </w:r>
            <w:r>
              <w:rPr>
                <w:rFonts w:ascii="Times New Roman" w:cs="Times New Roman" w:eastAsia="Times New Roman" w:hAnsi="Times New Roman"/>
                <w:sz w:val="9"/>
                <w:szCs w:val="9"/>
                <w:color w:val="auto"/>
              </w:rPr>
              <w:t>(7)</w:t>
            </w:r>
          </w:p>
        </w:tc>
        <w:tc>
          <w:tcPr>
            <w:tcW w:w="8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190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Andrew Bednar,</w:t>
            </w: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2021</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500,000</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12,498,000</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18,584,975</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20,831,164</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39,416,139</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10,500</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52,424,639</w:t>
            </w:r>
          </w:p>
        </w:tc>
        <w:tc>
          <w:tcPr>
            <w:tcW w:w="0" w:type="dxa"/>
            <w:vAlign w:val="bottom"/>
          </w:tcPr>
          <w:p>
            <w:pPr>
              <w:spacing w:after="0"/>
              <w:rPr>
                <w:sz w:val="1"/>
                <w:szCs w:val="1"/>
                <w:color w:val="auto"/>
              </w:rPr>
            </w:pPr>
          </w:p>
        </w:tc>
      </w:tr>
      <w:tr>
        <w:trPr>
          <w:trHeight w:val="37"/>
        </w:trPr>
        <w:tc>
          <w:tcPr>
            <w:tcW w:w="1900" w:type="dxa"/>
            <w:vAlign w:val="bottom"/>
            <w:vMerge w:val="continue"/>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700" w:type="dxa"/>
            <w:vAlign w:val="bottom"/>
            <w:vMerge w:val="restart"/>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2020</w:t>
            </w:r>
          </w:p>
        </w:tc>
        <w:tc>
          <w:tcPr>
            <w:tcW w:w="10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500,000</w:t>
            </w:r>
          </w:p>
        </w:tc>
        <w:tc>
          <w:tcPr>
            <w:tcW w:w="8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7,500,000</w:t>
            </w:r>
          </w:p>
        </w:tc>
        <w:tc>
          <w:tcPr>
            <w:tcW w:w="10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10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349,335</w:t>
            </w:r>
          </w:p>
        </w:tc>
        <w:tc>
          <w:tcPr>
            <w:tcW w:w="10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11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3"/>
                <w:szCs w:val="3"/>
                <w:color w:val="auto"/>
              </w:rPr>
            </w:pP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349,335</w:t>
            </w:r>
          </w:p>
        </w:tc>
        <w:tc>
          <w:tcPr>
            <w:tcW w:w="10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9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8,550</w:t>
            </w:r>
          </w:p>
        </w:tc>
        <w:tc>
          <w:tcPr>
            <w:tcW w:w="100" w:type="dxa"/>
            <w:vAlign w:val="bottom"/>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8,357,885</w:t>
            </w:r>
          </w:p>
        </w:tc>
        <w:tc>
          <w:tcPr>
            <w:tcW w:w="0" w:type="dxa"/>
            <w:vAlign w:val="bottom"/>
          </w:tcPr>
          <w:p>
            <w:pPr>
              <w:spacing w:after="0" w:line="20" w:lineRule="exact"/>
              <w:rPr>
                <w:sz w:val="1"/>
                <w:szCs w:val="1"/>
                <w:color w:val="auto"/>
              </w:rPr>
            </w:pPr>
          </w:p>
        </w:tc>
      </w:tr>
      <w:tr>
        <w:trPr>
          <w:trHeight w:val="189"/>
        </w:trPr>
        <w:tc>
          <w:tcPr>
            <w:tcW w:w="19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i w:val="1"/>
                <w:iCs w:val="1"/>
                <w:color w:val="auto"/>
              </w:rPr>
              <w:t>Co-President</w:t>
            </w:r>
          </w:p>
        </w:tc>
        <w:tc>
          <w:tcPr>
            <w:tcW w:w="100" w:type="dxa"/>
            <w:vAlign w:val="bottom"/>
            <w:shd w:val="clear" w:color="auto" w:fill="CCEEFF"/>
          </w:tcPr>
          <w:p>
            <w:pPr>
              <w:spacing w:after="0"/>
              <w:rPr>
                <w:sz w:val="16"/>
                <w:szCs w:val="16"/>
                <w:color w:val="auto"/>
              </w:rPr>
            </w:pPr>
          </w:p>
        </w:tc>
        <w:tc>
          <w:tcPr>
            <w:tcW w:w="70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8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8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4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2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6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4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bl>
    <w:p>
      <w:pPr>
        <w:spacing w:after="0" w:line="315" w:lineRule="exact"/>
        <w:rPr>
          <w:sz w:val="20"/>
          <w:szCs w:val="20"/>
          <w:color w:val="auto"/>
        </w:rPr>
      </w:pPr>
    </w:p>
    <w:p>
      <w:pPr>
        <w:ind w:left="320" w:hanging="312"/>
        <w:spacing w:after="0"/>
        <w:tabs>
          <w:tab w:leader="none" w:pos="32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Amounts shown in this column reflect the annual base salary earned by each of our NEOs during the applicable calendar year.</w:t>
      </w:r>
    </w:p>
    <w:p>
      <w:pPr>
        <w:spacing w:after="0" w:line="95" w:lineRule="exact"/>
        <w:rPr>
          <w:rFonts w:ascii="Times New Roman" w:cs="Times New Roman" w:eastAsia="Times New Roman" w:hAnsi="Times New Roman"/>
          <w:sz w:val="14"/>
          <w:szCs w:val="14"/>
          <w:color w:val="auto"/>
        </w:rPr>
      </w:pPr>
    </w:p>
    <w:p>
      <w:pPr>
        <w:ind w:left="340" w:hanging="332"/>
        <w:spacing w:after="0" w:line="248" w:lineRule="auto"/>
        <w:tabs>
          <w:tab w:leader="none" w:pos="332"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Amounts shown in this column represent the bonuses paid to or earned by each of our NEOs in respect of performance during the applicable calendar year. Our annual incentive bonuses are described in greater detail in the section entitled “—2021 Executive Compensation Elements—Annual Incentive Bonuses” below. For 2021, our annual incentive bonuses were paid partly in cash and partly in RSUs granted under the Perella Weinberg Partners 2021 Omnibus Incentive Plan (the “Incentive Plan”). In accordance with SEC rules, the entire cash portion of our annual incentive bonuses for 2021 performance is reported in the “Bonus” column of the Summary Compensation Table for 2021. The equity-based portion of our annual incentive bonuses for 2021 performance was granted in the first quarter of 2022 on the tenth trading day after our earnings release for the year ended December 31, 2021, and in accordance with SEC rules, the grant date fair value of such awards will not be reported in the “Stock Awards” column of the Summary Compensation Table for 2021 but will instead be included in the “Stock Awards” column of the Summary Compensation Table for 2022.</w:t>
      </w:r>
    </w:p>
    <w:p>
      <w:pPr>
        <w:spacing w:after="0" w:line="50" w:lineRule="exact"/>
        <w:rPr>
          <w:rFonts w:ascii="Times New Roman" w:cs="Times New Roman" w:eastAsia="Times New Roman" w:hAnsi="Times New Roman"/>
          <w:sz w:val="14"/>
          <w:szCs w:val="14"/>
          <w:color w:val="auto"/>
        </w:rPr>
      </w:pPr>
    </w:p>
    <w:p>
      <w:pPr>
        <w:ind w:left="340" w:right="20" w:hanging="332"/>
        <w:spacing w:after="0" w:line="227" w:lineRule="auto"/>
        <w:tabs>
          <w:tab w:leader="none" w:pos="332"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2021, as previously reported, amounts shown in this column represent the fair value, calculated in accordance with FASB ASC Topic 718, of equity in Professional Partners delivered to our NEOs in connection with the reorganization of Professional Partners in June 2021 prior to the Business Combination (which will have no economic impact on PWP or PWP OpCo), pursuant to which their legacy equity in Professional Partners was cancelled and replaced with a combination of original capital units (“OCUs”), which are fully vested, and value capital units (“VCUs”) and alignment capital units (“ACUs”), which are subject to vesting conditions as set forth below. Such amounts represent receipt by Mr. Weinberg of 1,980,324 VCUs and ACUs, by Mr. Becker of 1,535,916 VCUs and ACUs, and by Mr. Bednar of 1,399,471 VCUs and ACUs, and are based on the closing price of PWP Class A common stock on the date of grant of $13.28 per share. The cancellation of approximately 50% of our NEO’s legacy equity in Professional Partners (which had been fully vested) and the replacement of such equity with a combination of OCUs, VCUs and ACUs in connection with the reorganization of Professional Partners is described in greater detail in the section entitled “—2021 Executive Compensation Elements —Reorganization of Professional Partners” below. For 2020, amounts shown in this column represent the grant date fair value (or, to the extent of any modification, the incremental fair value), calculated in accordance with FASB ASC Topic 718, of the equity-based awards deemed to be granted to our NEOs during 2020.</w:t>
      </w:r>
    </w:p>
    <w:p>
      <w:pPr>
        <w:spacing w:after="0" w:line="209" w:lineRule="exact"/>
        <w:rPr>
          <w:rFonts w:ascii="Times New Roman" w:cs="Times New Roman" w:eastAsia="Times New Roman" w:hAnsi="Times New Roman"/>
          <w:sz w:val="14"/>
          <w:szCs w:val="14"/>
          <w:color w:val="auto"/>
        </w:rPr>
      </w:pPr>
    </w:p>
    <w:p>
      <w:pPr>
        <w:ind w:left="340" w:right="80" w:hanging="332"/>
        <w:spacing w:after="0" w:line="241" w:lineRule="auto"/>
        <w:tabs>
          <w:tab w:leader="none" w:pos="332"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previously reported, amounts shown in this column represent the grant date fair value, calculated in accordance with FASB ASC Topic 718, of the performance-based RSUs (the “Long-Term Incentive Awards”) granted to each of our NEOs in August 2021 in connection with the Business Combination, which are subject to vesting conditions as set forth below. The Long-Term Incentive Awards granted to our NEOs are described in greater detail in the section entitled “—2021 Executive Compensation Elements—Long-Term Incentive Awards”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240"/>
          </w:cols>
          <w:pgMar w:left="320" w:top="1440" w:right="339" w:bottom="1440" w:gutter="0" w:footer="0" w:header="0"/>
        </w:sectPr>
      </w:pPr>
    </w:p>
    <w:bookmarkStart w:id="22" w:name="page23"/>
    <w:bookmarkEnd w:id="22"/>
    <w:p>
      <w:pPr>
        <w:ind w:left="340" w:right="40" w:hanging="332"/>
        <w:spacing w:after="0" w:line="236" w:lineRule="auto"/>
        <w:tabs>
          <w:tab w:leader="none" w:pos="332"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Amounts shown in this column represent the sum of the values set forth in the “Professional Partners Equity” and “Long-Term Incentive Awards” columns. For the beneficial ownership of shares of the Company's common stock for each of Messrs. Weinberg, Becker and Bednar, see the section entitled "Stock Ownership of Certain Beneficial Owners and Management" below. For a summary of the assumptions used in the valuation of the reorganization-based equity and Long-Term Incentive Awards, please see Note 13 “Equity-Based Compensation” to the consolidated financial statements in our 2021 Form 10-K.</w:t>
      </w:r>
    </w:p>
    <w:p>
      <w:pPr>
        <w:spacing w:after="0" w:line="203" w:lineRule="exact"/>
        <w:rPr>
          <w:rFonts w:ascii="Times New Roman" w:cs="Times New Roman" w:eastAsia="Times New Roman" w:hAnsi="Times New Roman"/>
          <w:sz w:val="14"/>
          <w:szCs w:val="14"/>
          <w:color w:val="auto"/>
        </w:rPr>
      </w:pPr>
    </w:p>
    <w:p>
      <w:pPr>
        <w:ind w:left="340" w:right="20" w:hanging="332"/>
        <w:spacing w:after="0" w:line="261" w:lineRule="auto"/>
        <w:tabs>
          <w:tab w:leader="none" w:pos="332"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Amounts shown in this column represent (i) for Messrs. Weinberg and Bednar, the employer safe harbor non-elective contributions made to them in respect of their participation in PWP’s 401(k) plan in the applicable calendar year and (ii) for Mr. Becker, the employer contributions made in respect of his participation in PWP’s defined contribution pension scheme in the U.K. in the applicable calendar year, each of which are described in more detail in the section entitled “—2021 Executive Compensation Elements—Retirement Arrangements” below.</w:t>
      </w:r>
    </w:p>
    <w:p>
      <w:pPr>
        <w:spacing w:after="0" w:line="55" w:lineRule="exact"/>
        <w:rPr>
          <w:rFonts w:ascii="Times New Roman" w:cs="Times New Roman" w:eastAsia="Times New Roman" w:hAnsi="Times New Roman"/>
          <w:sz w:val="14"/>
          <w:szCs w:val="14"/>
          <w:color w:val="auto"/>
        </w:rPr>
      </w:pPr>
    </w:p>
    <w:p>
      <w:pPr>
        <w:ind w:left="340" w:right="120" w:hanging="332"/>
        <w:spacing w:after="0" w:line="282" w:lineRule="auto"/>
        <w:tabs>
          <w:tab w:leader="none" w:pos="332"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Amounts shown in this table for Mr. Becker, other than in the “Stock Awards” column, have been converted from pounds sterling to U.S. dollars using the exchange rates of approximately $1.28 and $1.38 for 2020 and 2021, respectively.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2021 Executive Compensation Elements</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Each of our NEOs was provided with the following material elements of compensation in 2021:</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Base Salary</w:t>
      </w:r>
    </w:p>
    <w:p>
      <w:pPr>
        <w:spacing w:after="0" w:line="189" w:lineRule="exact"/>
        <w:rPr>
          <w:sz w:val="20"/>
          <w:szCs w:val="20"/>
          <w:color w:val="auto"/>
        </w:rPr>
      </w:pPr>
    </w:p>
    <w:p>
      <w:pPr>
        <w:ind w:right="140" w:firstLine="324"/>
        <w:spacing w:after="0" w:line="266" w:lineRule="auto"/>
        <w:rPr>
          <w:sz w:val="20"/>
          <w:szCs w:val="20"/>
          <w:color w:val="auto"/>
        </w:rPr>
      </w:pPr>
      <w:r>
        <w:rPr>
          <w:rFonts w:ascii="Times New Roman" w:cs="Times New Roman" w:eastAsia="Times New Roman" w:hAnsi="Times New Roman"/>
          <w:sz w:val="18"/>
          <w:szCs w:val="18"/>
          <w:color w:val="auto"/>
        </w:rPr>
        <w:t>We provide an annual base salary of $500,000 to each of our NEOs. Consistent with the practice in our industry, base salaries for our NEOs generally comprise a small portion of their total annual compensation. We did not increase the annual base salaries of our NEOs in connection with the Business Combination.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Annual Incentive Bonuses</w:t>
      </w:r>
    </w:p>
    <w:p>
      <w:pPr>
        <w:spacing w:after="0" w:line="189"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Annual incentive bonuses are the key component of our short-term executive compensation strategy. We did not set specific performance targets upon which annual incentive bonuses would become payable for 2021. Instead, the annual incentive bonuses payable to our NEOs in respect of 2021 are discretionary in amount and are based on a performance evaluation conducted by our compensation committee in consultation with our Chief Executive Officer, which involved an analysis of both overall Company performance and the performance of the individual NEOs and their contributions to PWP. Our compensation committee believes that this evaluation process allowed us to link pay with performance in the closest way possible and provided us with the flexibility necessary to take all relevant factors into account in determining the amount of the annual incentive bonuses. Our compensation committee believes that this approach is consistent with industry practice and as such provides a better incentive compensation structure than a formulaic bonus structure based solely on the achievement of specific pre-established performance targets, which may not capture all appropriate factors that materially impacted our performance. We did not provide guaranteed cash bonuses to any of our NEOs in respect of 2021.</w:t>
      </w:r>
    </w:p>
    <w:p>
      <w:pPr>
        <w:spacing w:after="0" w:line="161" w:lineRule="exact"/>
        <w:rPr>
          <w:sz w:val="20"/>
          <w:szCs w:val="20"/>
          <w:color w:val="auto"/>
        </w:rPr>
      </w:pPr>
    </w:p>
    <w:p>
      <w:pPr>
        <w:ind w:right="20" w:firstLine="324"/>
        <w:spacing w:after="0" w:line="255" w:lineRule="auto"/>
        <w:rPr>
          <w:sz w:val="20"/>
          <w:szCs w:val="20"/>
          <w:color w:val="auto"/>
        </w:rPr>
      </w:pPr>
      <w:r>
        <w:rPr>
          <w:rFonts w:ascii="Times New Roman" w:cs="Times New Roman" w:eastAsia="Times New Roman" w:hAnsi="Times New Roman"/>
          <w:sz w:val="18"/>
          <w:szCs w:val="18"/>
          <w:color w:val="auto"/>
        </w:rPr>
        <w:t>For 2021, the annual incentive bonuses are payable partly in cash and partly in restricted stock units granted under the Incentive Plan. In December 2021, Messrs. Weinberg, Becker and Bednar received $6.5 million, $3.3 million and $3.3 million, respectively, of the cash portion of their annual incentive bonuses for 2021, subject to their repayment of such amounts upon the occurrence of certain conditions prior to the payment date of the remainder of the cash portion of the annual incentive bonuses in February 2022. Upon the payment date of the remainder of the cash portion of the annual incentive bonuses in February 2022, a portion of the annual incentive bonus became subject to repayment upon the occurrence of certain conditions related to their separation from the Company during a two year period beginning on the date of such payment. The equity-based portion of the annual incentive bonuses for 2021 was granted in the first quarter of 2022 on the tenth trading day after our earnings release for the year ended December 31,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240"/>
          </w:cols>
          <w:pgMar w:left="320" w:top="1413" w:right="339" w:bottom="1440" w:gutter="0" w:footer="0" w:header="0"/>
        </w:sectPr>
      </w:pPr>
    </w:p>
    <w:bookmarkStart w:id="23" w:name="page24"/>
    <w:bookmarkEnd w:id="23"/>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Retirement Arrangements</w:t>
      </w:r>
    </w:p>
    <w:p>
      <w:pPr>
        <w:spacing w:after="0" w:line="189" w:lineRule="exact"/>
        <w:rPr>
          <w:sz w:val="20"/>
          <w:szCs w:val="20"/>
          <w:color w:val="auto"/>
        </w:rPr>
      </w:pPr>
    </w:p>
    <w:p>
      <w:pPr>
        <w:ind w:right="140" w:firstLine="324"/>
        <w:spacing w:after="0" w:line="258" w:lineRule="auto"/>
        <w:rPr>
          <w:sz w:val="20"/>
          <w:szCs w:val="20"/>
          <w:color w:val="auto"/>
        </w:rPr>
      </w:pPr>
      <w:r>
        <w:rPr>
          <w:rFonts w:ascii="Times New Roman" w:cs="Times New Roman" w:eastAsia="Times New Roman" w:hAnsi="Times New Roman"/>
          <w:sz w:val="18"/>
          <w:szCs w:val="18"/>
          <w:color w:val="auto"/>
        </w:rPr>
        <w:t>PWP maintains a 401(k) retirement savings plan for U.S. employees (including Messrs. Weinberg and Bednar) and provides an employer safe harbor non-elective contribution and an employer discretionary contribution to eligible participants. Limited partners of Professional Partners (including Messrs. Weinberg and Bednar) are eligible for the employer safe harbor non-elective contribution and for the employer discretionary contribution. PWP also maintains a defined contribution pension scheme for U.K. employees (including Mr. Becker) and provides a standard employer contribution to eligible participants. PWP does not maintain any defined benefit pension plans or supplemental executive retirement plans.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Employee Benefits</w:t>
      </w:r>
    </w:p>
    <w:p>
      <w:pPr>
        <w:spacing w:after="0" w:line="202" w:lineRule="exact"/>
        <w:rPr>
          <w:sz w:val="20"/>
          <w:szCs w:val="20"/>
          <w:color w:val="auto"/>
        </w:rPr>
      </w:pPr>
    </w:p>
    <w:p>
      <w:pPr>
        <w:ind w:right="320" w:firstLine="324"/>
        <w:spacing w:after="0" w:line="282" w:lineRule="auto"/>
        <w:rPr>
          <w:sz w:val="20"/>
          <w:szCs w:val="20"/>
          <w:color w:val="auto"/>
        </w:rPr>
      </w:pPr>
      <w:r>
        <w:rPr>
          <w:rFonts w:ascii="Times New Roman" w:cs="Times New Roman" w:eastAsia="Times New Roman" w:hAnsi="Times New Roman"/>
          <w:sz w:val="18"/>
          <w:szCs w:val="18"/>
          <w:color w:val="auto"/>
        </w:rPr>
        <w:t>Eligible employees, including PWP’s NEOs, participate in broad-based and comprehensive employee benefit programs, including medical, dental, vision, life and disability insurance. PWP’s NEOs participate in these programs on the same basis as eligible employees generally.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Executive Employment Agreements</w:t>
      </w:r>
    </w:p>
    <w:p>
      <w:pPr>
        <w:spacing w:after="0" w:line="189" w:lineRule="exact"/>
        <w:rPr>
          <w:sz w:val="20"/>
          <w:szCs w:val="20"/>
          <w:color w:val="auto"/>
        </w:rPr>
      </w:pPr>
    </w:p>
    <w:p>
      <w:pPr>
        <w:ind w:right="320" w:firstLine="324"/>
        <w:spacing w:after="0" w:line="266" w:lineRule="auto"/>
        <w:rPr>
          <w:sz w:val="20"/>
          <w:szCs w:val="20"/>
          <w:color w:val="auto"/>
        </w:rPr>
      </w:pPr>
      <w:r>
        <w:rPr>
          <w:rFonts w:ascii="Times New Roman" w:cs="Times New Roman" w:eastAsia="Times New Roman" w:hAnsi="Times New Roman"/>
          <w:sz w:val="18"/>
          <w:szCs w:val="18"/>
          <w:color w:val="auto"/>
        </w:rPr>
        <w:t>We entered into employment agreements with each of Messrs. Weinberg, Becker and Bednar, pursuant to which they each continue to serve as our executive officers in their current positions following the closing of the Business Combination. The employment agreements were approved by our compensation committee.</w:t>
      </w:r>
    </w:p>
    <w:p>
      <w:pPr>
        <w:spacing w:after="0" w:line="135" w:lineRule="exact"/>
        <w:rPr>
          <w:sz w:val="20"/>
          <w:szCs w:val="20"/>
          <w:color w:val="auto"/>
        </w:rPr>
      </w:pPr>
    </w:p>
    <w:p>
      <w:pPr>
        <w:ind w:right="60" w:firstLine="324"/>
        <w:spacing w:after="0" w:line="256" w:lineRule="auto"/>
        <w:rPr>
          <w:sz w:val="20"/>
          <w:szCs w:val="20"/>
          <w:color w:val="auto"/>
        </w:rPr>
      </w:pPr>
      <w:r>
        <w:rPr>
          <w:rFonts w:ascii="Times New Roman" w:cs="Times New Roman" w:eastAsia="Times New Roman" w:hAnsi="Times New Roman"/>
          <w:sz w:val="18"/>
          <w:szCs w:val="18"/>
          <w:color w:val="auto"/>
        </w:rPr>
        <w:t>The employment agreements provide that each NEO will receive an annual base salary of $500,000 subject to annual review by our compensation committee, will continue to be eligible to receive a discretionary annual performance bonus, and will be eligible to receive discretionary annual equity awards pursuant to the Incentive Plan. The employment agreements also provide for one-time grants of equity awards pursuant to the Incentive Plan in the form of Long-Term Incentive Awards, as described in “—Long-Term Incentive Awards” below. Either party is permitted to terminate the employment agreement at any time by providing 90 days’ advance written notice; provided that a NEO’s employment may be terminated immediately in the event of a termination for cause.</w:t>
      </w:r>
    </w:p>
    <w:p>
      <w:pPr>
        <w:spacing w:after="0" w:line="160" w:lineRule="exact"/>
        <w:rPr>
          <w:sz w:val="20"/>
          <w:szCs w:val="20"/>
          <w:color w:val="auto"/>
        </w:rPr>
      </w:pPr>
    </w:p>
    <w:p>
      <w:pPr>
        <w:ind w:right="60" w:firstLine="324"/>
        <w:spacing w:after="0" w:line="282" w:lineRule="auto"/>
        <w:rPr>
          <w:sz w:val="20"/>
          <w:szCs w:val="20"/>
          <w:color w:val="auto"/>
        </w:rPr>
      </w:pPr>
      <w:r>
        <w:rPr>
          <w:rFonts w:ascii="Times New Roman" w:cs="Times New Roman" w:eastAsia="Times New Roman" w:hAnsi="Times New Roman"/>
          <w:sz w:val="18"/>
          <w:szCs w:val="18"/>
          <w:color w:val="auto"/>
        </w:rPr>
        <w:t>Each employment agreement incorporates by reference the restrictive covenants applicable to the NEO, including the restrictive covenants set forth in the amended and restated limited partnership agreement of Professional Partners, as described in “—Reorganization of Professional Partners” below.</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Transaction Pool Awards</w:t>
      </w:r>
    </w:p>
    <w:p>
      <w:pPr>
        <w:spacing w:after="0" w:line="243" w:lineRule="exact"/>
        <w:rPr>
          <w:sz w:val="20"/>
          <w:szCs w:val="20"/>
          <w:color w:val="auto"/>
        </w:rPr>
      </w:pPr>
    </w:p>
    <w:p>
      <w:pPr>
        <w:ind w:firstLine="324"/>
        <w:spacing w:after="0" w:line="227" w:lineRule="auto"/>
        <w:rPr>
          <w:sz w:val="20"/>
          <w:szCs w:val="20"/>
          <w:color w:val="auto"/>
        </w:rPr>
      </w:pPr>
      <w:r>
        <w:rPr>
          <w:rFonts w:ascii="Times New Roman" w:cs="Times New Roman" w:eastAsia="Times New Roman" w:hAnsi="Times New Roman"/>
          <w:sz w:val="18"/>
          <w:szCs w:val="18"/>
          <w:color w:val="auto"/>
        </w:rPr>
        <w:t>In connection with the closing of the Business Combination, a transaction pool of RSUs (the “Transaction Pool”) was created under the Incentive Plan and allocated to certain working partners of Professional Partners who were working partners as of November 1, 2020 (“Working Partners”), non-partner employees and certain other eligible recipients. The Transaction Pool was comprised of 10.2 million shares of our Class A common stock (the “Transaction Pool Share Reserve”). Pursuant to the approval of our Compensation Committee, in August 2021, approximately 7.0 million shares were granted subject solely to a time-based vesting schedule, and approximately 3.2 million shares were granted subject to a time-based and performance-based vesting schedule. Our NEOs did not receive any grant of RSUs under the Transaction Pool.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200"/>
          </w:cols>
          <w:pgMar w:left="320" w:top="1440" w:right="379" w:bottom="1440" w:gutter="0" w:footer="0" w:header="0"/>
        </w:sectPr>
      </w:pPr>
    </w:p>
    <w:bookmarkStart w:id="24" w:name="page25"/>
    <w:bookmarkEnd w:id="24"/>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Long-Term Incentive Awards</w:t>
      </w:r>
    </w:p>
    <w:p>
      <w:pPr>
        <w:spacing w:after="0" w:line="189" w:lineRule="exact"/>
        <w:rPr>
          <w:sz w:val="20"/>
          <w:szCs w:val="20"/>
          <w:color w:val="auto"/>
        </w:rPr>
      </w:pPr>
    </w:p>
    <w:p>
      <w:pPr>
        <w:ind w:right="220" w:firstLine="324"/>
        <w:spacing w:after="0" w:line="254" w:lineRule="auto"/>
        <w:rPr>
          <w:sz w:val="20"/>
          <w:szCs w:val="20"/>
          <w:color w:val="auto"/>
        </w:rPr>
      </w:pPr>
      <w:r>
        <w:rPr>
          <w:rFonts w:ascii="Times New Roman" w:cs="Times New Roman" w:eastAsia="Times New Roman" w:hAnsi="Times New Roman"/>
          <w:sz w:val="18"/>
          <w:szCs w:val="18"/>
          <w:color w:val="auto"/>
        </w:rPr>
        <w:t>Shortly before the parties entered into the Business Combination agreement (the “Business Combination Agreement”) the parties discussed, among other things, the structure for proposed equity awards for certain PWP employees, but ultimately decided that, given the tight timeline to the projected signing date of the Business Combination Agreement, any such awards would be negotiated post-signing. Commencing in early 2021, representatives of FTIV and the Sponsor, including Daniel G. Cohen, resumed preliminary discussions with representatives of PWP about how to incentivize each of our NEOs to lead PWP through the next phase of its development as a publicly-traded company. Mr. Weinberg was not involved in these preliminary discussions with FTIV and the Sponsor. Based on these discussions, FTIV and the Sponsor made a preliminary proposal for a performance-based RSU award (the “Long-Term Incentive Award”) that would vest based on the achievement of performance-based vesting conditions that would be satisfied in several installments upon the achievement of certain closing stock price hurdles within a specified period of time following the grant date.</w:t>
      </w:r>
    </w:p>
    <w:p>
      <w:pPr>
        <w:spacing w:after="0" w:line="165"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Beginning in February 2021, the individuals who currently serve as our “independent directors” and as the members of our compensation committee (Jane C. Sherburne, Daniel G. Cohen, Jorma Ollila and Ivan G. Seidenberg), engaged Exequity LLP, an independent third-party compensation consultant (“Exequity”), and engaged in more than two months of work and held multiple working group and committee meetings to develop the expected terms of the Long-Term Incentive Awards described in greater detail below. With assistance from Exequity, including alternatives prepared by Exequity based on market practice and peer group company analyses, Ms. Sherburne (chairperson of our compensation committee) and the other members of our compensation committee engaged in extensive discussions covering the various considerations involved in granting the Long-Term Incentive Awards, including: demonstrating a commitment to pay for performance through the use of at-risk performance-based incentives; the most effective way to structure an award that would align the interests of our NEO’s with other stockholders; and peer group company incentive structures, including peer group company examples of price-vesting stock awards.</w:t>
      </w:r>
    </w:p>
    <w:p>
      <w:pPr>
        <w:spacing w:after="0" w:line="148" w:lineRule="exact"/>
        <w:rPr>
          <w:sz w:val="20"/>
          <w:szCs w:val="20"/>
          <w:color w:val="auto"/>
        </w:rPr>
      </w:pPr>
    </w:p>
    <w:p>
      <w:pPr>
        <w:ind w:right="80" w:firstLine="324"/>
        <w:spacing w:after="0" w:line="256" w:lineRule="auto"/>
        <w:rPr>
          <w:sz w:val="20"/>
          <w:szCs w:val="20"/>
          <w:color w:val="auto"/>
        </w:rPr>
      </w:pPr>
      <w:r>
        <w:rPr>
          <w:rFonts w:ascii="Times New Roman" w:cs="Times New Roman" w:eastAsia="Times New Roman" w:hAnsi="Times New Roman"/>
          <w:sz w:val="18"/>
          <w:szCs w:val="18"/>
          <w:color w:val="auto"/>
        </w:rPr>
        <w:t>Upon being presented with the outline of a proposal for the Long-Term Incentive Awards being considered by the members of our compensation committee, Mr. Weinberg recommended, among other things, extending the scope of the program to include a small number of other partners who are identified as key to our continued growth. The compensation committee incorporated this recommendation into the terms of the Long-Term Incentive Awards described in greater detail below. In addition, in light of the Long-Term Incentive Awards being contemplated by the compensation committee, each of Messrs. Weinberg, Becker and Bednar reallocated the transaction pool awards they would have otherwise been granted pursuant to the Transaction Pool to other partners, as described in greater detail below.</w:t>
      </w:r>
    </w:p>
    <w:p>
      <w:pPr>
        <w:spacing w:after="0" w:line="147" w:lineRule="exact"/>
        <w:rPr>
          <w:sz w:val="20"/>
          <w:szCs w:val="20"/>
          <w:color w:val="auto"/>
        </w:rPr>
      </w:pPr>
    </w:p>
    <w:p>
      <w:pPr>
        <w:ind w:right="80" w:firstLine="324"/>
        <w:spacing w:after="0" w:line="261" w:lineRule="auto"/>
        <w:rPr>
          <w:sz w:val="20"/>
          <w:szCs w:val="20"/>
          <w:color w:val="auto"/>
        </w:rPr>
      </w:pPr>
      <w:r>
        <w:rPr>
          <w:rFonts w:ascii="Times New Roman" w:cs="Times New Roman" w:eastAsia="Times New Roman" w:hAnsi="Times New Roman"/>
          <w:sz w:val="18"/>
          <w:szCs w:val="18"/>
          <w:color w:val="auto"/>
        </w:rPr>
        <w:t>As determined by the compensation committee, the primary objective of the Long-Term Incentive Awards that were granted in connection with the closing of the Business Combination is to incentivize our NEOs and a small number of other partners recommended by Mr. Weinberg and determined in consultation with the compensation committee to continue the development of PWP and provide strong incentives to grow stockholder value. Specifically, the Long-Term Incentive Awards are intended to:</w:t>
      </w:r>
    </w:p>
    <w:p>
      <w:pPr>
        <w:spacing w:after="0" w:line="180" w:lineRule="exact"/>
        <w:rPr>
          <w:sz w:val="20"/>
          <w:szCs w:val="20"/>
          <w:color w:val="auto"/>
        </w:rPr>
      </w:pPr>
    </w:p>
    <w:p>
      <w:pPr>
        <w:ind w:left="660" w:right="900" w:hanging="328"/>
        <w:spacing w:after="0" w:line="282" w:lineRule="auto"/>
        <w:tabs>
          <w:tab w:leader="none" w:pos="6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combine meaningful equity-based ownership levels and realizable pay opportunities, while keeping the program simple to understand, communicate and administer;</w:t>
      </w:r>
    </w:p>
    <w:p>
      <w:pPr>
        <w:spacing w:after="0" w:line="161" w:lineRule="exact"/>
        <w:rPr>
          <w:rFonts w:ascii="Times New Roman" w:cs="Times New Roman" w:eastAsia="Times New Roman" w:hAnsi="Times New Roman"/>
          <w:sz w:val="18"/>
          <w:szCs w:val="18"/>
          <w:color w:val="auto"/>
        </w:rPr>
      </w:pPr>
    </w:p>
    <w:p>
      <w:pPr>
        <w:ind w:left="660" w:right="40" w:hanging="328"/>
        <w:spacing w:after="0" w:line="282" w:lineRule="auto"/>
        <w:tabs>
          <w:tab w:leader="none" w:pos="6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display PWP’s commitment to performance through a long-term incentive program that is entirely at-risk if aggressive performance objectives are not met; and</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 substantive service-based vesting requirements to ensure long-term retention.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220"/>
          </w:cols>
          <w:pgMar w:left="320" w:top="1440" w:right="359" w:bottom="1440" w:gutter="0" w:footer="0" w:header="0"/>
        </w:sectPr>
      </w:pPr>
    </w:p>
    <w:bookmarkStart w:id="25" w:name="page26"/>
    <w:bookmarkEnd w:id="25"/>
    <w:p>
      <w:pPr>
        <w:spacing w:after="0" w:line="153" w:lineRule="exact"/>
        <w:rPr>
          <w:sz w:val="20"/>
          <w:szCs w:val="20"/>
          <w:color w:val="auto"/>
        </w:rPr>
      </w:pPr>
    </w:p>
    <w:p>
      <w:pPr>
        <w:ind w:firstLine="324"/>
        <w:spacing w:after="0" w:line="252" w:lineRule="auto"/>
        <w:rPr>
          <w:sz w:val="20"/>
          <w:szCs w:val="20"/>
          <w:color w:val="auto"/>
        </w:rPr>
      </w:pPr>
      <w:r>
        <w:rPr>
          <w:rFonts w:ascii="Times New Roman" w:cs="Times New Roman" w:eastAsia="Times New Roman" w:hAnsi="Times New Roman"/>
          <w:sz w:val="18"/>
          <w:szCs w:val="18"/>
          <w:color w:val="auto"/>
        </w:rPr>
        <w:t>As a result of the foregoing considerations, in connection with the closing of the Business Combination and in respect of their ongoing participation in the leadership and management of PWP following the closing of the Business Combination, Messrs. Weinberg, Becker and Bednar, as well as a small number of other partners as recommended by Mr. Weinberg in consultation with the compensation committee, received one-time grants of 9.5 million Long-Term Incentive Awards in August 2021. The Long-Term Incentive Awards are subject to the achievement of two types of vesting conditions, both of which must be satisfied for the awards to vest: (i) time-based vesting conditions that will be satisfied in two installments on the third and fifth anniversaries of the grant date, subject to continued employment (for Messrs. Bednar and Becker, including continued service as co-presidents of PWP, or any equivalent or more senior executive officer roles with PWP, as mutually agreed by the parties) on each vesting date; provided that 50% of the amount earned based on achievement of the performance-based vesting conditions prior to the first vesting date will remain outstanding and will vest on the second vesting date, subject to continued employment through such date and (ii) performance-based vesting conditions that will be satisfied upon the achievement of closing stock prices equal to $15, $20, $25 and $30 for 20 out of any 30 consecutive trading days prior to the fifth anniversary of the grant date, as measured on the last calendar day of each month, subject to linear interpolation between the applicable price points. Subject to such linear interpolation, the performance-based vesting conditions will be deemed to be satisfied with respect to 30% of the award at the $15 closing stock price, 65% of the award at the $20 closing stock price, 82.5% of the award at the $25 closing stock price, and 100% of the award at the $30 closing stock price. Once any closing stock price is achieved, such closing stock price will be deemed to be irrevocably satisfied even if the price per share declines thereafter.</w:t>
      </w:r>
    </w:p>
    <w:p>
      <w:pPr>
        <w:spacing w:after="0" w:line="170" w:lineRule="exact"/>
        <w:rPr>
          <w:sz w:val="20"/>
          <w:szCs w:val="20"/>
          <w:color w:val="auto"/>
        </w:rPr>
      </w:pPr>
    </w:p>
    <w:p>
      <w:pPr>
        <w:ind w:right="80" w:firstLine="324"/>
        <w:spacing w:after="0" w:line="258" w:lineRule="auto"/>
        <w:rPr>
          <w:sz w:val="20"/>
          <w:szCs w:val="20"/>
          <w:color w:val="auto"/>
        </w:rPr>
      </w:pPr>
      <w:r>
        <w:rPr>
          <w:rFonts w:ascii="Times New Roman" w:cs="Times New Roman" w:eastAsia="Times New Roman" w:hAnsi="Times New Roman"/>
          <w:sz w:val="18"/>
          <w:szCs w:val="18"/>
          <w:color w:val="auto"/>
        </w:rPr>
        <w:t>In connection with our internal reorganization, Messrs. Weinberg, Becker and Bednar were originally expected to receive an aggregate of 1,050,000 performance-based RSUs granted pursuant to the Transaction Pool with an aggregate value of $10.5 million, as described in “—Transaction Pool Awards” above. In connection with the finalization and implementation of the Long-Term Incentive Awards, and as recommended by Mr. Weinberg, these transaction pool awards that would otherwise have been granted to Messrs. Weinberg, Becker and Bednar were returned to the Transaction Pool and were reallocated to other partners as recommended by Mr. Weinberg and determined in consultation with the compensation committee.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Reorganization of Professional Partners</w:t>
      </w:r>
    </w:p>
    <w:p>
      <w:pPr>
        <w:spacing w:after="0" w:line="189" w:lineRule="exact"/>
        <w:rPr>
          <w:sz w:val="20"/>
          <w:szCs w:val="20"/>
          <w:color w:val="auto"/>
        </w:rPr>
      </w:pPr>
    </w:p>
    <w:p>
      <w:pPr>
        <w:ind w:right="40" w:firstLine="324"/>
        <w:spacing w:after="0" w:line="261" w:lineRule="auto"/>
        <w:rPr>
          <w:sz w:val="20"/>
          <w:szCs w:val="20"/>
          <w:color w:val="auto"/>
        </w:rPr>
      </w:pPr>
      <w:r>
        <w:rPr>
          <w:rFonts w:ascii="Times New Roman" w:cs="Times New Roman" w:eastAsia="Times New Roman" w:hAnsi="Times New Roman"/>
          <w:sz w:val="18"/>
          <w:szCs w:val="18"/>
          <w:color w:val="auto"/>
        </w:rPr>
        <w:t>In connection with the Business Combination and related internal reorganization steps that were consummated concurrently with the closing of the Business Combination, Professional Partners implemented a crystallized ownership structure that, among other things, includes a class of partnership units which tracks PWP’s advisory business (including increases and decreases in value) and allocates income/distributions with respect to the advisory business on a pro-rata basis to all holders of such partnership units in accordance with their ownership interests.</w:t>
      </w:r>
    </w:p>
    <w:p>
      <w:pPr>
        <w:spacing w:after="0" w:line="139" w:lineRule="exact"/>
        <w:rPr>
          <w:sz w:val="20"/>
          <w:szCs w:val="20"/>
          <w:color w:val="auto"/>
        </w:rPr>
      </w:pPr>
    </w:p>
    <w:p>
      <w:pPr>
        <w:ind w:firstLine="324"/>
        <w:spacing w:after="0" w:line="269" w:lineRule="auto"/>
        <w:rPr>
          <w:sz w:val="20"/>
          <w:szCs w:val="20"/>
          <w:color w:val="auto"/>
        </w:rPr>
      </w:pPr>
      <w:r>
        <w:rPr>
          <w:rFonts w:ascii="Times New Roman" w:cs="Times New Roman" w:eastAsia="Times New Roman" w:hAnsi="Times New Roman"/>
          <w:sz w:val="17"/>
          <w:szCs w:val="17"/>
          <w:color w:val="auto"/>
        </w:rPr>
        <w:t>Pursuant to the internal reorganization, each limited partner’s capital interests in Professional Partners, to the extent attributable to our advisory business (including such capital interests held by PWP’s NEOs) were converted into (a) OCUs equivalent to approximately 50% of Professional Partners’ share of PWP OpCo, which are owned by all limited partners of Professional Partners holding capital as of December 31, 2019, pro-rata in accordance with their capital interests as of December 31, 2019, as adjusted for accretion and/or dilution through the closing of the Business Combination, and/or (b) VCUs, which are owned by Working Partners (subject to an approximately three to five-year vesting period) to the extent of capital interests accrued through the closing of the Business Combination that exceed the value of the OCUs, but subject to a cap intended to give effect to each Working Partner’s intended ending target ownership ratio. In addition, Professional Partners issued ACUs to Working Partners, including certain of PWP’s NEOs, in a manner intended to give effect to each Working Partner’s intended ending target ownership ratio. ACUs are also subject to a three to five-year vesting period. Upon vesting, VCUs and ACUs will automatically convert into OCUs. Together, the VCUs and ACUs represent approximately 50% of Professional Partners’ share of the value of PWP OpCo. The vesting of VCUs and ACUs at Professional Partners (including for PWP's NEOs) will be recorded as equity-based compensation expense at PWP OpCo for accounting purposes, though they will have no economic impact on investors in PWP or PWP OpCo.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220"/>
          </w:cols>
          <w:pgMar w:left="320" w:top="1440" w:right="359" w:bottom="1440" w:gutter="0" w:footer="0" w:header="0"/>
        </w:sectPr>
      </w:pPr>
    </w:p>
    <w:bookmarkStart w:id="26" w:name="page27"/>
    <w:bookmarkEnd w:id="26"/>
    <w:p>
      <w:pPr>
        <w:spacing w:after="0" w:line="153"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Each class of partnership units of Professional Partners are, depending on the holder, subject to forfeiture provisions as a result of certain terminations or breaches of restrictive covenants. Specifically, upon a termination due to death or disability, all unvested VCUs and ACUs will immediately vest. Upon a termination without cause or for good reason, a pro-rata portion of each unvested tranche will immediately vest, subject to a 50% floor. Upon a termination without cause or for good reason within 24 months following a change in control, all unvested time-based VCUs and ACUs will immediately vest. If any OCUs, VCUs or ACUs are forfeited, such forfeited OCUs, VCUs or ACUs, as applicable, would accrete to all limited partners of Professional Partners. Subject to applicable law and the terms of the amended and restated limited partnership agreement of Professional Partners, the general partner of Professional Partners will cause distributions that Professional Partners receives from PWP OpCo to be distributed to the partners pro-rata in accordance with such limited partners’ respective ownership of each class of Professional Partners units, including any VCUs and ACUs.</w:t>
      </w:r>
    </w:p>
    <w:p>
      <w:pPr>
        <w:spacing w:after="0" w:line="165" w:lineRule="exact"/>
        <w:rPr>
          <w:sz w:val="20"/>
          <w:szCs w:val="20"/>
          <w:color w:val="auto"/>
        </w:rPr>
      </w:pPr>
    </w:p>
    <w:p>
      <w:pPr>
        <w:ind w:right="80" w:firstLine="324"/>
        <w:spacing w:after="0" w:line="256" w:lineRule="auto"/>
        <w:rPr>
          <w:sz w:val="20"/>
          <w:szCs w:val="20"/>
          <w:color w:val="auto"/>
        </w:rPr>
      </w:pPr>
      <w:r>
        <w:rPr>
          <w:rFonts w:ascii="Times New Roman" w:cs="Times New Roman" w:eastAsia="Times New Roman" w:hAnsi="Times New Roman"/>
          <w:sz w:val="18"/>
          <w:szCs w:val="18"/>
          <w:color w:val="auto"/>
        </w:rPr>
        <w:t>Subject to the redemption procedures and restrictions set forth in the amended and restated limited partnership agreement of Professional Partners, Professional Partners also provides for certain rights for partners holding OCUs, including OCUs received in respect of the vesting of VCUs and/or ACUs, to have such OCUs redeemed for PWP OpCo Class A common units, which can, subject to the exchange procedures and restrictions set forth in the LP Agreement (and any other procedures or restrictions imposed by Perella Weinberg Partners), be exchanged for (i) shares of Class A common stock on a one-for-one basis (subject to customary conversion rate adjustments for stock splits, stock dividends and reclassifications) or (ii) cash from an offering of Class A common stock (based on the net proceeds received by PWP for such shares in such offering), with the form of consideration determined by PWP.</w:t>
      </w:r>
    </w:p>
    <w:p>
      <w:pPr>
        <w:spacing w:after="0" w:line="147" w:lineRule="exact"/>
        <w:rPr>
          <w:sz w:val="20"/>
          <w:szCs w:val="20"/>
          <w:color w:val="auto"/>
        </w:rPr>
      </w:pPr>
    </w:p>
    <w:p>
      <w:pPr>
        <w:ind w:right="40" w:firstLine="324"/>
        <w:spacing w:after="0" w:line="253" w:lineRule="auto"/>
        <w:rPr>
          <w:sz w:val="20"/>
          <w:szCs w:val="20"/>
          <w:color w:val="auto"/>
        </w:rPr>
      </w:pPr>
      <w:r>
        <w:rPr>
          <w:rFonts w:ascii="Times New Roman" w:cs="Times New Roman" w:eastAsia="Times New Roman" w:hAnsi="Times New Roman"/>
          <w:sz w:val="18"/>
          <w:szCs w:val="18"/>
          <w:color w:val="auto"/>
        </w:rPr>
        <w:t>Subject to certain exceptions, Professional Partners units held by Working Partners are generally subject to a lock-up of approximately three to five years, which may be reinstated or extended for a period of 12 months following such Working Partner’s resignation without good reason. For Mr. Perella and certain other founding Working Partners who are retirement-eligible (as well as certain limited partners of Professional Partners who are employed by PWP Capital), Professional Partners units are generally subject to a lock-up of approximately one to five years and are not be subject to reinstatement or extension of such lock-up following their resignation. No lock-up period for any Working Partner is expected to extend beyond the five-year anniversary of the closing of the Business Combination. The lock-up generally restricts the sale, pledge, grant of any option, short sale or other disposition of any partnership units with respect to our advisory business, and the entrance into any hedging, swap or other agreement or transaction related to such partnership units. The general partner of Professional Partners and PWP may waive the lock-up period for any partner with respect to all or a portion the applicable partnership units with no obligation to do so for any other partner, and the lock-ups may be waived for certain pre-determined circumstances, such as death, disability and certain tax liabilities, and certain contractual obligations to partners pursuant to offer letters that provide for certain unrestricted equity awards.</w:t>
      </w:r>
    </w:p>
    <w:p>
      <w:pPr>
        <w:spacing w:after="0" w:line="151" w:lineRule="exact"/>
        <w:rPr>
          <w:sz w:val="20"/>
          <w:szCs w:val="20"/>
          <w:color w:val="auto"/>
        </w:rPr>
      </w:pPr>
    </w:p>
    <w:p>
      <w:pPr>
        <w:ind w:right="240" w:firstLine="324"/>
        <w:spacing w:after="0" w:line="266" w:lineRule="auto"/>
        <w:rPr>
          <w:sz w:val="20"/>
          <w:szCs w:val="20"/>
          <w:color w:val="auto"/>
        </w:rPr>
      </w:pPr>
      <w:r>
        <w:rPr>
          <w:rFonts w:ascii="Times New Roman" w:cs="Times New Roman" w:eastAsia="Times New Roman" w:hAnsi="Times New Roman"/>
          <w:sz w:val="18"/>
          <w:szCs w:val="18"/>
          <w:color w:val="auto"/>
        </w:rPr>
        <w:t>Certain unvested equity interests of Professional Partners held by limited partners of Professional Partners vested on the transaction date. In order to provide liquidity to such limited partners to fund the related tax liability, PWP OpCo made loans to such limited partners in an aggregate value of approximately $3 million. None of such limited partners was an executive officer or director of PWP.</w:t>
      </w:r>
    </w:p>
    <w:p>
      <w:pPr>
        <w:spacing w:after="0" w:line="149" w:lineRule="exact"/>
        <w:rPr>
          <w:sz w:val="20"/>
          <w:szCs w:val="20"/>
          <w:color w:val="auto"/>
        </w:rPr>
      </w:pPr>
    </w:p>
    <w:p>
      <w:pPr>
        <w:ind w:right="60" w:firstLine="324"/>
        <w:spacing w:after="0" w:line="254" w:lineRule="auto"/>
        <w:rPr>
          <w:sz w:val="20"/>
          <w:szCs w:val="20"/>
          <w:color w:val="auto"/>
        </w:rPr>
      </w:pPr>
      <w:r>
        <w:rPr>
          <w:rFonts w:ascii="Times New Roman" w:cs="Times New Roman" w:eastAsia="Times New Roman" w:hAnsi="Times New Roman"/>
          <w:sz w:val="18"/>
          <w:szCs w:val="18"/>
          <w:color w:val="auto"/>
        </w:rPr>
        <w:t>Partners are subject to certain restrictive covenants set forth in the amended and restated limited partnership agreement of Professional Partners, including perpetual confidentiality obligations, 180-day post-termination client and customer non-solicitation restrictions following a termination for cause or any resignation without good reason, post-termination investor non-solicitation restrictions following a termination for cause or any resignation without good reason for (x) 180 days with respect to any limited partner of Professional Partners, PWP Capital or PWP OpCo, and their respective subsidiaries and successors and assigns or (y) one year with respect to any limited partner, investor, prospective limited partner or investor of investment funds sponsored by a PWP Entity (as defined below), one-year post-termination employee non-solicitation restrictions following any termination, and perpetual non-disparagement obligations. In addition, in the event that a partner resigns without good reason and competes with the PWP Entities within a year following the resignation, or breaches any other applicable written covenant between any PWP Entity and such partner, then any partnership units in Professional Partners held by such partner will be forfeited on the date of such breach.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240"/>
          </w:cols>
          <w:pgMar w:left="320" w:top="1440" w:right="339" w:bottom="1440" w:gutter="0" w:footer="0" w:header="0"/>
        </w:sectPr>
      </w:pPr>
    </w:p>
    <w:bookmarkStart w:id="27" w:name="page28"/>
    <w:bookmarkEnd w:id="27"/>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Outstanding Equity Awards at Fiscal Year End for 2021</w:t>
      </w:r>
    </w:p>
    <w:p>
      <w:pPr>
        <w:spacing w:after="0" w:line="20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summarizes the outstanding equity-based awards held by each of our NEOs as of December 31, 2021:</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80" w:type="dxa"/>
            <w:vAlign w:val="bottom"/>
            <w:tcBorders>
              <w:bottom w:val="single" w:sz="8" w:color="auto"/>
            </w:tcBorders>
          </w:tcPr>
          <w:p>
            <w:pPr>
              <w:spacing w:after="0"/>
              <w:rPr>
                <w:sz w:val="18"/>
                <w:szCs w:val="18"/>
                <w:color w:val="auto"/>
              </w:rPr>
            </w:pPr>
          </w:p>
        </w:tc>
        <w:tc>
          <w:tcPr>
            <w:tcW w:w="2860" w:type="dxa"/>
            <w:vAlign w:val="bottom"/>
            <w:tcBorders>
              <w:bottom w:val="single" w:sz="8" w:color="auto"/>
            </w:tcBorders>
            <w:gridSpan w:val="3"/>
          </w:tcPr>
          <w:p>
            <w:pPr>
              <w:jc w:val="right"/>
              <w:ind w:right="1759"/>
              <w:spacing w:after="0"/>
              <w:rPr>
                <w:sz w:val="20"/>
                <w:szCs w:val="20"/>
                <w:color w:val="auto"/>
              </w:rPr>
            </w:pPr>
            <w:r>
              <w:rPr>
                <w:rFonts w:ascii="Times New Roman" w:cs="Times New Roman" w:eastAsia="Times New Roman" w:hAnsi="Times New Roman"/>
                <w:sz w:val="16"/>
                <w:szCs w:val="16"/>
                <w:b w:val="1"/>
                <w:bCs w:val="1"/>
                <w:color w:val="auto"/>
              </w:rPr>
              <w:t>Stock Awards</w:t>
            </w:r>
          </w:p>
        </w:tc>
        <w:tc>
          <w:tcPr>
            <w:tcW w:w="0" w:type="dxa"/>
            <w:vAlign w:val="bottom"/>
          </w:tcPr>
          <w:p>
            <w:pPr>
              <w:spacing w:after="0"/>
              <w:rPr>
                <w:sz w:val="1"/>
                <w:szCs w:val="1"/>
                <w:color w:val="auto"/>
              </w:rPr>
            </w:pPr>
          </w:p>
        </w:tc>
      </w:tr>
      <w:tr>
        <w:trPr>
          <w:trHeight w:val="158"/>
        </w:trPr>
        <w:tc>
          <w:tcPr>
            <w:tcW w:w="6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80" w:type="dxa"/>
            <w:vAlign w:val="bottom"/>
          </w:tcPr>
          <w:p>
            <w:pPr>
              <w:jc w:val="right"/>
              <w:ind w:right="99"/>
              <w:spacing w:after="0" w:line="158" w:lineRule="exact"/>
              <w:rPr>
                <w:sz w:val="20"/>
                <w:szCs w:val="20"/>
                <w:color w:val="auto"/>
              </w:rPr>
            </w:pPr>
            <w:r>
              <w:rPr>
                <w:rFonts w:ascii="Times New Roman" w:cs="Times New Roman" w:eastAsia="Times New Roman" w:hAnsi="Times New Roman"/>
                <w:sz w:val="16"/>
                <w:szCs w:val="16"/>
                <w:b w:val="1"/>
                <w:bCs w:val="1"/>
                <w:color w:val="auto"/>
              </w:rPr>
              <w:t>Number of Shares or</w:t>
            </w:r>
          </w:p>
        </w:tc>
        <w:tc>
          <w:tcPr>
            <w:tcW w:w="5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940" w:type="dxa"/>
            <w:vAlign w:val="bottom"/>
          </w:tcPr>
          <w:p>
            <w:pPr>
              <w:jc w:val="right"/>
              <w:ind w:right="39"/>
              <w:spacing w:after="0" w:line="158" w:lineRule="exact"/>
              <w:rPr>
                <w:sz w:val="20"/>
                <w:szCs w:val="20"/>
                <w:color w:val="auto"/>
              </w:rPr>
            </w:pPr>
            <w:r>
              <w:rPr>
                <w:rFonts w:ascii="Times New Roman" w:cs="Times New Roman" w:eastAsia="Times New Roman" w:hAnsi="Times New Roman"/>
                <w:sz w:val="16"/>
                <w:szCs w:val="16"/>
                <w:b w:val="1"/>
                <w:bCs w:val="1"/>
                <w:color w:val="auto"/>
                <w:w w:val="98"/>
              </w:rPr>
              <w:t>Market Value of Shares or</w:t>
            </w:r>
          </w:p>
        </w:tc>
        <w:tc>
          <w:tcPr>
            <w:tcW w:w="0" w:type="dxa"/>
            <w:vAlign w:val="bottom"/>
          </w:tcPr>
          <w:p>
            <w:pPr>
              <w:spacing w:after="0"/>
              <w:rPr>
                <w:sz w:val="1"/>
                <w:szCs w:val="1"/>
                <w:color w:val="auto"/>
              </w:rPr>
            </w:pPr>
          </w:p>
        </w:tc>
      </w:tr>
      <w:tr>
        <w:trPr>
          <w:trHeight w:val="162"/>
        </w:trPr>
        <w:tc>
          <w:tcPr>
            <w:tcW w:w="6300" w:type="dxa"/>
            <w:vAlign w:val="bottom"/>
            <w:gridSpan w:val="2"/>
            <w:vMerge w:val="restart"/>
          </w:tcPr>
          <w:p>
            <w:pPr>
              <w:ind w:left="360"/>
              <w:spacing w:after="0"/>
              <w:rPr>
                <w:sz w:val="20"/>
                <w:szCs w:val="20"/>
                <w:color w:val="auto"/>
              </w:rPr>
            </w:pPr>
            <w:r>
              <w:rPr>
                <w:rFonts w:ascii="Times New Roman" w:cs="Times New Roman" w:eastAsia="Times New Roman" w:hAnsi="Times New Roman"/>
                <w:sz w:val="16"/>
                <w:szCs w:val="16"/>
                <w:b w:val="1"/>
                <w:bCs w:val="1"/>
                <w:color w:val="auto"/>
              </w:rPr>
              <w:t>Name</w:t>
            </w:r>
          </w:p>
        </w:tc>
        <w:tc>
          <w:tcPr>
            <w:tcW w:w="2080" w:type="dxa"/>
            <w:vAlign w:val="bottom"/>
          </w:tcPr>
          <w:p>
            <w:pPr>
              <w:jc w:val="right"/>
              <w:ind w:right="99"/>
              <w:spacing w:after="0" w:line="162" w:lineRule="exact"/>
              <w:rPr>
                <w:sz w:val="20"/>
                <w:szCs w:val="20"/>
                <w:color w:val="auto"/>
              </w:rPr>
            </w:pPr>
            <w:r>
              <w:rPr>
                <w:rFonts w:ascii="Times New Roman" w:cs="Times New Roman" w:eastAsia="Times New Roman" w:hAnsi="Times New Roman"/>
                <w:sz w:val="16"/>
                <w:szCs w:val="16"/>
                <w:b w:val="1"/>
                <w:bCs w:val="1"/>
                <w:color w:val="auto"/>
              </w:rPr>
              <w:t>Units of Stock That Have</w:t>
            </w:r>
          </w:p>
        </w:tc>
        <w:tc>
          <w:tcPr>
            <w:tcW w:w="540" w:type="dxa"/>
            <w:vAlign w:val="bottom"/>
          </w:tcPr>
          <w:p>
            <w:pPr>
              <w:spacing w:after="0"/>
              <w:rPr>
                <w:sz w:val="14"/>
                <w:szCs w:val="14"/>
                <w:color w:val="auto"/>
              </w:rPr>
            </w:pPr>
          </w:p>
        </w:tc>
        <w:tc>
          <w:tcPr>
            <w:tcW w:w="2320" w:type="dxa"/>
            <w:vAlign w:val="bottom"/>
            <w:gridSpan w:val="2"/>
          </w:tcPr>
          <w:p>
            <w:pPr>
              <w:jc w:val="right"/>
              <w:ind w:right="79"/>
              <w:spacing w:after="0" w:line="162" w:lineRule="exact"/>
              <w:rPr>
                <w:sz w:val="20"/>
                <w:szCs w:val="20"/>
                <w:color w:val="auto"/>
              </w:rPr>
            </w:pPr>
            <w:r>
              <w:rPr>
                <w:rFonts w:ascii="Times New Roman" w:cs="Times New Roman" w:eastAsia="Times New Roman" w:hAnsi="Times New Roman"/>
                <w:sz w:val="16"/>
                <w:szCs w:val="16"/>
                <w:b w:val="1"/>
                <w:bCs w:val="1"/>
                <w:color w:val="auto"/>
              </w:rPr>
              <w:t>Units of Stock That Have Not</w:t>
            </w:r>
          </w:p>
        </w:tc>
        <w:tc>
          <w:tcPr>
            <w:tcW w:w="0" w:type="dxa"/>
            <w:vAlign w:val="bottom"/>
          </w:tcPr>
          <w:p>
            <w:pPr>
              <w:spacing w:after="0"/>
              <w:rPr>
                <w:sz w:val="1"/>
                <w:szCs w:val="1"/>
                <w:color w:val="auto"/>
              </w:rPr>
            </w:pPr>
          </w:p>
        </w:tc>
      </w:tr>
      <w:tr>
        <w:trPr>
          <w:trHeight w:val="216"/>
        </w:trPr>
        <w:tc>
          <w:tcPr>
            <w:tcW w:w="6300" w:type="dxa"/>
            <w:vAlign w:val="bottom"/>
            <w:gridSpan w:val="2"/>
            <w:vMerge w:val="continue"/>
          </w:tcPr>
          <w:p>
            <w:pPr>
              <w:spacing w:after="0"/>
              <w:rPr>
                <w:sz w:val="18"/>
                <w:szCs w:val="18"/>
                <w:color w:val="auto"/>
              </w:rPr>
            </w:pPr>
          </w:p>
        </w:tc>
        <w:tc>
          <w:tcPr>
            <w:tcW w:w="2080" w:type="dxa"/>
            <w:vAlign w:val="bottom"/>
          </w:tcPr>
          <w:p>
            <w:pPr>
              <w:jc w:val="right"/>
              <w:ind w:right="519"/>
              <w:spacing w:after="0" w:line="216" w:lineRule="exact"/>
              <w:rPr>
                <w:sz w:val="20"/>
                <w:szCs w:val="20"/>
                <w:color w:val="auto"/>
              </w:rPr>
            </w:pPr>
            <w:r>
              <w:rPr>
                <w:rFonts w:ascii="Times New Roman" w:cs="Times New Roman" w:eastAsia="Times New Roman" w:hAnsi="Times New Roman"/>
                <w:sz w:val="16"/>
                <w:szCs w:val="16"/>
                <w:b w:val="1"/>
                <w:bCs w:val="1"/>
                <w:color w:val="auto"/>
              </w:rPr>
              <w:t xml:space="preserve">Not Vested </w:t>
            </w:r>
            <w:r>
              <w:rPr>
                <w:rFonts w:ascii="Times New Roman" w:cs="Times New Roman" w:eastAsia="Times New Roman" w:hAnsi="Times New Roman"/>
                <w:sz w:val="21"/>
                <w:szCs w:val="21"/>
                <w:b w:val="1"/>
                <w:bCs w:val="1"/>
                <w:color w:val="auto"/>
                <w:vertAlign w:val="superscript"/>
              </w:rPr>
              <w:t>(1)</w:t>
            </w:r>
          </w:p>
        </w:tc>
        <w:tc>
          <w:tcPr>
            <w:tcW w:w="5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940" w:type="dxa"/>
            <w:vAlign w:val="bottom"/>
          </w:tcPr>
          <w:p>
            <w:pPr>
              <w:jc w:val="right"/>
              <w:ind w:right="799"/>
              <w:spacing w:after="0" w:line="216" w:lineRule="exact"/>
              <w:rPr>
                <w:sz w:val="20"/>
                <w:szCs w:val="20"/>
                <w:color w:val="auto"/>
              </w:rPr>
            </w:pPr>
            <w:r>
              <w:rPr>
                <w:rFonts w:ascii="Times New Roman" w:cs="Times New Roman" w:eastAsia="Times New Roman" w:hAnsi="Times New Roman"/>
                <w:sz w:val="16"/>
                <w:szCs w:val="16"/>
                <w:b w:val="1"/>
                <w:bCs w:val="1"/>
                <w:color w:val="auto"/>
              </w:rPr>
              <w:t xml:space="preserve">Vested </w:t>
            </w:r>
            <w:r>
              <w:rPr>
                <w:rFonts w:ascii="Times New Roman" w:cs="Times New Roman" w:eastAsia="Times New Roman" w:hAnsi="Times New Roman"/>
                <w:sz w:val="21"/>
                <w:szCs w:val="21"/>
                <w:b w:val="1"/>
                <w:bCs w:val="1"/>
                <w:color w:val="auto"/>
                <w:vertAlign w:val="superscript"/>
              </w:rPr>
              <w:t>(2)</w:t>
            </w:r>
          </w:p>
        </w:tc>
        <w:tc>
          <w:tcPr>
            <w:tcW w:w="0" w:type="dxa"/>
            <w:vAlign w:val="bottom"/>
          </w:tcPr>
          <w:p>
            <w:pPr>
              <w:spacing w:after="0"/>
              <w:rPr>
                <w:sz w:val="1"/>
                <w:szCs w:val="1"/>
                <w:color w:val="auto"/>
              </w:rPr>
            </w:pPr>
          </w:p>
        </w:tc>
      </w:tr>
      <w:tr>
        <w:trPr>
          <w:trHeight w:val="210"/>
        </w:trPr>
        <w:tc>
          <w:tcPr>
            <w:tcW w:w="6200" w:type="dxa"/>
            <w:vAlign w:val="bottom"/>
            <w:tcBorders>
              <w:top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Peter A. Weinberg</w:t>
            </w:r>
          </w:p>
        </w:tc>
        <w:tc>
          <w:tcPr>
            <w:tcW w:w="100" w:type="dxa"/>
            <w:vAlign w:val="bottom"/>
            <w:tcBorders>
              <w:top w:val="single" w:sz="8" w:color="CCEEFF"/>
            </w:tcBorders>
            <w:shd w:val="clear" w:color="auto" w:fill="CCEEFF"/>
          </w:tcPr>
          <w:p>
            <w:pPr>
              <w:spacing w:after="0"/>
              <w:rPr>
                <w:sz w:val="18"/>
                <w:szCs w:val="18"/>
                <w:color w:val="auto"/>
              </w:rPr>
            </w:pPr>
          </w:p>
        </w:tc>
        <w:tc>
          <w:tcPr>
            <w:tcW w:w="2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5,280,324</w:t>
            </w:r>
          </w:p>
        </w:tc>
        <w:tc>
          <w:tcPr>
            <w:tcW w:w="540" w:type="dxa"/>
            <w:vAlign w:val="bottom"/>
            <w:tcBorders>
              <w:top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3"/>
                <w:szCs w:val="13"/>
                <w:color w:val="auto"/>
              </w:rPr>
              <w:t>(3)</w:t>
            </w:r>
          </w:p>
        </w:tc>
        <w:tc>
          <w:tcPr>
            <w:tcW w:w="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67,904,967</w:t>
            </w:r>
          </w:p>
        </w:tc>
        <w:tc>
          <w:tcPr>
            <w:tcW w:w="0" w:type="dxa"/>
            <w:vAlign w:val="bottom"/>
          </w:tcPr>
          <w:p>
            <w:pPr>
              <w:spacing w:after="0"/>
              <w:rPr>
                <w:sz w:val="1"/>
                <w:szCs w:val="1"/>
                <w:color w:val="auto"/>
              </w:rPr>
            </w:pPr>
          </w:p>
        </w:tc>
      </w:tr>
      <w:tr>
        <w:trPr>
          <w:trHeight w:val="213"/>
        </w:trPr>
        <w:tc>
          <w:tcPr>
            <w:tcW w:w="6300" w:type="dxa"/>
            <w:vAlign w:val="bottom"/>
            <w:gridSpan w:val="2"/>
          </w:tcPr>
          <w:p>
            <w:pPr>
              <w:ind w:left="360"/>
              <w:spacing w:after="0"/>
              <w:rPr>
                <w:sz w:val="20"/>
                <w:szCs w:val="20"/>
                <w:color w:val="auto"/>
              </w:rPr>
            </w:pPr>
            <w:r>
              <w:rPr>
                <w:rFonts w:ascii="Times New Roman" w:cs="Times New Roman" w:eastAsia="Times New Roman" w:hAnsi="Times New Roman"/>
                <w:sz w:val="16"/>
                <w:szCs w:val="16"/>
                <w:color w:val="auto"/>
              </w:rPr>
              <w:t>Dietrich Becker</w:t>
            </w:r>
          </w:p>
        </w:tc>
        <w:tc>
          <w:tcPr>
            <w:tcW w:w="2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3,885,916</w:t>
            </w:r>
          </w:p>
        </w:tc>
        <w:tc>
          <w:tcPr>
            <w:tcW w:w="540" w:type="dxa"/>
            <w:vAlign w:val="bottom"/>
          </w:tcPr>
          <w:p>
            <w:pPr>
              <w:jc w:val="right"/>
              <w:ind w:right="33"/>
              <w:spacing w:after="0"/>
              <w:rPr>
                <w:sz w:val="20"/>
                <w:szCs w:val="20"/>
                <w:color w:val="auto"/>
              </w:rPr>
            </w:pPr>
            <w:r>
              <w:rPr>
                <w:rFonts w:ascii="Times New Roman" w:cs="Times New Roman" w:eastAsia="Times New Roman" w:hAnsi="Times New Roman"/>
                <w:sz w:val="13"/>
                <w:szCs w:val="13"/>
                <w:color w:val="auto"/>
              </w:rPr>
              <w:t>(4)</w:t>
            </w:r>
          </w:p>
        </w:tc>
        <w:tc>
          <w:tcPr>
            <w:tcW w:w="380" w:type="dxa"/>
            <w:vAlign w:val="bottom"/>
          </w:tcPr>
          <w:p>
            <w:pPr>
              <w:spacing w:after="0"/>
              <w:rPr>
                <w:sz w:val="18"/>
                <w:szCs w:val="18"/>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49,972,880</w:t>
            </w:r>
          </w:p>
        </w:tc>
        <w:tc>
          <w:tcPr>
            <w:tcW w:w="0" w:type="dxa"/>
            <w:vAlign w:val="bottom"/>
          </w:tcPr>
          <w:p>
            <w:pPr>
              <w:spacing w:after="0"/>
              <w:rPr>
                <w:sz w:val="1"/>
                <w:szCs w:val="1"/>
                <w:color w:val="auto"/>
              </w:rPr>
            </w:pPr>
          </w:p>
        </w:tc>
      </w:tr>
      <w:tr>
        <w:trPr>
          <w:trHeight w:val="219"/>
        </w:trPr>
        <w:tc>
          <w:tcPr>
            <w:tcW w:w="63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Andrew Bednar</w:t>
            </w:r>
          </w:p>
        </w:tc>
        <w:tc>
          <w:tcPr>
            <w:tcW w:w="2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3,749,471</w:t>
            </w:r>
          </w:p>
        </w:tc>
        <w:tc>
          <w:tcPr>
            <w:tcW w:w="54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3"/>
                <w:szCs w:val="13"/>
                <w:color w:val="auto"/>
              </w:rPr>
              <w:t>(5)</w:t>
            </w:r>
          </w:p>
        </w:tc>
        <w:tc>
          <w:tcPr>
            <w:tcW w:w="38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48,218,197</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90" w:lineRule="exact"/>
        <w:rPr>
          <w:sz w:val="20"/>
          <w:szCs w:val="20"/>
          <w:color w:val="auto"/>
        </w:rPr>
      </w:pPr>
    </w:p>
    <w:p>
      <w:pPr>
        <w:ind w:left="340" w:right="20" w:hanging="332"/>
        <w:spacing w:after="0" w:line="246" w:lineRule="auto"/>
        <w:tabs>
          <w:tab w:leader="none" w:pos="332"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Represents (i) Long-Term Incentive Awards that are subject to the achievement of two types of vesting conditions, both of which must be satisfied for the awards to vest: (x) time-based vesting conditions that will be satisfied in two installments on the third and fifth anniversaries of the August 31, 2021 grant date, subject to continued employment (for Messrs. Bednar and Becker, including continued service as co-presidents of PWP, or any equivalent or more senior executive officer roles with PWP, as mutually agreed by the parties) on each vesting date; </w:t>
      </w:r>
      <w:r>
        <w:rPr>
          <w:rFonts w:ascii="Times New Roman" w:cs="Times New Roman" w:eastAsia="Times New Roman" w:hAnsi="Times New Roman"/>
          <w:sz w:val="14"/>
          <w:szCs w:val="14"/>
          <w:i w:val="1"/>
          <w:iCs w:val="1"/>
          <w:color w:val="auto"/>
        </w:rPr>
        <w:t xml:space="preserve">provided </w:t>
      </w:r>
      <w:r>
        <w:rPr>
          <w:rFonts w:ascii="Times New Roman" w:cs="Times New Roman" w:eastAsia="Times New Roman" w:hAnsi="Times New Roman"/>
          <w:sz w:val="14"/>
          <w:szCs w:val="14"/>
          <w:color w:val="auto"/>
        </w:rPr>
        <w:t>that 50% of the amount earned based on achievement of the performance-based vesting conditions prior to the first vesting date will remain outstanding and will vest on the second</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vesting date, subject to continued employment through such date and (y) performance-based vesting conditions that will be satisfied upon the achievement of closing stock prices equal to $15, $20, $25 and $30 for 20 out of any 30 consecutive trading days prior to the fifth anniversary of the grant date, as measured on the last calendar day of each month, subject to linear interpolation between the applicable price points and (ii) VCUs and ACUs that are generally subject to a service-based graded vesting schedule over a three to five-year period following the closing of the Business Combination. The vesting of VCUs and ACUs will be recorded as equity-based compensation expense at PWP OpCo for accounting purposes, though they will have no economic impact on investors in PWP or PWP OpCo. The amounts shown do not include OCUs, which are fully-vested.</w:t>
      </w:r>
    </w:p>
    <w:p>
      <w:pPr>
        <w:spacing w:after="0" w:line="53" w:lineRule="exact"/>
        <w:rPr>
          <w:rFonts w:ascii="Times New Roman" w:cs="Times New Roman" w:eastAsia="Times New Roman" w:hAnsi="Times New Roman"/>
          <w:sz w:val="14"/>
          <w:szCs w:val="14"/>
          <w:color w:val="auto"/>
        </w:rPr>
      </w:pPr>
    </w:p>
    <w:p>
      <w:pPr>
        <w:ind w:left="340" w:hanging="332"/>
        <w:spacing w:after="0" w:line="251" w:lineRule="auto"/>
        <w:tabs>
          <w:tab w:leader="none" w:pos="332"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market value shown is based on the closing stock price per share of our Class A common stock on December 31, 2021 ($12.86 ). The market value of the Long-Term Incentive Awards is based on the number of shares of our Class A common stock that our NEOs would receive upon settlement of the Long-Term Incentive Awards assuming attainment of the 100% of the performance-based vesting conditions during the performance period. The market value of the VCUs and ACUs is also shown is based on the closing price of our Class A common stock on December 31, 2021, as units in Professional Partners, once vested, are ultimately exchangeable into shares of our Class A common stock on a one-for-one basis, described in greater detail in the section entitled “—2021 Executive Compensation Elements —Reorganization of Professional Partners” above.</w:t>
      </w:r>
    </w:p>
    <w:p>
      <w:pPr>
        <w:spacing w:after="0" w:line="62"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(i) 3,300,000 Long-Term Incentive Awards and (ii) 1,980,324 VCUs and ACUs.</w:t>
      </w:r>
    </w:p>
    <w:p>
      <w:pPr>
        <w:spacing w:after="0" w:line="95"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(i) 2,350,000 Long-Term Incentive Awards and (ii) 1,535,916 VCUs and ACUs.</w:t>
      </w:r>
    </w:p>
    <w:p>
      <w:pPr>
        <w:spacing w:after="0" w:line="82"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(i) 2,350,000 Long-Term Incentive Awards and (ii) 1,399,471 VCUs and ACUs.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240"/>
          </w:cols>
          <w:pgMar w:left="320" w:top="1440" w:right="339" w:bottom="1440" w:gutter="0" w:footer="0" w:header="0"/>
        </w:sectPr>
      </w:pPr>
    </w:p>
    <w:bookmarkStart w:id="28" w:name="page29"/>
    <w:bookmarkEnd w:id="28"/>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Potential Payments Upon Termination or Change in Control</w:t>
      </w:r>
    </w:p>
    <w:p>
      <w:pPr>
        <w:spacing w:after="0" w:line="189" w:lineRule="exact"/>
        <w:rPr>
          <w:sz w:val="20"/>
          <w:szCs w:val="20"/>
          <w:color w:val="auto"/>
        </w:rPr>
      </w:pPr>
    </w:p>
    <w:p>
      <w:pPr>
        <w:ind w:firstLine="324"/>
        <w:spacing w:after="0" w:line="252" w:lineRule="auto"/>
        <w:rPr>
          <w:sz w:val="20"/>
          <w:szCs w:val="20"/>
          <w:color w:val="auto"/>
        </w:rPr>
      </w:pPr>
      <w:r>
        <w:rPr>
          <w:rFonts w:ascii="Times New Roman" w:cs="Times New Roman" w:eastAsia="Times New Roman" w:hAnsi="Times New Roman"/>
          <w:sz w:val="18"/>
          <w:szCs w:val="18"/>
          <w:color w:val="auto"/>
        </w:rPr>
        <w:t>Long-Term Incentive Awards are subject to the achievement of time-based and performance-based vesting conditions, both of which must be satisfied for the awards to vest. Upon a termination of employment without cause or resignation for good reason, a pro-rata portion of the Long-Term Incentive Awards will be deemed to have satisfied the time-based vesting conditions, subject to a 50% floor, and will remain outstanding subject to the achievement of the performance-based vesting conditions. Upon a termination of employment due to death or disability, the same treatment will apply except that the Long-Term Incentive Awards will not be pro-rated. Upon a change in control, achievement of the performance-based vesting conditions will be measured as of the change in control date based on the greater of the change in control price, the highest closing stock price achieved for 20 out of any 30 consecutive trading days prior to the change in control date, and $15, at which point the awards will continue to vest subject to the satisfaction of the time-based vesting conditions. Upon a termination without cause or resignation for good reason within 24 months following a change in control, any remaining time-based vesting conditions will be deemed to be fully satisfied. For Messrs. Bednar and Becker, if the executive’s role as co-president is terminated by the Company without cause but the executive otherwise remains in continuous employment as a Working Partner, the Long-Term Incentive Awards will remain outstanding subject to the achievement of the applicable time-based and performance-based vesting conditions based on the executive’s continued employment as a Working Partner. If the executive resigns as co-president but otherwise remains in continuous employment as a Working Partner, then only a pro-rata portion of the Long-Term Incentive Awards will remain outstanding and eligible to vest subject to the achievement of the applicable time-based and performance-based vesting conditions based on the executive’s continued employment as a Working Partner.</w:t>
      </w:r>
    </w:p>
    <w:p>
      <w:pPr>
        <w:spacing w:after="0" w:line="170" w:lineRule="exact"/>
        <w:rPr>
          <w:sz w:val="20"/>
          <w:szCs w:val="20"/>
          <w:color w:val="auto"/>
        </w:rPr>
      </w:pPr>
    </w:p>
    <w:p>
      <w:pPr>
        <w:ind w:right="40" w:firstLine="324"/>
        <w:spacing w:after="0" w:line="258" w:lineRule="auto"/>
        <w:rPr>
          <w:sz w:val="20"/>
          <w:szCs w:val="20"/>
          <w:color w:val="auto"/>
        </w:rPr>
      </w:pPr>
      <w:r>
        <w:rPr>
          <w:rFonts w:ascii="Times New Roman" w:cs="Times New Roman" w:eastAsia="Times New Roman" w:hAnsi="Times New Roman"/>
          <w:sz w:val="18"/>
          <w:szCs w:val="18"/>
          <w:color w:val="auto"/>
        </w:rPr>
        <w:t>Each class of partnership units of Professional Partners held by our NEOs are subject to forfeiture provisions as a result of certain terminations of service or breaches of restrictive covenants. VCUs and ACUs are subject to an approximately three to five-year vesting period following the closing of the Business Combination. Upon a termination due to death or disability, all unvested VCUs and ACUs will immediately vest. Upon a termination without cause or for good reason, a pro-rata portion of each unvested tranche will immediately vest, subject to a 50% floor. Upon a termination without cause or for good reason within 24 months following a change in control, all unvested time-based VCUs and ACUs will immediately vest. OCUs are fully-vested.</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Anti-Hedging Policy</w:t>
      </w:r>
    </w:p>
    <w:p>
      <w:pPr>
        <w:spacing w:after="0" w:line="189" w:lineRule="exact"/>
        <w:rPr>
          <w:sz w:val="20"/>
          <w:szCs w:val="20"/>
          <w:color w:val="auto"/>
        </w:rPr>
      </w:pPr>
    </w:p>
    <w:p>
      <w:pPr>
        <w:ind w:right="80" w:firstLine="324"/>
        <w:spacing w:after="0" w:line="282" w:lineRule="auto"/>
        <w:rPr>
          <w:sz w:val="20"/>
          <w:szCs w:val="20"/>
          <w:color w:val="auto"/>
        </w:rPr>
      </w:pPr>
      <w:r>
        <w:rPr>
          <w:rFonts w:ascii="Times New Roman" w:cs="Times New Roman" w:eastAsia="Times New Roman" w:hAnsi="Times New Roman"/>
          <w:sz w:val="18"/>
          <w:szCs w:val="18"/>
          <w:color w:val="auto"/>
        </w:rPr>
        <w:t>Our insider trading policy prohibits our directors and employees, including executive officers, from hedging or otherwise engaging in transactions that hedge or offset, or are designed to hedge or offset, any decrease in the market value of Company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240"/>
          </w:cols>
          <w:pgMar w:left="320" w:top="1440"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color w:val="auto"/>
        </w:rPr>
        <w:t>Equity Compensation Plan Information</w:t>
      </w:r>
    </w:p>
    <w:p>
      <w:pPr>
        <w:spacing w:after="0" w:line="1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summarizes certain information about securities authorized for issuance under the Incentive Plan as of December 31, 2021:</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500" w:type="dxa"/>
            <w:vAlign w:val="bottom"/>
          </w:tcPr>
          <w:p>
            <w:pPr>
              <w:spacing w:after="0"/>
              <w:rPr>
                <w:sz w:val="16"/>
                <w:szCs w:val="16"/>
                <w:color w:val="auto"/>
              </w:rPr>
            </w:pPr>
          </w:p>
        </w:tc>
        <w:tc>
          <w:tcPr>
            <w:tcW w:w="1900" w:type="dxa"/>
            <w:vAlign w:val="bottom"/>
            <w:gridSpan w:val="2"/>
            <w:vMerge w:val="restart"/>
          </w:tcPr>
          <w:p>
            <w:pPr>
              <w:ind w:left="700"/>
              <w:spacing w:after="0"/>
              <w:rPr>
                <w:sz w:val="20"/>
                <w:szCs w:val="20"/>
                <w:color w:val="auto"/>
              </w:rPr>
            </w:pPr>
            <w:r>
              <w:rPr>
                <w:rFonts w:ascii="Times New Roman" w:cs="Times New Roman" w:eastAsia="Times New Roman" w:hAnsi="Times New Roman"/>
                <w:sz w:val="16"/>
                <w:szCs w:val="16"/>
                <w:b w:val="1"/>
                <w:bCs w:val="1"/>
                <w:color w:val="auto"/>
              </w:rPr>
              <w:t>Number of</w:t>
            </w:r>
          </w:p>
        </w:tc>
        <w:tc>
          <w:tcPr>
            <w:tcW w:w="1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Number of Securities</w:t>
            </w:r>
          </w:p>
        </w:tc>
        <w:tc>
          <w:tcPr>
            <w:tcW w:w="0" w:type="dxa"/>
            <w:vAlign w:val="bottom"/>
          </w:tcPr>
          <w:p>
            <w:pPr>
              <w:spacing w:after="0"/>
              <w:rPr>
                <w:sz w:val="1"/>
                <w:szCs w:val="1"/>
                <w:color w:val="auto"/>
              </w:rPr>
            </w:pPr>
          </w:p>
        </w:tc>
      </w:tr>
      <w:tr>
        <w:trPr>
          <w:trHeight w:val="162"/>
        </w:trPr>
        <w:tc>
          <w:tcPr>
            <w:tcW w:w="5500" w:type="dxa"/>
            <w:vAlign w:val="bottom"/>
          </w:tcPr>
          <w:p>
            <w:pPr>
              <w:spacing w:after="0"/>
              <w:rPr>
                <w:sz w:val="14"/>
                <w:szCs w:val="14"/>
                <w:color w:val="auto"/>
              </w:rPr>
            </w:pPr>
          </w:p>
        </w:tc>
        <w:tc>
          <w:tcPr>
            <w:tcW w:w="1900" w:type="dxa"/>
            <w:vAlign w:val="bottom"/>
            <w:gridSpan w:val="2"/>
            <w:vMerge w:val="continue"/>
          </w:tcPr>
          <w:p>
            <w:pPr>
              <w:spacing w:after="0"/>
              <w:rPr>
                <w:sz w:val="14"/>
                <w:szCs w:val="14"/>
                <w:color w:val="auto"/>
              </w:rPr>
            </w:pPr>
          </w:p>
        </w:tc>
        <w:tc>
          <w:tcPr>
            <w:tcW w:w="1900" w:type="dxa"/>
            <w:vAlign w:val="bottom"/>
            <w:gridSpan w:val="2"/>
            <w:vMerge w:val="restart"/>
          </w:tcPr>
          <w:p>
            <w:pPr>
              <w:jc w:val="center"/>
              <w:ind w:left="179"/>
              <w:spacing w:after="0"/>
              <w:rPr>
                <w:sz w:val="20"/>
                <w:szCs w:val="20"/>
                <w:color w:val="auto"/>
              </w:rPr>
            </w:pPr>
            <w:r>
              <w:rPr>
                <w:rFonts w:ascii="Times New Roman" w:cs="Times New Roman" w:eastAsia="Times New Roman" w:hAnsi="Times New Roman"/>
                <w:sz w:val="16"/>
                <w:szCs w:val="16"/>
                <w:b w:val="1"/>
                <w:bCs w:val="1"/>
                <w:color w:val="auto"/>
                <w:w w:val="99"/>
              </w:rPr>
              <w:t>Weighted-Average</w:t>
            </w:r>
          </w:p>
        </w:tc>
        <w:tc>
          <w:tcPr>
            <w:tcW w:w="194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w w:val="99"/>
              </w:rPr>
              <w:t>Remaining Available for</w:t>
            </w:r>
          </w:p>
        </w:tc>
        <w:tc>
          <w:tcPr>
            <w:tcW w:w="0" w:type="dxa"/>
            <w:vAlign w:val="bottom"/>
          </w:tcPr>
          <w:p>
            <w:pPr>
              <w:spacing w:after="0"/>
              <w:rPr>
                <w:sz w:val="1"/>
                <w:szCs w:val="1"/>
                <w:color w:val="auto"/>
              </w:rPr>
            </w:pPr>
          </w:p>
        </w:tc>
      </w:tr>
      <w:tr>
        <w:trPr>
          <w:trHeight w:val="162"/>
        </w:trPr>
        <w:tc>
          <w:tcPr>
            <w:tcW w:w="5500" w:type="dxa"/>
            <w:vAlign w:val="bottom"/>
          </w:tcPr>
          <w:p>
            <w:pPr>
              <w:spacing w:after="0"/>
              <w:rPr>
                <w:sz w:val="14"/>
                <w:szCs w:val="14"/>
                <w:color w:val="auto"/>
              </w:rPr>
            </w:pPr>
          </w:p>
        </w:tc>
        <w:tc>
          <w:tcPr>
            <w:tcW w:w="1900" w:type="dxa"/>
            <w:vAlign w:val="bottom"/>
            <w:gridSpan w:val="2"/>
          </w:tcPr>
          <w:p>
            <w:pPr>
              <w:jc w:val="center"/>
              <w:ind w:right="80"/>
              <w:spacing w:after="0" w:line="162" w:lineRule="exact"/>
              <w:rPr>
                <w:sz w:val="20"/>
                <w:szCs w:val="20"/>
                <w:color w:val="auto"/>
              </w:rPr>
            </w:pPr>
            <w:r>
              <w:rPr>
                <w:rFonts w:ascii="Times New Roman" w:cs="Times New Roman" w:eastAsia="Times New Roman" w:hAnsi="Times New Roman"/>
                <w:sz w:val="16"/>
                <w:szCs w:val="16"/>
                <w:b w:val="1"/>
                <w:bCs w:val="1"/>
                <w:color w:val="auto"/>
              </w:rPr>
              <w:t>Securities to be Issued</w:t>
            </w:r>
          </w:p>
        </w:tc>
        <w:tc>
          <w:tcPr>
            <w:tcW w:w="1900" w:type="dxa"/>
            <w:vAlign w:val="bottom"/>
            <w:gridSpan w:val="2"/>
            <w:vMerge w:val="continue"/>
          </w:tcPr>
          <w:p>
            <w:pPr>
              <w:spacing w:after="0"/>
              <w:rPr>
                <w:sz w:val="14"/>
                <w:szCs w:val="14"/>
                <w:color w:val="auto"/>
              </w:rPr>
            </w:pPr>
          </w:p>
        </w:tc>
        <w:tc>
          <w:tcPr>
            <w:tcW w:w="194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Future Issuance Under</w:t>
            </w:r>
          </w:p>
        </w:tc>
        <w:tc>
          <w:tcPr>
            <w:tcW w:w="0" w:type="dxa"/>
            <w:vAlign w:val="bottom"/>
          </w:tcPr>
          <w:p>
            <w:pPr>
              <w:spacing w:after="0"/>
              <w:rPr>
                <w:sz w:val="1"/>
                <w:szCs w:val="1"/>
                <w:color w:val="auto"/>
              </w:rPr>
            </w:pPr>
          </w:p>
        </w:tc>
      </w:tr>
      <w:tr>
        <w:trPr>
          <w:trHeight w:val="162"/>
        </w:trPr>
        <w:tc>
          <w:tcPr>
            <w:tcW w:w="5500" w:type="dxa"/>
            <w:vAlign w:val="bottom"/>
          </w:tcPr>
          <w:p>
            <w:pPr>
              <w:spacing w:after="0"/>
              <w:rPr>
                <w:sz w:val="14"/>
                <w:szCs w:val="14"/>
                <w:color w:val="auto"/>
              </w:rPr>
            </w:pPr>
          </w:p>
        </w:tc>
        <w:tc>
          <w:tcPr>
            <w:tcW w:w="1900" w:type="dxa"/>
            <w:vAlign w:val="bottom"/>
            <w:gridSpan w:val="2"/>
          </w:tcPr>
          <w:p>
            <w:pPr>
              <w:jc w:val="center"/>
              <w:ind w:right="80"/>
              <w:spacing w:after="0" w:line="162" w:lineRule="exact"/>
              <w:rPr>
                <w:sz w:val="20"/>
                <w:szCs w:val="20"/>
                <w:color w:val="auto"/>
              </w:rPr>
            </w:pPr>
            <w:r>
              <w:rPr>
                <w:rFonts w:ascii="Times New Roman" w:cs="Times New Roman" w:eastAsia="Times New Roman" w:hAnsi="Times New Roman"/>
                <w:sz w:val="16"/>
                <w:szCs w:val="16"/>
                <w:b w:val="1"/>
                <w:bCs w:val="1"/>
                <w:color w:val="auto"/>
              </w:rPr>
              <w:t>Upon Exercise of</w:t>
            </w:r>
          </w:p>
        </w:tc>
        <w:tc>
          <w:tcPr>
            <w:tcW w:w="1900" w:type="dxa"/>
            <w:vAlign w:val="bottom"/>
            <w:gridSpan w:val="2"/>
          </w:tcPr>
          <w:p>
            <w:pPr>
              <w:jc w:val="center"/>
              <w:ind w:right="80"/>
              <w:spacing w:after="0" w:line="162" w:lineRule="exact"/>
              <w:rPr>
                <w:sz w:val="20"/>
                <w:szCs w:val="20"/>
                <w:color w:val="auto"/>
              </w:rPr>
            </w:pPr>
            <w:r>
              <w:rPr>
                <w:rFonts w:ascii="Times New Roman" w:cs="Times New Roman" w:eastAsia="Times New Roman" w:hAnsi="Times New Roman"/>
                <w:sz w:val="16"/>
                <w:szCs w:val="16"/>
                <w:b w:val="1"/>
                <w:bCs w:val="1"/>
                <w:color w:val="auto"/>
                <w:w w:val="99"/>
              </w:rPr>
              <w:t>Exercise Price of</w:t>
            </w:r>
          </w:p>
        </w:tc>
        <w:tc>
          <w:tcPr>
            <w:tcW w:w="194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Equity Compensation</w:t>
            </w:r>
          </w:p>
        </w:tc>
        <w:tc>
          <w:tcPr>
            <w:tcW w:w="0" w:type="dxa"/>
            <w:vAlign w:val="bottom"/>
          </w:tcPr>
          <w:p>
            <w:pPr>
              <w:spacing w:after="0"/>
              <w:rPr>
                <w:sz w:val="1"/>
                <w:szCs w:val="1"/>
                <w:color w:val="auto"/>
              </w:rPr>
            </w:pPr>
          </w:p>
        </w:tc>
      </w:tr>
      <w:tr>
        <w:trPr>
          <w:trHeight w:val="162"/>
        </w:trPr>
        <w:tc>
          <w:tcPr>
            <w:tcW w:w="5500" w:type="dxa"/>
            <w:vAlign w:val="bottom"/>
          </w:tcPr>
          <w:p>
            <w:pPr>
              <w:spacing w:after="0"/>
              <w:rPr>
                <w:sz w:val="14"/>
                <w:szCs w:val="14"/>
                <w:color w:val="auto"/>
              </w:rPr>
            </w:pPr>
          </w:p>
        </w:tc>
        <w:tc>
          <w:tcPr>
            <w:tcW w:w="1900" w:type="dxa"/>
            <w:vAlign w:val="bottom"/>
            <w:gridSpan w:val="2"/>
          </w:tcPr>
          <w:p>
            <w:pPr>
              <w:jc w:val="center"/>
              <w:ind w:right="80"/>
              <w:spacing w:after="0" w:line="162" w:lineRule="exact"/>
              <w:rPr>
                <w:sz w:val="20"/>
                <w:szCs w:val="20"/>
                <w:color w:val="auto"/>
              </w:rPr>
            </w:pPr>
            <w:r>
              <w:rPr>
                <w:rFonts w:ascii="Times New Roman" w:cs="Times New Roman" w:eastAsia="Times New Roman" w:hAnsi="Times New Roman"/>
                <w:sz w:val="16"/>
                <w:szCs w:val="16"/>
                <w:b w:val="1"/>
                <w:bCs w:val="1"/>
                <w:color w:val="auto"/>
              </w:rPr>
              <w:t>Outstanding Options,</w:t>
            </w:r>
          </w:p>
        </w:tc>
        <w:tc>
          <w:tcPr>
            <w:tcW w:w="1900" w:type="dxa"/>
            <w:vAlign w:val="bottom"/>
            <w:gridSpan w:val="2"/>
          </w:tcPr>
          <w:p>
            <w:pPr>
              <w:jc w:val="center"/>
              <w:ind w:right="80"/>
              <w:spacing w:after="0" w:line="162" w:lineRule="exact"/>
              <w:rPr>
                <w:sz w:val="20"/>
                <w:szCs w:val="20"/>
                <w:color w:val="auto"/>
              </w:rPr>
            </w:pPr>
            <w:r>
              <w:rPr>
                <w:rFonts w:ascii="Times New Roman" w:cs="Times New Roman" w:eastAsia="Times New Roman" w:hAnsi="Times New Roman"/>
                <w:sz w:val="16"/>
                <w:szCs w:val="16"/>
                <w:b w:val="1"/>
                <w:bCs w:val="1"/>
                <w:color w:val="auto"/>
              </w:rPr>
              <w:t>Outstanding Options,</w:t>
            </w:r>
          </w:p>
        </w:tc>
        <w:tc>
          <w:tcPr>
            <w:tcW w:w="194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Plans (Excluding Securities</w:t>
            </w:r>
          </w:p>
        </w:tc>
        <w:tc>
          <w:tcPr>
            <w:tcW w:w="0" w:type="dxa"/>
            <w:vAlign w:val="bottom"/>
          </w:tcPr>
          <w:p>
            <w:pPr>
              <w:spacing w:after="0"/>
              <w:rPr>
                <w:sz w:val="1"/>
                <w:szCs w:val="1"/>
                <w:color w:val="auto"/>
              </w:rPr>
            </w:pPr>
          </w:p>
        </w:tc>
      </w:tr>
      <w:tr>
        <w:trPr>
          <w:trHeight w:val="162"/>
        </w:trPr>
        <w:tc>
          <w:tcPr>
            <w:tcW w:w="5500" w:type="dxa"/>
            <w:vAlign w:val="bottom"/>
            <w:vMerge w:val="restart"/>
          </w:tcPr>
          <w:p>
            <w:pPr>
              <w:ind w:left="400"/>
              <w:spacing w:after="0"/>
              <w:rPr>
                <w:sz w:val="20"/>
                <w:szCs w:val="20"/>
                <w:color w:val="auto"/>
              </w:rPr>
            </w:pPr>
            <w:r>
              <w:rPr>
                <w:rFonts w:ascii="Times New Roman" w:cs="Times New Roman" w:eastAsia="Times New Roman" w:hAnsi="Times New Roman"/>
                <w:sz w:val="16"/>
                <w:szCs w:val="16"/>
                <w:b w:val="1"/>
                <w:bCs w:val="1"/>
                <w:color w:val="auto"/>
              </w:rPr>
              <w:t>Plan Category</w:t>
            </w:r>
          </w:p>
        </w:tc>
        <w:tc>
          <w:tcPr>
            <w:tcW w:w="1900" w:type="dxa"/>
            <w:vAlign w:val="bottom"/>
            <w:gridSpan w:val="2"/>
          </w:tcPr>
          <w:p>
            <w:pPr>
              <w:jc w:val="center"/>
              <w:ind w:right="80"/>
              <w:spacing w:after="0" w:line="162" w:lineRule="exact"/>
              <w:rPr>
                <w:sz w:val="20"/>
                <w:szCs w:val="20"/>
                <w:color w:val="auto"/>
              </w:rPr>
            </w:pPr>
            <w:r>
              <w:rPr>
                <w:rFonts w:ascii="Times New Roman" w:cs="Times New Roman" w:eastAsia="Times New Roman" w:hAnsi="Times New Roman"/>
                <w:sz w:val="16"/>
                <w:szCs w:val="16"/>
                <w:b w:val="1"/>
                <w:bCs w:val="1"/>
                <w:color w:val="auto"/>
              </w:rPr>
              <w:t>Warrants and Rights</w:t>
            </w:r>
          </w:p>
        </w:tc>
        <w:tc>
          <w:tcPr>
            <w:tcW w:w="1900" w:type="dxa"/>
            <w:vAlign w:val="bottom"/>
            <w:gridSpan w:val="2"/>
          </w:tcPr>
          <w:p>
            <w:pPr>
              <w:jc w:val="center"/>
              <w:ind w:right="80"/>
              <w:spacing w:after="0" w:line="162" w:lineRule="exact"/>
              <w:rPr>
                <w:sz w:val="20"/>
                <w:szCs w:val="20"/>
                <w:color w:val="auto"/>
              </w:rPr>
            </w:pPr>
            <w:r>
              <w:rPr>
                <w:rFonts w:ascii="Times New Roman" w:cs="Times New Roman" w:eastAsia="Times New Roman" w:hAnsi="Times New Roman"/>
                <w:sz w:val="16"/>
                <w:szCs w:val="16"/>
                <w:b w:val="1"/>
                <w:bCs w:val="1"/>
                <w:color w:val="auto"/>
              </w:rPr>
              <w:t>Warrants and Rights</w:t>
            </w:r>
          </w:p>
        </w:tc>
        <w:tc>
          <w:tcPr>
            <w:tcW w:w="194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Reflected in Column(a))</w:t>
            </w:r>
          </w:p>
        </w:tc>
        <w:tc>
          <w:tcPr>
            <w:tcW w:w="0" w:type="dxa"/>
            <w:vAlign w:val="bottom"/>
          </w:tcPr>
          <w:p>
            <w:pPr>
              <w:spacing w:after="0"/>
              <w:rPr>
                <w:sz w:val="1"/>
                <w:szCs w:val="1"/>
                <w:color w:val="auto"/>
              </w:rPr>
            </w:pPr>
          </w:p>
        </w:tc>
      </w:tr>
      <w:tr>
        <w:trPr>
          <w:trHeight w:val="216"/>
        </w:trPr>
        <w:tc>
          <w:tcPr>
            <w:tcW w:w="5500" w:type="dxa"/>
            <w:vAlign w:val="bottom"/>
            <w:vMerge w:val="continue"/>
          </w:tcPr>
          <w:p>
            <w:pPr>
              <w:spacing w:after="0"/>
              <w:rPr>
                <w:sz w:val="18"/>
                <w:szCs w:val="18"/>
                <w:color w:val="auto"/>
              </w:rPr>
            </w:pPr>
          </w:p>
        </w:tc>
        <w:tc>
          <w:tcPr>
            <w:tcW w:w="1900" w:type="dxa"/>
            <w:vAlign w:val="bottom"/>
            <w:gridSpan w:val="2"/>
          </w:tcPr>
          <w:p>
            <w:pPr>
              <w:jc w:val="center"/>
              <w:ind w:right="80"/>
              <w:spacing w:after="0" w:line="216" w:lineRule="exact"/>
              <w:rPr>
                <w:sz w:val="20"/>
                <w:szCs w:val="20"/>
                <w:color w:val="auto"/>
              </w:rPr>
            </w:pPr>
            <w:r>
              <w:rPr>
                <w:rFonts w:ascii="Times New Roman" w:cs="Times New Roman" w:eastAsia="Times New Roman" w:hAnsi="Times New Roman"/>
                <w:sz w:val="16"/>
                <w:szCs w:val="16"/>
                <w:b w:val="1"/>
                <w:bCs w:val="1"/>
                <w:color w:val="auto"/>
                <w:w w:val="85"/>
              </w:rPr>
              <w:t>(a)</w:t>
            </w:r>
            <w:r>
              <w:rPr>
                <w:rFonts w:ascii="Times New Roman" w:cs="Times New Roman" w:eastAsia="Times New Roman" w:hAnsi="Times New Roman"/>
                <w:sz w:val="21"/>
                <w:szCs w:val="21"/>
                <w:b w:val="1"/>
                <w:bCs w:val="1"/>
                <w:color w:val="auto"/>
                <w:w w:val="85"/>
                <w:vertAlign w:val="superscript"/>
              </w:rPr>
              <w:t>(2)</w:t>
            </w:r>
          </w:p>
        </w:tc>
        <w:tc>
          <w:tcPr>
            <w:tcW w:w="1900" w:type="dxa"/>
            <w:vAlign w:val="bottom"/>
            <w:gridSpan w:val="2"/>
          </w:tcPr>
          <w:p>
            <w:pPr>
              <w:jc w:val="center"/>
              <w:ind w:left="179"/>
              <w:spacing w:after="0"/>
              <w:rPr>
                <w:sz w:val="20"/>
                <w:szCs w:val="20"/>
                <w:color w:val="auto"/>
              </w:rPr>
            </w:pPr>
            <w:r>
              <w:rPr>
                <w:rFonts w:ascii="Times New Roman" w:cs="Times New Roman" w:eastAsia="Times New Roman" w:hAnsi="Times New Roman"/>
                <w:sz w:val="16"/>
                <w:szCs w:val="16"/>
                <w:b w:val="1"/>
                <w:bCs w:val="1"/>
                <w:color w:val="auto"/>
              </w:rPr>
              <w:t>(b)</w:t>
            </w:r>
          </w:p>
        </w:tc>
        <w:tc>
          <w:tcPr>
            <w:tcW w:w="1940" w:type="dxa"/>
            <w:vAlign w:val="bottom"/>
          </w:tcPr>
          <w:p>
            <w:pPr>
              <w:jc w:val="right"/>
              <w:ind w:right="639"/>
              <w:spacing w:after="0"/>
              <w:rPr>
                <w:sz w:val="20"/>
                <w:szCs w:val="20"/>
                <w:color w:val="auto"/>
              </w:rPr>
            </w:pPr>
            <w:r>
              <w:rPr>
                <w:rFonts w:ascii="Times New Roman" w:cs="Times New Roman" w:eastAsia="Times New Roman" w:hAnsi="Times New Roman"/>
                <w:sz w:val="16"/>
                <w:szCs w:val="16"/>
                <w:b w:val="1"/>
                <w:bCs w:val="1"/>
                <w:color w:val="auto"/>
              </w:rPr>
              <w:t>(c)</w:t>
            </w:r>
          </w:p>
        </w:tc>
        <w:tc>
          <w:tcPr>
            <w:tcW w:w="0" w:type="dxa"/>
            <w:vAlign w:val="bottom"/>
          </w:tcPr>
          <w:p>
            <w:pPr>
              <w:spacing w:after="0"/>
              <w:rPr>
                <w:sz w:val="1"/>
                <w:szCs w:val="1"/>
                <w:color w:val="auto"/>
              </w:rPr>
            </w:pPr>
          </w:p>
        </w:tc>
      </w:tr>
      <w:tr>
        <w:trPr>
          <w:trHeight w:val="194"/>
        </w:trPr>
        <w:tc>
          <w:tcPr>
            <w:tcW w:w="5500" w:type="dxa"/>
            <w:vAlign w:val="bottom"/>
          </w:tcPr>
          <w:p>
            <w:pPr>
              <w:ind w:left="400"/>
              <w:spacing w:after="0"/>
              <w:rPr>
                <w:sz w:val="20"/>
                <w:szCs w:val="20"/>
                <w:color w:val="auto"/>
              </w:rPr>
            </w:pPr>
            <w:r>
              <w:rPr>
                <w:rFonts w:ascii="Times New Roman" w:cs="Times New Roman" w:eastAsia="Times New Roman" w:hAnsi="Times New Roman"/>
                <w:sz w:val="16"/>
                <w:szCs w:val="16"/>
                <w:b w:val="1"/>
                <w:bCs w:val="1"/>
                <w:color w:val="auto"/>
              </w:rPr>
              <w:t>Equity compensation plans approved by security holders:</w:t>
            </w:r>
          </w:p>
        </w:tc>
        <w:tc>
          <w:tcPr>
            <w:tcW w:w="182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82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94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5500" w:type="dxa"/>
            <w:vAlign w:val="bottom"/>
            <w:shd w:val="clear" w:color="auto" w:fill="CCEEFF"/>
          </w:tcPr>
          <w:p>
            <w:pPr>
              <w:ind w:left="860"/>
              <w:spacing w:after="0" w:line="218" w:lineRule="exact"/>
              <w:rPr>
                <w:sz w:val="20"/>
                <w:szCs w:val="20"/>
                <w:color w:val="auto"/>
              </w:rPr>
            </w:pPr>
            <w:r>
              <w:rPr>
                <w:rFonts w:ascii="Times New Roman" w:cs="Times New Roman" w:eastAsia="Times New Roman" w:hAnsi="Times New Roman"/>
                <w:sz w:val="16"/>
                <w:szCs w:val="16"/>
                <w:color w:val="auto"/>
              </w:rPr>
              <w:t>2021 Omnibus Incentive Plan</w:t>
            </w:r>
            <w:r>
              <w:rPr>
                <w:rFonts w:ascii="Times New Roman" w:cs="Times New Roman" w:eastAsia="Times New Roman" w:hAnsi="Times New Roman"/>
                <w:sz w:val="21"/>
                <w:szCs w:val="21"/>
                <w:color w:val="auto"/>
                <w:vertAlign w:val="superscript"/>
              </w:rPr>
              <w:t>(1)</w:t>
            </w: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19,065,247</w:t>
            </w:r>
          </w:p>
        </w:tc>
        <w:tc>
          <w:tcPr>
            <w:tcW w:w="8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ind w:left="1580"/>
              <w:spacing w:after="0"/>
              <w:rPr>
                <w:sz w:val="20"/>
                <w:szCs w:val="20"/>
                <w:color w:val="auto"/>
              </w:rPr>
            </w:pPr>
            <w:r>
              <w:rPr>
                <w:rFonts w:ascii="Times New Roman" w:cs="Times New Roman" w:eastAsia="Times New Roman" w:hAnsi="Times New Roman"/>
                <w:sz w:val="16"/>
                <w:szCs w:val="16"/>
                <w:color w:val="auto"/>
              </w:rPr>
              <w:t>—</w:t>
            </w: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3,574,786</w:t>
            </w:r>
          </w:p>
        </w:tc>
        <w:tc>
          <w:tcPr>
            <w:tcW w:w="0" w:type="dxa"/>
            <w:vAlign w:val="bottom"/>
          </w:tcPr>
          <w:p>
            <w:pPr>
              <w:spacing w:after="0"/>
              <w:rPr>
                <w:sz w:val="1"/>
                <w:szCs w:val="1"/>
                <w:color w:val="auto"/>
              </w:rPr>
            </w:pPr>
          </w:p>
        </w:tc>
      </w:tr>
      <w:tr>
        <w:trPr>
          <w:trHeight w:val="214"/>
        </w:trPr>
        <w:tc>
          <w:tcPr>
            <w:tcW w:w="5500" w:type="dxa"/>
            <w:vAlign w:val="bottom"/>
          </w:tcPr>
          <w:p>
            <w:pPr>
              <w:ind w:left="400"/>
              <w:spacing w:after="0"/>
              <w:rPr>
                <w:sz w:val="20"/>
                <w:szCs w:val="20"/>
                <w:color w:val="auto"/>
              </w:rPr>
            </w:pPr>
            <w:r>
              <w:rPr>
                <w:rFonts w:ascii="Times New Roman" w:cs="Times New Roman" w:eastAsia="Times New Roman" w:hAnsi="Times New Roman"/>
                <w:sz w:val="16"/>
                <w:szCs w:val="16"/>
                <w:b w:val="1"/>
                <w:bCs w:val="1"/>
                <w:color w:val="auto"/>
              </w:rPr>
              <w:t>Equity compensation plans not approved by security holders:</w:t>
            </w:r>
          </w:p>
        </w:tc>
        <w:tc>
          <w:tcPr>
            <w:tcW w:w="1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550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6"/>
                <w:szCs w:val="16"/>
                <w:color w:val="auto"/>
              </w:rPr>
              <w:t>None</w:t>
            </w:r>
          </w:p>
        </w:tc>
        <w:tc>
          <w:tcPr>
            <w:tcW w:w="1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900" w:type="dxa"/>
            <w:vAlign w:val="bottom"/>
            <w:gridSpan w:val="2"/>
            <w:shd w:val="clear" w:color="auto" w:fill="CCEEFF"/>
          </w:tcPr>
          <w:p>
            <w:pPr>
              <w:ind w:left="1580"/>
              <w:spacing w:after="0"/>
              <w:rPr>
                <w:sz w:val="20"/>
                <w:szCs w:val="20"/>
                <w:color w:val="auto"/>
              </w:rPr>
            </w:pPr>
            <w:r>
              <w:rPr>
                <w:rFonts w:ascii="Times New Roman" w:cs="Times New Roman" w:eastAsia="Times New Roman" w:hAnsi="Times New Roman"/>
                <w:sz w:val="16"/>
                <w:szCs w:val="16"/>
                <w:color w:val="auto"/>
              </w:rPr>
              <w:t>—</w:t>
            </w: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9"/>
        </w:trPr>
        <w:tc>
          <w:tcPr>
            <w:tcW w:w="5500" w:type="dxa"/>
            <w:vAlign w:val="bottom"/>
          </w:tcPr>
          <w:p>
            <w:pPr>
              <w:ind w:left="86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19,065,247</w:t>
            </w:r>
          </w:p>
        </w:tc>
        <w:tc>
          <w:tcPr>
            <w:tcW w:w="80" w:type="dxa"/>
            <w:vAlign w:val="bottom"/>
          </w:tcPr>
          <w:p>
            <w:pPr>
              <w:spacing w:after="0"/>
              <w:rPr>
                <w:sz w:val="18"/>
                <w:szCs w:val="18"/>
                <w:color w:val="auto"/>
              </w:rPr>
            </w:pPr>
          </w:p>
        </w:tc>
        <w:tc>
          <w:tcPr>
            <w:tcW w:w="1820" w:type="dxa"/>
            <w:vAlign w:val="bottom"/>
            <w:tcBorders>
              <w:top w:val="single" w:sz="8" w:color="auto"/>
              <w:bottom w:val="single" w:sz="8" w:color="auto"/>
            </w:tcBorders>
          </w:tcPr>
          <w:p>
            <w:pPr>
              <w:ind w:left="15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3,574,786</w:t>
            </w:r>
          </w:p>
        </w:tc>
        <w:tc>
          <w:tcPr>
            <w:tcW w:w="0" w:type="dxa"/>
            <w:vAlign w:val="bottom"/>
          </w:tcPr>
          <w:p>
            <w:pPr>
              <w:spacing w:after="0"/>
              <w:rPr>
                <w:sz w:val="1"/>
                <w:szCs w:val="1"/>
                <w:color w:val="auto"/>
              </w:rPr>
            </w:pPr>
          </w:p>
        </w:tc>
      </w:tr>
      <w:tr>
        <w:trPr>
          <w:trHeight w:val="21"/>
        </w:trPr>
        <w:tc>
          <w:tcPr>
            <w:tcW w:w="5500" w:type="dxa"/>
            <w:vAlign w:val="bottom"/>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90" w:lineRule="exact"/>
        <w:rPr>
          <w:sz w:val="20"/>
          <w:szCs w:val="20"/>
          <w:color w:val="auto"/>
        </w:rPr>
      </w:pPr>
    </w:p>
    <w:p>
      <w:pPr>
        <w:jc w:val="both"/>
        <w:ind w:left="340" w:hanging="332"/>
        <w:spacing w:after="0" w:line="246" w:lineRule="auto"/>
        <w:tabs>
          <w:tab w:leader="none" w:pos="332"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maximum number of shares of Class A common stock reserved for issuance pursuant to the General Share Reserve under the Incentive Plan is 13,980,000, which amount will be increased on the first day of each fiscal year of the Company beginning in calendar year 2022 by the number of shares of Class A common stock equal to the excess, if any, of (i) 15% of the number of outstanding shares of Class A common stock and the outstanding units of PWP OpCo that are exchangeable for shares of Class A common stock, in each case, on the last day of the immediately preceding fiscal year, over (ii) the number of shares of Class A common stock reserved and available for issuance in respect to future grants of awards under the Incentive Plan as of the last day of the immediately preceding fiscal year. In addition, the Transaction Pool Share Reserve under the Incentive Plan is comprised of 10,200,000 shares of Class A common stock, reserved for issuance through the one-year anniversary of the Business Combination, of which approximately 7,000,000 shares were granted subject solely to a time-based vesting schedule, and approximately 3,200,000 shares were granted subject to a time-based and performance-based vesting schedule. As a sub-plan under the Incentive Plan, the French Sub-Plan under the Incentive Plan does not contain a separate share reserve, and any awards granted under the French Sub-Plan will reduce the number of shares available for issuance under the Incentive Plan.</w:t>
      </w:r>
    </w:p>
    <w:p>
      <w:pPr>
        <w:spacing w:after="0" w:line="232" w:lineRule="exact"/>
        <w:rPr>
          <w:rFonts w:ascii="Times New Roman" w:cs="Times New Roman" w:eastAsia="Times New Roman" w:hAnsi="Times New Roman"/>
          <w:sz w:val="14"/>
          <w:szCs w:val="14"/>
          <w:color w:val="auto"/>
        </w:rPr>
      </w:pPr>
    </w:p>
    <w:p>
      <w:pPr>
        <w:jc w:val="both"/>
        <w:ind w:left="340" w:right="20" w:hanging="332"/>
        <w:spacing w:after="0" w:line="261" w:lineRule="auto"/>
        <w:tabs>
          <w:tab w:leader="none" w:pos="332"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time-based vesting RSUs and a time-based and performance-based vesting RSUs granted pursuant to the General Share Reserve and the Transaction Pool Share Reserve under the Incentive Plan, including the French Sub-Plan under the Incentive Plan. The weighted-average exercise price reported in column (b) of the table is blank because the RSUs do not have an exercise price.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240"/>
          </w:cols>
          <w:pgMar w:left="320" w:top="1413" w:right="339" w:bottom="1440" w:gutter="0" w:footer="0" w:header="0"/>
        </w:sectPr>
      </w:pPr>
    </w:p>
    <w:bookmarkStart w:id="30" w:name="page31"/>
    <w:bookmarkEnd w:id="30"/>
    <w:p>
      <w:pPr>
        <w:spacing w:after="0" w:line="19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STOCK OWNERSHIP OF CERTAIN BENEFICIAL OWNERS AND MANAGEMENT</w:t>
      </w:r>
    </w:p>
    <w:p>
      <w:pPr>
        <w:spacing w:after="0" w:line="1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sets forth information known to the Company regarding the beneficial ownership of shares of the Company’s common stock as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30, 2022, by:</w:t>
      </w:r>
    </w:p>
    <w:p>
      <w:pPr>
        <w:spacing w:after="0" w:line="207" w:lineRule="exact"/>
        <w:rPr>
          <w:sz w:val="20"/>
          <w:szCs w:val="20"/>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person who is known to be the beneficial owner of more than 5% of any class of the Company’s outstanding common stock;</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Company’s named executive officers, directors and director nominees;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executive officers and directors as a group.</w:t>
      </w:r>
    </w:p>
    <w:p>
      <w:pPr>
        <w:spacing w:after="0" w:line="198"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Beneficial ownership is determined according to the rules of the SEC, which generally provide that a person has beneficial ownership of a security if he, she or it possesses sole or shared voting or investment power over that security, including options and warrants that are currently exercisable or exercisable within 60 days. Except as described in the footnotes below and subject to applicable community property laws and similar laws, we believe that each person listed below has sole voting and investment power with respect to such shares.</w:t>
      </w:r>
    </w:p>
    <w:p>
      <w:pPr>
        <w:spacing w:after="0" w:line="139" w:lineRule="exact"/>
        <w:rPr>
          <w:sz w:val="20"/>
          <w:szCs w:val="20"/>
          <w:color w:val="auto"/>
        </w:rPr>
      </w:pPr>
    </w:p>
    <w:p>
      <w:pPr>
        <w:ind w:right="260" w:firstLine="324"/>
        <w:spacing w:after="0" w:line="282" w:lineRule="auto"/>
        <w:rPr>
          <w:sz w:val="20"/>
          <w:szCs w:val="20"/>
          <w:color w:val="auto"/>
        </w:rPr>
      </w:pPr>
      <w:r>
        <w:rPr>
          <w:rFonts w:ascii="Times New Roman" w:cs="Times New Roman" w:eastAsia="Times New Roman" w:hAnsi="Times New Roman"/>
          <w:sz w:val="18"/>
          <w:szCs w:val="18"/>
          <w:color w:val="auto"/>
        </w:rPr>
        <w:t>The beneficial ownership of the Company common stock below is based on 47,037,195 shares of Class A common stock, 44,354,908.737 shares of Class B-1 common stock and 1,964,044.000 shares of Class B-2 common stock issued and outstanding as of March 30,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220"/>
          </w:cols>
          <w:pgMar w:left="320" w:top="1440" w:right="359" w:bottom="1440" w:gutter="0" w:footer="0" w:header="0"/>
        </w:sectPr>
      </w:pPr>
    </w:p>
    <w:bookmarkStart w:id="31" w:name="page32"/>
    <w:bookmarkEnd w:id="31"/>
    <w:p>
      <w:pPr>
        <w:spacing w:after="0" w:line="200" w:lineRule="exact"/>
        <w:rPr>
          <w:sz w:val="20"/>
          <w:szCs w:val="20"/>
          <w:color w:val="auto"/>
        </w:rPr>
      </w:pPr>
    </w:p>
    <w:p>
      <w:pPr>
        <w:spacing w:after="0" w:line="23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1"/>
          <w:szCs w:val="11"/>
          <w:b w:val="1"/>
          <w:bCs w:val="1"/>
          <w:color w:val="auto"/>
        </w:rPr>
        <w:t>Name and Address of Beneficial Owner</w:t>
      </w:r>
      <w:r>
        <w:rPr>
          <w:rFonts w:ascii="Times New Roman" w:cs="Times New Roman" w:eastAsia="Times New Roman" w:hAnsi="Times New Roman"/>
          <w:sz w:val="14"/>
          <w:szCs w:val="14"/>
          <w:b w:val="1"/>
          <w:bCs w:val="1"/>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185991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859915" cy="8890"/>
                    </a:xfrm>
                    <a:prstGeom prst="rect">
                      <a:avLst/>
                    </a:prstGeom>
                    <a:noFill/>
                  </pic:spPr>
                </pic:pic>
              </a:graphicData>
            </a:graphic>
          </wp:anchor>
        </w:drawing>
      </w:r>
    </w:p>
    <w:p>
      <w:pPr>
        <w:spacing w:after="0" w:line="4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Greater than 5% Beneficial Owners</w:t>
      </w:r>
    </w:p>
    <w:p>
      <w:pPr>
        <w:spacing w:after="0" w:line="10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Wellington Management Group LLP</w:t>
      </w:r>
      <w:r>
        <w:rPr>
          <w:rFonts w:ascii="Times New Roman" w:cs="Times New Roman" w:eastAsia="Times New Roman" w:hAnsi="Times New Roman"/>
          <w:sz w:val="18"/>
          <w:szCs w:val="18"/>
          <w:color w:val="auto"/>
          <w:vertAlign w:val="superscript"/>
        </w:rPr>
        <w:t>(2)</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Westwood Management Corp</w:t>
      </w:r>
      <w:r>
        <w:rPr>
          <w:rFonts w:ascii="Times New Roman" w:cs="Times New Roman" w:eastAsia="Times New Roman" w:hAnsi="Times New Roman"/>
          <w:sz w:val="18"/>
          <w:szCs w:val="18"/>
          <w:color w:val="auto"/>
          <w:vertAlign w:val="superscript"/>
        </w:rPr>
        <w:t>(3)</w:t>
      </w:r>
    </w:p>
    <w:p>
      <w:pPr>
        <w:spacing w:after="0" w:line="66" w:lineRule="exact"/>
        <w:rPr>
          <w:sz w:val="20"/>
          <w:szCs w:val="20"/>
          <w:color w:val="auto"/>
        </w:rPr>
      </w:pPr>
    </w:p>
    <w:p>
      <w:pPr>
        <w:ind w:left="20"/>
        <w:spacing w:after="0" w:line="251" w:lineRule="auto"/>
        <w:rPr>
          <w:sz w:val="20"/>
          <w:szCs w:val="20"/>
          <w:color w:val="auto"/>
        </w:rPr>
      </w:pPr>
      <w:r>
        <w:rPr>
          <w:rFonts w:ascii="Times New Roman" w:cs="Times New Roman" w:eastAsia="Times New Roman" w:hAnsi="Times New Roman"/>
          <w:sz w:val="14"/>
          <w:szCs w:val="14"/>
          <w:color w:val="auto"/>
        </w:rPr>
        <w:t>Fidelity Management &amp; Research Company, LLC</w:t>
      </w:r>
      <w:r>
        <w:rPr>
          <w:rFonts w:ascii="Times New Roman" w:cs="Times New Roman" w:eastAsia="Times New Roman" w:hAnsi="Times New Roman"/>
          <w:sz w:val="18"/>
          <w:szCs w:val="18"/>
          <w:color w:val="auto"/>
          <w:vertAlign w:val="superscript"/>
        </w:rPr>
        <w:t>(4)</w:t>
      </w:r>
    </w:p>
    <w:p>
      <w:pPr>
        <w:spacing w:after="0" w:line="1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Samlyn Capital, LLC</w:t>
      </w:r>
      <w:r>
        <w:rPr>
          <w:rFonts w:ascii="Times New Roman" w:cs="Times New Roman" w:eastAsia="Times New Roman" w:hAnsi="Times New Roman"/>
          <w:sz w:val="18"/>
          <w:szCs w:val="18"/>
          <w:color w:val="auto"/>
          <w:vertAlign w:val="superscript"/>
        </w:rPr>
        <w:t>(5)</w:t>
      </w:r>
    </w:p>
    <w:p>
      <w:pPr>
        <w:spacing w:after="0" w:line="66" w:lineRule="exact"/>
        <w:rPr>
          <w:sz w:val="20"/>
          <w:szCs w:val="20"/>
          <w:color w:val="auto"/>
        </w:rPr>
      </w:pPr>
    </w:p>
    <w:p>
      <w:pPr>
        <w:ind w:left="20"/>
        <w:spacing w:after="0" w:line="251" w:lineRule="auto"/>
        <w:rPr>
          <w:sz w:val="20"/>
          <w:szCs w:val="20"/>
          <w:color w:val="auto"/>
        </w:rPr>
      </w:pPr>
      <w:r>
        <w:rPr>
          <w:rFonts w:ascii="Times New Roman" w:cs="Times New Roman" w:eastAsia="Times New Roman" w:hAnsi="Times New Roman"/>
          <w:sz w:val="14"/>
          <w:szCs w:val="14"/>
          <w:color w:val="auto"/>
        </w:rPr>
        <w:t xml:space="preserve">Schroder Investment Management North America Inc </w:t>
      </w:r>
      <w:r>
        <w:rPr>
          <w:rFonts w:ascii="Times New Roman" w:cs="Times New Roman" w:eastAsia="Times New Roman" w:hAnsi="Times New Roman"/>
          <w:sz w:val="18"/>
          <w:szCs w:val="18"/>
          <w:color w:val="auto"/>
          <w:vertAlign w:val="superscript"/>
        </w:rPr>
        <w:t>(6)</w:t>
      </w:r>
    </w:p>
    <w:p>
      <w:pPr>
        <w:spacing w:after="0" w:line="17" w:lineRule="exact"/>
        <w:rPr>
          <w:sz w:val="20"/>
          <w:szCs w:val="20"/>
          <w:color w:val="auto"/>
        </w:rPr>
      </w:pPr>
    </w:p>
    <w:p>
      <w:pPr>
        <w:ind w:left="20" w:right="540"/>
        <w:spacing w:after="0" w:line="331" w:lineRule="auto"/>
        <w:rPr>
          <w:sz w:val="20"/>
          <w:szCs w:val="20"/>
          <w:color w:val="auto"/>
        </w:rPr>
      </w:pPr>
      <w:r>
        <w:rPr>
          <w:rFonts w:ascii="Times New Roman" w:cs="Times New Roman" w:eastAsia="Times New Roman" w:hAnsi="Times New Roman"/>
          <w:sz w:val="14"/>
          <w:szCs w:val="14"/>
          <w:color w:val="auto"/>
        </w:rPr>
        <w:t>Basswood Capital Management L.L.C.</w:t>
      </w:r>
      <w:r>
        <w:rPr>
          <w:rFonts w:ascii="Times New Roman" w:cs="Times New Roman" w:eastAsia="Times New Roman" w:hAnsi="Times New Roman"/>
          <w:sz w:val="18"/>
          <w:szCs w:val="18"/>
          <w:color w:val="auto"/>
          <w:vertAlign w:val="superscript"/>
        </w:rPr>
        <w:t>(7)</w:t>
      </w:r>
      <w:r>
        <w:rPr>
          <w:rFonts w:ascii="Times New Roman" w:cs="Times New Roman" w:eastAsia="Times New Roman" w:hAnsi="Times New Roman"/>
          <w:sz w:val="14"/>
          <w:szCs w:val="14"/>
          <w:color w:val="auto"/>
        </w:rPr>
        <w:t xml:space="preserve"> Adage Capital Partners GP, L.L.C.</w:t>
      </w:r>
      <w:r>
        <w:rPr>
          <w:rFonts w:ascii="Times New Roman" w:cs="Times New Roman" w:eastAsia="Times New Roman" w:hAnsi="Times New Roman"/>
          <w:sz w:val="18"/>
          <w:szCs w:val="18"/>
          <w:color w:val="auto"/>
          <w:vertAlign w:val="superscript"/>
        </w:rPr>
        <w:t>(8)</w:t>
      </w:r>
      <w:r>
        <w:rPr>
          <w:rFonts w:ascii="Times New Roman" w:cs="Times New Roman" w:eastAsia="Times New Roman" w:hAnsi="Times New Roman"/>
          <w:sz w:val="14"/>
          <w:szCs w:val="14"/>
          <w:color w:val="auto"/>
        </w:rPr>
        <w:t xml:space="preserve"> Bay Bond Partners, L.P.</w:t>
      </w:r>
      <w:r>
        <w:rPr>
          <w:rFonts w:ascii="Times New Roman" w:cs="Times New Roman" w:eastAsia="Times New Roman" w:hAnsi="Times New Roman"/>
          <w:sz w:val="18"/>
          <w:szCs w:val="18"/>
          <w:color w:val="auto"/>
          <w:vertAlign w:val="superscript"/>
        </w:rPr>
        <w:t>(9)</w:t>
      </w:r>
      <w:r>
        <w:rPr>
          <w:rFonts w:ascii="Times New Roman" w:cs="Times New Roman" w:eastAsia="Times New Roman" w:hAnsi="Times New Roman"/>
          <w:sz w:val="14"/>
          <w:szCs w:val="14"/>
          <w:color w:val="auto"/>
        </w:rPr>
        <w:t xml:space="preserve"> PWP Professional Partners LP</w:t>
      </w:r>
    </w:p>
    <w:p>
      <w:pPr>
        <w:spacing w:after="0" w:line="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TWCL US Inc.</w:t>
      </w:r>
    </w:p>
    <w:p>
      <w:pPr>
        <w:spacing w:after="0" w:line="1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Red Hook Capital LLC</w:t>
      </w:r>
    </w:p>
    <w:p>
      <w:pPr>
        <w:spacing w:after="0" w:line="107" w:lineRule="exact"/>
        <w:rPr>
          <w:sz w:val="20"/>
          <w:szCs w:val="20"/>
          <w:color w:val="auto"/>
        </w:rPr>
      </w:pPr>
    </w:p>
    <w:p>
      <w:pPr>
        <w:ind w:left="180" w:right="300" w:hanging="161"/>
        <w:spacing w:after="0" w:line="244" w:lineRule="auto"/>
        <w:rPr>
          <w:sz w:val="20"/>
          <w:szCs w:val="20"/>
          <w:color w:val="auto"/>
        </w:rPr>
      </w:pPr>
      <w:r>
        <w:rPr>
          <w:rFonts w:ascii="Times New Roman" w:cs="Times New Roman" w:eastAsia="Times New Roman" w:hAnsi="Times New Roman"/>
          <w:sz w:val="14"/>
          <w:szCs w:val="14"/>
          <w:b w:val="1"/>
          <w:bCs w:val="1"/>
          <w:color w:val="auto"/>
        </w:rPr>
        <w:t>Executive Officers, Directors and Director Nominees</w:t>
      </w:r>
    </w:p>
    <w:p>
      <w:pPr>
        <w:spacing w:after="0" w:line="12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Peter A. Weinberg</w:t>
      </w:r>
    </w:p>
    <w:p>
      <w:pPr>
        <w:spacing w:after="0" w:line="1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Joseph R. Perella</w:t>
      </w:r>
    </w:p>
    <w:p>
      <w:pPr>
        <w:spacing w:after="0" w:line="1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Robert K. Steel</w:t>
      </w:r>
    </w:p>
    <w:p>
      <w:pPr>
        <w:spacing w:after="0" w:line="1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Gary S. Barancik</w:t>
      </w:r>
    </w:p>
    <w:p>
      <w:pPr>
        <w:spacing w:after="0" w:line="1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Dietrich Becker</w:t>
      </w:r>
    </w:p>
    <w:p>
      <w:pPr>
        <w:spacing w:after="0" w:line="1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Andrew Bednar</w:t>
      </w:r>
    </w:p>
    <w:p>
      <w:pPr>
        <w:spacing w:after="0" w:line="1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Vladimir Shendelman</w:t>
      </w:r>
    </w:p>
    <w:p>
      <w:pPr>
        <w:spacing w:after="0" w:line="10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Jorma Ollila</w:t>
      </w:r>
    </w:p>
    <w:p>
      <w:pPr>
        <w:spacing w:after="0" w:line="10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Ivan G. Seidenberg</w:t>
      </w:r>
    </w:p>
    <w:p>
      <w:pPr>
        <w:spacing w:after="0" w:line="10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Jane C. Sherburne</w:t>
      </w:r>
    </w:p>
    <w:p>
      <w:pPr>
        <w:spacing w:after="0" w:line="10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Daniel G. Cohen</w:t>
      </w:r>
    </w:p>
    <w:p>
      <w:pPr>
        <w:spacing w:after="0" w:line="10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Elizabeth (Beth) Cogan Fascitelli</w:t>
      </w:r>
    </w:p>
    <w:p>
      <w:pPr>
        <w:spacing w:after="0" w:line="10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Kristin W. Mugford</w:t>
      </w:r>
    </w:p>
    <w:p>
      <w:pPr>
        <w:spacing w:after="0" w:line="109" w:lineRule="exact"/>
        <w:rPr>
          <w:sz w:val="20"/>
          <w:szCs w:val="20"/>
          <w:color w:val="auto"/>
        </w:rPr>
      </w:pPr>
    </w:p>
    <w:p>
      <w:pPr>
        <w:ind w:left="20" w:right="20"/>
        <w:spacing w:after="0" w:line="241" w:lineRule="auto"/>
        <w:rPr>
          <w:sz w:val="20"/>
          <w:szCs w:val="20"/>
          <w:color w:val="auto"/>
        </w:rPr>
      </w:pPr>
      <w:r>
        <w:rPr>
          <w:rFonts w:ascii="Times New Roman" w:cs="Times New Roman" w:eastAsia="Times New Roman" w:hAnsi="Times New Roman"/>
          <w:sz w:val="14"/>
          <w:szCs w:val="14"/>
          <w:color w:val="auto"/>
        </w:rPr>
        <w:t>All company's directors and executive officers as a group (11 persons)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w:t>
      </w:r>
    </w:p>
    <w:p>
      <w:pPr>
        <w:spacing w:after="0" w:line="20" w:lineRule="exact"/>
        <w:rPr>
          <w:sz w:val="20"/>
          <w:szCs w:val="20"/>
          <w:color w:val="auto"/>
        </w:rPr>
      </w:pPr>
      <w:r>
        <w:rPr>
          <w:sz w:val="20"/>
          <w:szCs w:val="20"/>
          <w:color w:val="auto"/>
        </w:rPr>
        <w:br w:type="column"/>
      </w:r>
    </w:p>
    <w:p>
      <w:pPr>
        <w:spacing w:after="0" w:line="14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9"/>
        </w:trPr>
        <w:tc>
          <w:tcPr>
            <w:tcW w:w="1680" w:type="dxa"/>
            <w:vAlign w:val="bottom"/>
            <w:tcBorders>
              <w:top w:val="single" w:sz="8" w:color="auto"/>
              <w:bottom w:val="single" w:sz="8" w:color="auto"/>
            </w:tcBorders>
            <w:gridSpan w:val="3"/>
          </w:tcPr>
          <w:p>
            <w:pPr>
              <w:ind w:left="560"/>
              <w:spacing w:after="0"/>
              <w:rPr>
                <w:sz w:val="20"/>
                <w:szCs w:val="20"/>
                <w:color w:val="auto"/>
              </w:rPr>
            </w:pPr>
            <w:r>
              <w:rPr>
                <w:rFonts w:ascii="Times New Roman" w:cs="Times New Roman" w:eastAsia="Times New Roman" w:hAnsi="Times New Roman"/>
                <w:sz w:val="11"/>
                <w:szCs w:val="11"/>
                <w:b w:val="1"/>
                <w:bCs w:val="1"/>
                <w:color w:val="auto"/>
                <w:w w:val="99"/>
              </w:rPr>
              <w:t>Class A Common Stock</w:t>
            </w:r>
          </w:p>
        </w:tc>
        <w:tc>
          <w:tcPr>
            <w:tcW w:w="560" w:type="dxa"/>
            <w:vAlign w:val="bottom"/>
            <w:tcBorders>
              <w:top w:val="single" w:sz="8" w:color="auto"/>
              <w:bottom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720" w:type="dxa"/>
            <w:vAlign w:val="bottom"/>
            <w:tcBorders>
              <w:top w:val="single" w:sz="8" w:color="auto"/>
              <w:bottom w:val="single" w:sz="8" w:color="auto"/>
            </w:tcBorders>
            <w:gridSpan w:val="3"/>
          </w:tcPr>
          <w:p>
            <w:pPr>
              <w:ind w:left="540"/>
              <w:spacing w:after="0"/>
              <w:rPr>
                <w:sz w:val="20"/>
                <w:szCs w:val="20"/>
                <w:color w:val="auto"/>
              </w:rPr>
            </w:pPr>
            <w:r>
              <w:rPr>
                <w:rFonts w:ascii="Times New Roman" w:cs="Times New Roman" w:eastAsia="Times New Roman" w:hAnsi="Times New Roman"/>
                <w:sz w:val="11"/>
                <w:szCs w:val="11"/>
                <w:b w:val="1"/>
                <w:bCs w:val="1"/>
                <w:color w:val="auto"/>
                <w:w w:val="97"/>
              </w:rPr>
              <w:t>Class B-1 Common Stock</w:t>
            </w:r>
          </w:p>
        </w:tc>
        <w:tc>
          <w:tcPr>
            <w:tcW w:w="520" w:type="dxa"/>
            <w:vAlign w:val="bottom"/>
            <w:tcBorders>
              <w:top w:val="single" w:sz="8" w:color="auto"/>
              <w:bottom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720" w:type="dxa"/>
            <w:vAlign w:val="bottom"/>
            <w:tcBorders>
              <w:top w:val="single" w:sz="8" w:color="auto"/>
              <w:bottom w:val="single" w:sz="8" w:color="auto"/>
            </w:tcBorders>
            <w:gridSpan w:val="3"/>
          </w:tcPr>
          <w:p>
            <w:pPr>
              <w:ind w:left="540"/>
              <w:spacing w:after="0"/>
              <w:rPr>
                <w:sz w:val="20"/>
                <w:szCs w:val="20"/>
                <w:color w:val="auto"/>
              </w:rPr>
            </w:pPr>
            <w:r>
              <w:rPr>
                <w:rFonts w:ascii="Times New Roman" w:cs="Times New Roman" w:eastAsia="Times New Roman" w:hAnsi="Times New Roman"/>
                <w:sz w:val="11"/>
                <w:szCs w:val="11"/>
                <w:b w:val="1"/>
                <w:bCs w:val="1"/>
                <w:color w:val="auto"/>
                <w:w w:val="97"/>
              </w:rPr>
              <w:t>Class B-2 Common Stock</w:t>
            </w:r>
          </w:p>
        </w:tc>
        <w:tc>
          <w:tcPr>
            <w:tcW w:w="520" w:type="dxa"/>
            <w:vAlign w:val="bottom"/>
            <w:tcBorders>
              <w:top w:val="single" w:sz="8" w:color="auto"/>
              <w:bottom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20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94"/>
        </w:trPr>
        <w:tc>
          <w:tcPr>
            <w:tcW w:w="1200" w:type="dxa"/>
            <w:vAlign w:val="bottom"/>
            <w:vMerge w:val="restart"/>
          </w:tcPr>
          <w:p>
            <w:pPr>
              <w:ind w:left="180"/>
              <w:spacing w:after="0"/>
              <w:rPr>
                <w:sz w:val="20"/>
                <w:szCs w:val="20"/>
                <w:color w:val="auto"/>
              </w:rPr>
            </w:pPr>
            <w:r>
              <w:rPr>
                <w:rFonts w:ascii="Times New Roman" w:cs="Times New Roman" w:eastAsia="Times New Roman" w:hAnsi="Times New Roman"/>
                <w:sz w:val="11"/>
                <w:szCs w:val="11"/>
                <w:b w:val="1"/>
                <w:bCs w:val="1"/>
                <w:color w:val="auto"/>
              </w:rPr>
              <w:t>Number of Shares</w:t>
            </w:r>
          </w:p>
        </w:tc>
        <w:tc>
          <w:tcPr>
            <w:tcW w:w="80" w:type="dxa"/>
            <w:vAlign w:val="bottom"/>
            <w:vMerge w:val="restart"/>
          </w:tcPr>
          <w:p>
            <w:pPr>
              <w:spacing w:after="0"/>
              <w:rPr>
                <w:sz w:val="8"/>
                <w:szCs w:val="8"/>
                <w:color w:val="auto"/>
              </w:rPr>
            </w:pPr>
          </w:p>
        </w:tc>
        <w:tc>
          <w:tcPr>
            <w:tcW w:w="400" w:type="dxa"/>
            <w:vAlign w:val="bottom"/>
            <w:vMerge w:val="restart"/>
          </w:tcPr>
          <w:p>
            <w:pPr>
              <w:spacing w:after="0"/>
              <w:rPr>
                <w:sz w:val="8"/>
                <w:szCs w:val="8"/>
                <w:color w:val="auto"/>
              </w:rPr>
            </w:pPr>
          </w:p>
        </w:tc>
        <w:tc>
          <w:tcPr>
            <w:tcW w:w="560" w:type="dxa"/>
            <w:vAlign w:val="bottom"/>
            <w:vMerge w:val="restart"/>
          </w:tcPr>
          <w:p>
            <w:pPr>
              <w:jc w:val="right"/>
              <w:ind w:right="366"/>
              <w:spacing w:after="0"/>
              <w:rPr>
                <w:sz w:val="20"/>
                <w:szCs w:val="20"/>
                <w:color w:val="auto"/>
              </w:rPr>
            </w:pPr>
            <w:r>
              <w:rPr>
                <w:rFonts w:ascii="Times New Roman" w:cs="Times New Roman" w:eastAsia="Times New Roman" w:hAnsi="Times New Roman"/>
                <w:sz w:val="11"/>
                <w:szCs w:val="11"/>
                <w:b w:val="1"/>
                <w:bCs w:val="1"/>
                <w:color w:val="auto"/>
              </w:rPr>
              <w:t>%</w:t>
            </w:r>
          </w:p>
        </w:tc>
        <w:tc>
          <w:tcPr>
            <w:tcW w:w="80" w:type="dxa"/>
            <w:vAlign w:val="bottom"/>
          </w:tcPr>
          <w:p>
            <w:pPr>
              <w:spacing w:after="0"/>
              <w:rPr>
                <w:sz w:val="8"/>
                <w:szCs w:val="8"/>
                <w:color w:val="auto"/>
              </w:rPr>
            </w:pPr>
          </w:p>
        </w:tc>
        <w:tc>
          <w:tcPr>
            <w:tcW w:w="1200" w:type="dxa"/>
            <w:vAlign w:val="bottom"/>
            <w:vMerge w:val="restart"/>
          </w:tcPr>
          <w:p>
            <w:pPr>
              <w:ind w:left="180"/>
              <w:spacing w:after="0"/>
              <w:rPr>
                <w:sz w:val="20"/>
                <w:szCs w:val="20"/>
                <w:color w:val="auto"/>
              </w:rPr>
            </w:pPr>
            <w:r>
              <w:rPr>
                <w:rFonts w:ascii="Times New Roman" w:cs="Times New Roman" w:eastAsia="Times New Roman" w:hAnsi="Times New Roman"/>
                <w:sz w:val="11"/>
                <w:szCs w:val="11"/>
                <w:b w:val="1"/>
                <w:bCs w:val="1"/>
                <w:color w:val="auto"/>
              </w:rPr>
              <w:t>Number of Shares</w:t>
            </w:r>
          </w:p>
        </w:tc>
        <w:tc>
          <w:tcPr>
            <w:tcW w:w="100" w:type="dxa"/>
            <w:vAlign w:val="bottom"/>
            <w:vMerge w:val="restart"/>
          </w:tcPr>
          <w:p>
            <w:pPr>
              <w:spacing w:after="0"/>
              <w:rPr>
                <w:sz w:val="8"/>
                <w:szCs w:val="8"/>
                <w:color w:val="auto"/>
              </w:rPr>
            </w:pPr>
          </w:p>
        </w:tc>
        <w:tc>
          <w:tcPr>
            <w:tcW w:w="420" w:type="dxa"/>
            <w:vAlign w:val="bottom"/>
            <w:vMerge w:val="restart"/>
          </w:tcPr>
          <w:p>
            <w:pPr>
              <w:spacing w:after="0"/>
              <w:rPr>
                <w:sz w:val="8"/>
                <w:szCs w:val="8"/>
                <w:color w:val="auto"/>
              </w:rPr>
            </w:pPr>
          </w:p>
        </w:tc>
        <w:tc>
          <w:tcPr>
            <w:tcW w:w="520" w:type="dxa"/>
            <w:vAlign w:val="bottom"/>
            <w:vMerge w:val="restart"/>
          </w:tcPr>
          <w:p>
            <w:pPr>
              <w:jc w:val="right"/>
              <w:ind w:right="346"/>
              <w:spacing w:after="0"/>
              <w:rPr>
                <w:sz w:val="20"/>
                <w:szCs w:val="20"/>
                <w:color w:val="auto"/>
              </w:rPr>
            </w:pPr>
            <w:r>
              <w:rPr>
                <w:rFonts w:ascii="Times New Roman" w:cs="Times New Roman" w:eastAsia="Times New Roman" w:hAnsi="Times New Roman"/>
                <w:sz w:val="11"/>
                <w:szCs w:val="11"/>
                <w:b w:val="1"/>
                <w:bCs w:val="1"/>
                <w:color w:val="auto"/>
                <w:w w:val="90"/>
              </w:rPr>
              <w:t>%</w:t>
            </w:r>
          </w:p>
        </w:tc>
        <w:tc>
          <w:tcPr>
            <w:tcW w:w="100" w:type="dxa"/>
            <w:vAlign w:val="bottom"/>
          </w:tcPr>
          <w:p>
            <w:pPr>
              <w:spacing w:after="0"/>
              <w:rPr>
                <w:sz w:val="8"/>
                <w:szCs w:val="8"/>
                <w:color w:val="auto"/>
              </w:rPr>
            </w:pPr>
          </w:p>
        </w:tc>
        <w:tc>
          <w:tcPr>
            <w:tcW w:w="1200" w:type="dxa"/>
            <w:vAlign w:val="bottom"/>
            <w:vMerge w:val="restart"/>
          </w:tcPr>
          <w:p>
            <w:pPr>
              <w:ind w:left="180"/>
              <w:spacing w:after="0"/>
              <w:rPr>
                <w:sz w:val="20"/>
                <w:szCs w:val="20"/>
                <w:color w:val="auto"/>
              </w:rPr>
            </w:pPr>
            <w:r>
              <w:rPr>
                <w:rFonts w:ascii="Times New Roman" w:cs="Times New Roman" w:eastAsia="Times New Roman" w:hAnsi="Times New Roman"/>
                <w:sz w:val="11"/>
                <w:szCs w:val="11"/>
                <w:b w:val="1"/>
                <w:bCs w:val="1"/>
                <w:color w:val="auto"/>
              </w:rPr>
              <w:t>Number of Shares</w:t>
            </w:r>
          </w:p>
        </w:tc>
        <w:tc>
          <w:tcPr>
            <w:tcW w:w="100" w:type="dxa"/>
            <w:vAlign w:val="bottom"/>
            <w:vMerge w:val="restart"/>
          </w:tcPr>
          <w:p>
            <w:pPr>
              <w:spacing w:after="0"/>
              <w:rPr>
                <w:sz w:val="8"/>
                <w:szCs w:val="8"/>
                <w:color w:val="auto"/>
              </w:rPr>
            </w:pPr>
          </w:p>
        </w:tc>
        <w:tc>
          <w:tcPr>
            <w:tcW w:w="420" w:type="dxa"/>
            <w:vAlign w:val="bottom"/>
            <w:vMerge w:val="restart"/>
          </w:tcPr>
          <w:p>
            <w:pPr>
              <w:spacing w:after="0"/>
              <w:rPr>
                <w:sz w:val="8"/>
                <w:szCs w:val="8"/>
                <w:color w:val="auto"/>
              </w:rPr>
            </w:pPr>
          </w:p>
        </w:tc>
        <w:tc>
          <w:tcPr>
            <w:tcW w:w="520" w:type="dxa"/>
            <w:vAlign w:val="bottom"/>
            <w:vMerge w:val="restart"/>
          </w:tcPr>
          <w:p>
            <w:pPr>
              <w:jc w:val="right"/>
              <w:ind w:right="366"/>
              <w:spacing w:after="0"/>
              <w:rPr>
                <w:sz w:val="20"/>
                <w:szCs w:val="20"/>
                <w:color w:val="auto"/>
              </w:rPr>
            </w:pPr>
            <w:r>
              <w:rPr>
                <w:rFonts w:ascii="Times New Roman" w:cs="Times New Roman" w:eastAsia="Times New Roman" w:hAnsi="Times New Roman"/>
                <w:sz w:val="11"/>
                <w:szCs w:val="11"/>
                <w:b w:val="1"/>
                <w:bCs w:val="1"/>
                <w:color w:val="auto"/>
                <w:w w:val="72"/>
              </w:rPr>
              <w:t>%</w:t>
            </w:r>
          </w:p>
        </w:tc>
        <w:tc>
          <w:tcPr>
            <w:tcW w:w="100" w:type="dxa"/>
            <w:vAlign w:val="bottom"/>
          </w:tcPr>
          <w:p>
            <w:pPr>
              <w:spacing w:after="0"/>
              <w:rPr>
                <w:sz w:val="8"/>
                <w:szCs w:val="8"/>
                <w:color w:val="auto"/>
              </w:rPr>
            </w:pPr>
          </w:p>
        </w:tc>
        <w:tc>
          <w:tcPr>
            <w:tcW w:w="1200" w:type="dxa"/>
            <w:vAlign w:val="bottom"/>
          </w:tcPr>
          <w:p>
            <w:pPr>
              <w:jc w:val="center"/>
              <w:spacing w:after="0" w:line="95" w:lineRule="exact"/>
              <w:rPr>
                <w:sz w:val="20"/>
                <w:szCs w:val="20"/>
                <w:color w:val="auto"/>
              </w:rPr>
            </w:pPr>
            <w:r>
              <w:rPr>
                <w:rFonts w:ascii="Times New Roman" w:cs="Times New Roman" w:eastAsia="Times New Roman" w:hAnsi="Times New Roman"/>
                <w:sz w:val="10"/>
                <w:szCs w:val="10"/>
                <w:b w:val="1"/>
                <w:bCs w:val="1"/>
                <w:color w:val="auto"/>
              </w:rPr>
              <w:t>% of Combined Voting</w:t>
            </w:r>
          </w:p>
        </w:tc>
        <w:tc>
          <w:tcPr>
            <w:tcW w:w="0" w:type="dxa"/>
            <w:vAlign w:val="bottom"/>
          </w:tcPr>
          <w:p>
            <w:pPr>
              <w:spacing w:after="0"/>
              <w:rPr>
                <w:sz w:val="1"/>
                <w:szCs w:val="1"/>
                <w:color w:val="auto"/>
              </w:rPr>
            </w:pPr>
          </w:p>
        </w:tc>
      </w:tr>
      <w:tr>
        <w:trPr>
          <w:trHeight w:val="156"/>
        </w:trPr>
        <w:tc>
          <w:tcPr>
            <w:tcW w:w="1200" w:type="dxa"/>
            <w:vAlign w:val="bottom"/>
            <w:tcBorders>
              <w:bottom w:val="single" w:sz="8" w:color="auto"/>
            </w:tcBorders>
            <w:vMerge w:val="continue"/>
          </w:tcPr>
          <w:p>
            <w:pPr>
              <w:spacing w:after="0"/>
              <w:rPr>
                <w:sz w:val="13"/>
                <w:szCs w:val="13"/>
                <w:color w:val="auto"/>
              </w:rPr>
            </w:pPr>
          </w:p>
        </w:tc>
        <w:tc>
          <w:tcPr>
            <w:tcW w:w="80" w:type="dxa"/>
            <w:vAlign w:val="bottom"/>
            <w:vMerge w:val="continue"/>
          </w:tcPr>
          <w:p>
            <w:pPr>
              <w:spacing w:after="0"/>
              <w:rPr>
                <w:sz w:val="13"/>
                <w:szCs w:val="13"/>
                <w:color w:val="auto"/>
              </w:rPr>
            </w:pPr>
          </w:p>
        </w:tc>
        <w:tc>
          <w:tcPr>
            <w:tcW w:w="400" w:type="dxa"/>
            <w:vAlign w:val="bottom"/>
            <w:tcBorders>
              <w:bottom w:val="single" w:sz="8" w:color="auto"/>
            </w:tcBorders>
            <w:vMerge w:val="continue"/>
          </w:tcPr>
          <w:p>
            <w:pPr>
              <w:spacing w:after="0"/>
              <w:rPr>
                <w:sz w:val="13"/>
                <w:szCs w:val="13"/>
                <w:color w:val="auto"/>
              </w:rPr>
            </w:pPr>
          </w:p>
        </w:tc>
        <w:tc>
          <w:tcPr>
            <w:tcW w:w="560" w:type="dxa"/>
            <w:vAlign w:val="bottom"/>
            <w:tcBorders>
              <w:bottom w:val="single" w:sz="8" w:color="auto"/>
            </w:tcBorders>
            <w:vMerge w:val="continue"/>
          </w:tcPr>
          <w:p>
            <w:pPr>
              <w:spacing w:after="0"/>
              <w:rPr>
                <w:sz w:val="13"/>
                <w:szCs w:val="13"/>
                <w:color w:val="auto"/>
              </w:rPr>
            </w:pPr>
          </w:p>
        </w:tc>
        <w:tc>
          <w:tcPr>
            <w:tcW w:w="80" w:type="dxa"/>
            <w:vAlign w:val="bottom"/>
          </w:tcPr>
          <w:p>
            <w:pPr>
              <w:spacing w:after="0"/>
              <w:rPr>
                <w:sz w:val="13"/>
                <w:szCs w:val="13"/>
                <w:color w:val="auto"/>
              </w:rPr>
            </w:pPr>
          </w:p>
        </w:tc>
        <w:tc>
          <w:tcPr>
            <w:tcW w:w="1200" w:type="dxa"/>
            <w:vAlign w:val="bottom"/>
            <w:tcBorders>
              <w:bottom w:val="single" w:sz="8" w:color="auto"/>
            </w:tcBorders>
            <w:vMerge w:val="continue"/>
          </w:tcPr>
          <w:p>
            <w:pPr>
              <w:spacing w:after="0"/>
              <w:rPr>
                <w:sz w:val="13"/>
                <w:szCs w:val="13"/>
                <w:color w:val="auto"/>
              </w:rPr>
            </w:pPr>
          </w:p>
        </w:tc>
        <w:tc>
          <w:tcPr>
            <w:tcW w:w="100" w:type="dxa"/>
            <w:vAlign w:val="bottom"/>
            <w:vMerge w:val="continue"/>
          </w:tcPr>
          <w:p>
            <w:pPr>
              <w:spacing w:after="0"/>
              <w:rPr>
                <w:sz w:val="13"/>
                <w:szCs w:val="13"/>
                <w:color w:val="auto"/>
              </w:rPr>
            </w:pPr>
          </w:p>
        </w:tc>
        <w:tc>
          <w:tcPr>
            <w:tcW w:w="420" w:type="dxa"/>
            <w:vAlign w:val="bottom"/>
            <w:tcBorders>
              <w:bottom w:val="single" w:sz="8" w:color="auto"/>
            </w:tcBorders>
            <w:vMerge w:val="continue"/>
          </w:tcPr>
          <w:p>
            <w:pPr>
              <w:spacing w:after="0"/>
              <w:rPr>
                <w:sz w:val="13"/>
                <w:szCs w:val="13"/>
                <w:color w:val="auto"/>
              </w:rPr>
            </w:pPr>
          </w:p>
        </w:tc>
        <w:tc>
          <w:tcPr>
            <w:tcW w:w="520" w:type="dxa"/>
            <w:vAlign w:val="bottom"/>
            <w:tcBorders>
              <w:bottom w:val="single" w:sz="8" w:color="auto"/>
            </w:tcBorders>
            <w:vMerge w:val="continue"/>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tcBorders>
              <w:bottom w:val="single" w:sz="8" w:color="auto"/>
            </w:tcBorders>
            <w:vMerge w:val="continue"/>
          </w:tcPr>
          <w:p>
            <w:pPr>
              <w:spacing w:after="0"/>
              <w:rPr>
                <w:sz w:val="13"/>
                <w:szCs w:val="13"/>
                <w:color w:val="auto"/>
              </w:rPr>
            </w:pPr>
          </w:p>
        </w:tc>
        <w:tc>
          <w:tcPr>
            <w:tcW w:w="100" w:type="dxa"/>
            <w:vAlign w:val="bottom"/>
            <w:vMerge w:val="continue"/>
          </w:tcPr>
          <w:p>
            <w:pPr>
              <w:spacing w:after="0"/>
              <w:rPr>
                <w:sz w:val="13"/>
                <w:szCs w:val="13"/>
                <w:color w:val="auto"/>
              </w:rPr>
            </w:pPr>
          </w:p>
        </w:tc>
        <w:tc>
          <w:tcPr>
            <w:tcW w:w="420" w:type="dxa"/>
            <w:vAlign w:val="bottom"/>
            <w:tcBorders>
              <w:bottom w:val="single" w:sz="8" w:color="auto"/>
            </w:tcBorders>
            <w:vMerge w:val="continue"/>
          </w:tcPr>
          <w:p>
            <w:pPr>
              <w:spacing w:after="0"/>
              <w:rPr>
                <w:sz w:val="13"/>
                <w:szCs w:val="13"/>
                <w:color w:val="auto"/>
              </w:rPr>
            </w:pPr>
          </w:p>
        </w:tc>
        <w:tc>
          <w:tcPr>
            <w:tcW w:w="520" w:type="dxa"/>
            <w:vAlign w:val="bottom"/>
            <w:tcBorders>
              <w:bottom w:val="single" w:sz="8" w:color="auto"/>
            </w:tcBorders>
            <w:vMerge w:val="continue"/>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93"/>
              </w:rPr>
              <w:t>Power</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-1924685</wp:posOffset>
            </wp:positionH>
            <wp:positionV relativeFrom="paragraph">
              <wp:posOffset>154305</wp:posOffset>
            </wp:positionV>
            <wp:extent cx="7132320" cy="1714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95" w:lineRule="exact"/>
        <w:rPr>
          <w:sz w:val="20"/>
          <w:szCs w:val="20"/>
          <w:color w:val="auto"/>
        </w:rPr>
      </w:pPr>
    </w:p>
    <w:tbl>
      <w:tblPr>
        <w:tblLayout w:type="fixed"/>
        <w:tblInd w:w="580" w:type="dxa"/>
        <w:tblCellMar>
          <w:top w:w="0" w:type="dxa"/>
          <w:left w:w="0" w:type="dxa"/>
          <w:bottom w:w="0" w:type="dxa"/>
          <w:right w:w="0" w:type="dxa"/>
        </w:tblCellMar>
      </w:tblPr>
      <w:tr>
        <w:trPr>
          <w:trHeight w:val="188"/>
        </w:trPr>
        <w:tc>
          <w:tcPr>
            <w:tcW w:w="900" w:type="dxa"/>
            <w:vAlign w:val="bottom"/>
          </w:tcPr>
          <w:p>
            <w:pPr>
              <w:jc w:val="right"/>
              <w:ind w:right="231"/>
              <w:spacing w:after="0"/>
              <w:rPr>
                <w:sz w:val="20"/>
                <w:szCs w:val="20"/>
                <w:color w:val="auto"/>
              </w:rPr>
            </w:pPr>
            <w:r>
              <w:rPr>
                <w:rFonts w:ascii="Times New Roman" w:cs="Times New Roman" w:eastAsia="Times New Roman" w:hAnsi="Times New Roman"/>
                <w:sz w:val="14"/>
                <w:szCs w:val="14"/>
                <w:color w:val="auto"/>
              </w:rPr>
              <w:t>5,670,939</w:t>
            </w:r>
          </w:p>
        </w:tc>
        <w:tc>
          <w:tcPr>
            <w:tcW w:w="98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11.97%</w:t>
            </w:r>
          </w:p>
        </w:tc>
        <w:tc>
          <w:tcPr>
            <w:tcW w:w="1400" w:type="dxa"/>
            <w:vAlign w:val="bottom"/>
          </w:tcPr>
          <w:p>
            <w:pPr>
              <w:jc w:val="right"/>
              <w:ind w:right="26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jc w:val="right"/>
              <w:ind w:right="288"/>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Pr>
          <w:p>
            <w:pPr>
              <w:jc w:val="right"/>
              <w:ind w:right="228"/>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Pr>
          <w:p>
            <w:pPr>
              <w:jc w:val="right"/>
              <w:ind w:right="36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1.15%</w:t>
            </w:r>
          </w:p>
        </w:tc>
      </w:tr>
      <w:tr>
        <w:trPr>
          <w:trHeight w:val="270"/>
        </w:trPr>
        <w:tc>
          <w:tcPr>
            <w:tcW w:w="900" w:type="dxa"/>
            <w:vAlign w:val="bottom"/>
          </w:tcPr>
          <w:p>
            <w:pPr>
              <w:jc w:val="right"/>
              <w:ind w:right="231"/>
              <w:spacing w:after="0"/>
              <w:rPr>
                <w:sz w:val="20"/>
                <w:szCs w:val="20"/>
                <w:color w:val="auto"/>
              </w:rPr>
            </w:pPr>
            <w:r>
              <w:rPr>
                <w:rFonts w:ascii="Times New Roman" w:cs="Times New Roman" w:eastAsia="Times New Roman" w:hAnsi="Times New Roman"/>
                <w:sz w:val="14"/>
                <w:szCs w:val="14"/>
                <w:color w:val="auto"/>
              </w:rPr>
              <w:t>3,888,240</w:t>
            </w:r>
          </w:p>
        </w:tc>
        <w:tc>
          <w:tcPr>
            <w:tcW w:w="98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8.27%</w:t>
            </w:r>
          </w:p>
        </w:tc>
        <w:tc>
          <w:tcPr>
            <w:tcW w:w="1400" w:type="dxa"/>
            <w:vAlign w:val="bottom"/>
          </w:tcPr>
          <w:p>
            <w:pPr>
              <w:jc w:val="right"/>
              <w:ind w:right="26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jc w:val="right"/>
              <w:ind w:right="288"/>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Pr>
          <w:p>
            <w:pPr>
              <w:jc w:val="right"/>
              <w:ind w:right="228"/>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Pr>
          <w:p>
            <w:pPr>
              <w:jc w:val="right"/>
              <w:ind w:right="36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405"/>
        </w:trPr>
        <w:tc>
          <w:tcPr>
            <w:tcW w:w="900" w:type="dxa"/>
            <w:vAlign w:val="bottom"/>
          </w:tcPr>
          <w:p>
            <w:pPr>
              <w:jc w:val="right"/>
              <w:ind w:right="231"/>
              <w:spacing w:after="0"/>
              <w:rPr>
                <w:sz w:val="20"/>
                <w:szCs w:val="20"/>
                <w:color w:val="auto"/>
              </w:rPr>
            </w:pPr>
            <w:r>
              <w:rPr>
                <w:rFonts w:ascii="Times New Roman" w:cs="Times New Roman" w:eastAsia="Times New Roman" w:hAnsi="Times New Roman"/>
                <w:sz w:val="14"/>
                <w:szCs w:val="14"/>
                <w:color w:val="auto"/>
              </w:rPr>
              <w:t>3,750,439</w:t>
            </w:r>
          </w:p>
        </w:tc>
        <w:tc>
          <w:tcPr>
            <w:tcW w:w="98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7.97%</w:t>
            </w:r>
          </w:p>
        </w:tc>
        <w:tc>
          <w:tcPr>
            <w:tcW w:w="1400" w:type="dxa"/>
            <w:vAlign w:val="bottom"/>
          </w:tcPr>
          <w:p>
            <w:pPr>
              <w:jc w:val="right"/>
              <w:ind w:right="26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jc w:val="right"/>
              <w:ind w:right="288"/>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Pr>
          <w:p>
            <w:pPr>
              <w:jc w:val="right"/>
              <w:ind w:right="228"/>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Pr>
          <w:p>
            <w:pPr>
              <w:jc w:val="right"/>
              <w:ind w:right="36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70"/>
        </w:trPr>
        <w:tc>
          <w:tcPr>
            <w:tcW w:w="900" w:type="dxa"/>
            <w:vAlign w:val="bottom"/>
          </w:tcPr>
          <w:p>
            <w:pPr>
              <w:jc w:val="right"/>
              <w:ind w:right="231"/>
              <w:spacing w:after="0"/>
              <w:rPr>
                <w:sz w:val="20"/>
                <w:szCs w:val="20"/>
                <w:color w:val="auto"/>
              </w:rPr>
            </w:pPr>
            <w:r>
              <w:rPr>
                <w:rFonts w:ascii="Times New Roman" w:cs="Times New Roman" w:eastAsia="Times New Roman" w:hAnsi="Times New Roman"/>
                <w:sz w:val="14"/>
                <w:szCs w:val="14"/>
                <w:color w:val="auto"/>
              </w:rPr>
              <w:t>2,993,365</w:t>
            </w:r>
          </w:p>
        </w:tc>
        <w:tc>
          <w:tcPr>
            <w:tcW w:w="98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6.36%</w:t>
            </w:r>
          </w:p>
        </w:tc>
        <w:tc>
          <w:tcPr>
            <w:tcW w:w="1400" w:type="dxa"/>
            <w:vAlign w:val="bottom"/>
          </w:tcPr>
          <w:p>
            <w:pPr>
              <w:jc w:val="right"/>
              <w:ind w:right="26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jc w:val="right"/>
              <w:ind w:right="288"/>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Pr>
          <w:p>
            <w:pPr>
              <w:jc w:val="right"/>
              <w:ind w:right="228"/>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Pr>
          <w:p>
            <w:pPr>
              <w:jc w:val="right"/>
              <w:ind w:right="36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405"/>
        </w:trPr>
        <w:tc>
          <w:tcPr>
            <w:tcW w:w="900" w:type="dxa"/>
            <w:vAlign w:val="bottom"/>
          </w:tcPr>
          <w:p>
            <w:pPr>
              <w:jc w:val="right"/>
              <w:ind w:right="231"/>
              <w:spacing w:after="0"/>
              <w:rPr>
                <w:sz w:val="20"/>
                <w:szCs w:val="20"/>
                <w:color w:val="auto"/>
              </w:rPr>
            </w:pPr>
            <w:r>
              <w:rPr>
                <w:rFonts w:ascii="Times New Roman" w:cs="Times New Roman" w:eastAsia="Times New Roman" w:hAnsi="Times New Roman"/>
                <w:sz w:val="14"/>
                <w:szCs w:val="14"/>
                <w:color w:val="auto"/>
              </w:rPr>
              <w:t>2,983,912</w:t>
            </w:r>
          </w:p>
        </w:tc>
        <w:tc>
          <w:tcPr>
            <w:tcW w:w="98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6.34%</w:t>
            </w:r>
          </w:p>
        </w:tc>
        <w:tc>
          <w:tcPr>
            <w:tcW w:w="1400" w:type="dxa"/>
            <w:vAlign w:val="bottom"/>
          </w:tcPr>
          <w:p>
            <w:pPr>
              <w:jc w:val="right"/>
              <w:ind w:right="26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jc w:val="right"/>
              <w:ind w:right="288"/>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Pr>
          <w:p>
            <w:pPr>
              <w:jc w:val="right"/>
              <w:ind w:right="228"/>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Pr>
          <w:p>
            <w:pPr>
              <w:jc w:val="right"/>
              <w:ind w:right="36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70"/>
        </w:trPr>
        <w:tc>
          <w:tcPr>
            <w:tcW w:w="900" w:type="dxa"/>
            <w:vAlign w:val="bottom"/>
          </w:tcPr>
          <w:p>
            <w:pPr>
              <w:jc w:val="right"/>
              <w:ind w:right="231"/>
              <w:spacing w:after="0"/>
              <w:rPr>
                <w:sz w:val="20"/>
                <w:szCs w:val="20"/>
                <w:color w:val="auto"/>
              </w:rPr>
            </w:pPr>
            <w:r>
              <w:rPr>
                <w:rFonts w:ascii="Times New Roman" w:cs="Times New Roman" w:eastAsia="Times New Roman" w:hAnsi="Times New Roman"/>
                <w:sz w:val="14"/>
                <w:szCs w:val="14"/>
                <w:color w:val="auto"/>
              </w:rPr>
              <w:t>2,857,118</w:t>
            </w:r>
          </w:p>
        </w:tc>
        <w:tc>
          <w:tcPr>
            <w:tcW w:w="98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6.07%</w:t>
            </w:r>
          </w:p>
        </w:tc>
        <w:tc>
          <w:tcPr>
            <w:tcW w:w="1400" w:type="dxa"/>
            <w:vAlign w:val="bottom"/>
          </w:tcPr>
          <w:p>
            <w:pPr>
              <w:jc w:val="right"/>
              <w:ind w:right="26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jc w:val="right"/>
              <w:ind w:right="288"/>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Pr>
          <w:p>
            <w:pPr>
              <w:jc w:val="right"/>
              <w:ind w:right="228"/>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Pr>
          <w:p>
            <w:pPr>
              <w:jc w:val="right"/>
              <w:ind w:right="36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70"/>
        </w:trPr>
        <w:tc>
          <w:tcPr>
            <w:tcW w:w="900" w:type="dxa"/>
            <w:vAlign w:val="bottom"/>
          </w:tcPr>
          <w:p>
            <w:pPr>
              <w:jc w:val="right"/>
              <w:ind w:right="231"/>
              <w:spacing w:after="0"/>
              <w:rPr>
                <w:sz w:val="20"/>
                <w:szCs w:val="20"/>
                <w:color w:val="auto"/>
              </w:rPr>
            </w:pPr>
            <w:r>
              <w:rPr>
                <w:rFonts w:ascii="Times New Roman" w:cs="Times New Roman" w:eastAsia="Times New Roman" w:hAnsi="Times New Roman"/>
                <w:sz w:val="14"/>
                <w:szCs w:val="14"/>
                <w:color w:val="auto"/>
              </w:rPr>
              <w:t>2,538,768</w:t>
            </w:r>
          </w:p>
        </w:tc>
        <w:tc>
          <w:tcPr>
            <w:tcW w:w="98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5.40%</w:t>
            </w:r>
          </w:p>
        </w:tc>
        <w:tc>
          <w:tcPr>
            <w:tcW w:w="1400" w:type="dxa"/>
            <w:vAlign w:val="bottom"/>
          </w:tcPr>
          <w:p>
            <w:pPr>
              <w:jc w:val="right"/>
              <w:ind w:right="26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jc w:val="right"/>
              <w:ind w:right="288"/>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Pr>
          <w:p>
            <w:pPr>
              <w:jc w:val="right"/>
              <w:ind w:right="228"/>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Pr>
          <w:p>
            <w:pPr>
              <w:jc w:val="right"/>
              <w:ind w:right="36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70"/>
        </w:trPr>
        <w:tc>
          <w:tcPr>
            <w:tcW w:w="900" w:type="dxa"/>
            <w:vAlign w:val="bottom"/>
          </w:tcPr>
          <w:p>
            <w:pPr>
              <w:jc w:val="right"/>
              <w:ind w:right="231"/>
              <w:spacing w:after="0"/>
              <w:rPr>
                <w:sz w:val="20"/>
                <w:szCs w:val="20"/>
                <w:color w:val="auto"/>
              </w:rPr>
            </w:pPr>
            <w:r>
              <w:rPr>
                <w:rFonts w:ascii="Times New Roman" w:cs="Times New Roman" w:eastAsia="Times New Roman" w:hAnsi="Times New Roman"/>
                <w:sz w:val="14"/>
                <w:szCs w:val="14"/>
                <w:color w:val="auto"/>
              </w:rPr>
              <w:t>2,419,407</w:t>
            </w:r>
          </w:p>
        </w:tc>
        <w:tc>
          <w:tcPr>
            <w:tcW w:w="98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5.14%</w:t>
            </w:r>
          </w:p>
        </w:tc>
        <w:tc>
          <w:tcPr>
            <w:tcW w:w="1400" w:type="dxa"/>
            <w:vAlign w:val="bottom"/>
          </w:tcPr>
          <w:p>
            <w:pPr>
              <w:jc w:val="right"/>
              <w:ind w:right="26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jc w:val="right"/>
              <w:ind w:right="288"/>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Pr>
          <w:p>
            <w:pPr>
              <w:jc w:val="right"/>
              <w:ind w:right="228"/>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Pr>
          <w:p>
            <w:pPr>
              <w:jc w:val="right"/>
              <w:ind w:right="36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98"/>
        </w:trPr>
        <w:tc>
          <w:tcPr>
            <w:tcW w:w="900" w:type="dxa"/>
            <w:vAlign w:val="bottom"/>
          </w:tcPr>
          <w:p>
            <w:pPr>
              <w:jc w:val="right"/>
              <w:ind w:right="231"/>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tcPr>
          <w:p>
            <w:pPr>
              <w:jc w:val="right"/>
              <w:ind w:right="268"/>
              <w:spacing w:after="0"/>
              <w:rPr>
                <w:sz w:val="20"/>
                <w:szCs w:val="20"/>
                <w:color w:val="auto"/>
              </w:rPr>
            </w:pPr>
            <w:r>
              <w:rPr>
                <w:rFonts w:ascii="Times New Roman" w:cs="Times New Roman" w:eastAsia="Times New Roman" w:hAnsi="Times New Roman"/>
                <w:sz w:val="14"/>
                <w:szCs w:val="14"/>
                <w:color w:val="auto"/>
              </w:rPr>
              <w:t>44,354,909</w:t>
            </w:r>
            <w:r>
              <w:rPr>
                <w:rFonts w:ascii="Times New Roman" w:cs="Times New Roman" w:eastAsia="Times New Roman" w:hAnsi="Times New Roman"/>
                <w:sz w:val="18"/>
                <w:szCs w:val="18"/>
                <w:color w:val="auto"/>
                <w:vertAlign w:val="superscript"/>
              </w:rPr>
              <w:t>(10)</w:t>
            </w:r>
          </w:p>
        </w:tc>
        <w:tc>
          <w:tcPr>
            <w:tcW w:w="1060" w:type="dxa"/>
            <w:vAlign w:val="bottom"/>
          </w:tcPr>
          <w:p>
            <w:pPr>
              <w:jc w:val="right"/>
              <w:ind w:right="288"/>
              <w:spacing w:after="0"/>
              <w:rPr>
                <w:sz w:val="20"/>
                <w:szCs w:val="20"/>
                <w:color w:val="auto"/>
              </w:rPr>
            </w:pPr>
            <w:r>
              <w:rPr>
                <w:rFonts w:ascii="Times New Roman" w:cs="Times New Roman" w:eastAsia="Times New Roman" w:hAnsi="Times New Roman"/>
                <w:sz w:val="14"/>
                <w:szCs w:val="14"/>
                <w:color w:val="auto"/>
              </w:rPr>
              <w:t>100%</w:t>
            </w:r>
          </w:p>
        </w:tc>
        <w:tc>
          <w:tcPr>
            <w:tcW w:w="1220" w:type="dxa"/>
            <w:vAlign w:val="bottom"/>
          </w:tcPr>
          <w:p>
            <w:pPr>
              <w:jc w:val="right"/>
              <w:ind w:right="228"/>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Pr>
          <w:p>
            <w:pPr>
              <w:jc w:val="right"/>
              <w:ind w:right="36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90.05%</w:t>
            </w:r>
          </w:p>
        </w:tc>
      </w:tr>
      <w:tr>
        <w:trPr>
          <w:trHeight w:val="338"/>
        </w:trPr>
        <w:tc>
          <w:tcPr>
            <w:tcW w:w="900" w:type="dxa"/>
            <w:vAlign w:val="bottom"/>
          </w:tcPr>
          <w:p>
            <w:pPr>
              <w:jc w:val="right"/>
              <w:ind w:right="231"/>
              <w:spacing w:after="0" w:line="338" w:lineRule="exact"/>
              <w:rPr>
                <w:sz w:val="20"/>
                <w:szCs w:val="20"/>
                <w:color w:val="auto"/>
              </w:rPr>
            </w:pPr>
            <w:r>
              <w:rPr>
                <w:rFonts w:ascii="Times New Roman" w:cs="Times New Roman" w:eastAsia="Times New Roman" w:hAnsi="Times New Roman"/>
                <w:sz w:val="35"/>
                <w:szCs w:val="35"/>
                <w:color w:val="auto"/>
                <w:vertAlign w:val="subscript"/>
              </w:rPr>
              <w:t>—</w:t>
            </w:r>
            <w:r>
              <w:rPr>
                <w:rFonts w:ascii="Times New Roman" w:cs="Times New Roman" w:eastAsia="Times New Roman" w:hAnsi="Times New Roman"/>
                <w:sz w:val="12"/>
                <w:szCs w:val="12"/>
                <w:color w:val="auto"/>
              </w:rPr>
              <w:t>(11)</w:t>
            </w:r>
          </w:p>
        </w:tc>
        <w:tc>
          <w:tcPr>
            <w:tcW w:w="98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tcPr>
          <w:p>
            <w:pPr>
              <w:jc w:val="right"/>
              <w:ind w:right="26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jc w:val="right"/>
              <w:ind w:right="288"/>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Pr>
          <w:p>
            <w:pPr>
              <w:jc w:val="right"/>
              <w:ind w:right="228"/>
              <w:spacing w:after="0"/>
              <w:rPr>
                <w:sz w:val="20"/>
                <w:szCs w:val="20"/>
                <w:color w:val="auto"/>
              </w:rPr>
            </w:pPr>
            <w:r>
              <w:rPr>
                <w:rFonts w:ascii="Times New Roman" w:cs="Times New Roman" w:eastAsia="Times New Roman" w:hAnsi="Times New Roman"/>
                <w:sz w:val="14"/>
                <w:szCs w:val="14"/>
                <w:color w:val="auto"/>
              </w:rPr>
              <w:t>1,122,264</w:t>
            </w:r>
          </w:p>
        </w:tc>
        <w:tc>
          <w:tcPr>
            <w:tcW w:w="1180" w:type="dxa"/>
            <w:vAlign w:val="bottom"/>
          </w:tcPr>
          <w:p>
            <w:pPr>
              <w:jc w:val="right"/>
              <w:ind w:right="368"/>
              <w:spacing w:after="0"/>
              <w:rPr>
                <w:sz w:val="20"/>
                <w:szCs w:val="20"/>
                <w:color w:val="auto"/>
              </w:rPr>
            </w:pPr>
            <w:r>
              <w:rPr>
                <w:rFonts w:ascii="Times New Roman" w:cs="Times New Roman" w:eastAsia="Times New Roman" w:hAnsi="Times New Roman"/>
                <w:sz w:val="14"/>
                <w:szCs w:val="14"/>
                <w:color w:val="auto"/>
              </w:rPr>
              <w:t>57.14%</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475"/>
        </w:trPr>
        <w:tc>
          <w:tcPr>
            <w:tcW w:w="900" w:type="dxa"/>
            <w:vAlign w:val="bottom"/>
          </w:tcPr>
          <w:p>
            <w:pPr>
              <w:jc w:val="right"/>
              <w:ind w:right="231"/>
              <w:spacing w:after="0"/>
              <w:rPr>
                <w:sz w:val="20"/>
                <w:szCs w:val="20"/>
                <w:color w:val="auto"/>
              </w:rPr>
            </w:pPr>
            <w:r>
              <w:rPr>
                <w:rFonts w:ascii="Times New Roman" w:cs="Times New Roman" w:eastAsia="Times New Roman" w:hAnsi="Times New Roman"/>
                <w:sz w:val="35"/>
                <w:szCs w:val="35"/>
                <w:color w:val="auto"/>
                <w:vertAlign w:val="subscript"/>
              </w:rPr>
              <w:t>—</w:t>
            </w:r>
            <w:r>
              <w:rPr>
                <w:rFonts w:ascii="Times New Roman" w:cs="Times New Roman" w:eastAsia="Times New Roman" w:hAnsi="Times New Roman"/>
                <w:sz w:val="12"/>
                <w:szCs w:val="12"/>
                <w:color w:val="auto"/>
              </w:rPr>
              <w:t>(12)</w:t>
            </w:r>
          </w:p>
        </w:tc>
        <w:tc>
          <w:tcPr>
            <w:tcW w:w="98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tcPr>
          <w:p>
            <w:pPr>
              <w:jc w:val="right"/>
              <w:ind w:right="26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jc w:val="right"/>
              <w:ind w:right="288"/>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Pr>
          <w:p>
            <w:pPr>
              <w:jc w:val="right"/>
              <w:ind w:right="228"/>
              <w:spacing w:after="0"/>
              <w:rPr>
                <w:sz w:val="20"/>
                <w:szCs w:val="20"/>
                <w:color w:val="auto"/>
              </w:rPr>
            </w:pPr>
            <w:r>
              <w:rPr>
                <w:rFonts w:ascii="Times New Roman" w:cs="Times New Roman" w:eastAsia="Times New Roman" w:hAnsi="Times New Roman"/>
                <w:sz w:val="14"/>
                <w:szCs w:val="14"/>
                <w:color w:val="auto"/>
              </w:rPr>
              <w:t>841,780</w:t>
            </w:r>
          </w:p>
        </w:tc>
        <w:tc>
          <w:tcPr>
            <w:tcW w:w="1180" w:type="dxa"/>
            <w:vAlign w:val="bottom"/>
          </w:tcPr>
          <w:p>
            <w:pPr>
              <w:jc w:val="right"/>
              <w:ind w:right="368"/>
              <w:spacing w:after="0"/>
              <w:rPr>
                <w:sz w:val="20"/>
                <w:szCs w:val="20"/>
                <w:color w:val="auto"/>
              </w:rPr>
            </w:pPr>
            <w:r>
              <w:rPr>
                <w:rFonts w:ascii="Times New Roman" w:cs="Times New Roman" w:eastAsia="Times New Roman" w:hAnsi="Times New Roman"/>
                <w:sz w:val="14"/>
                <w:szCs w:val="14"/>
                <w:color w:val="auto"/>
              </w:rPr>
              <w:t>42.86%</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495"/>
        </w:trPr>
        <w:tc>
          <w:tcPr>
            <w:tcW w:w="900" w:type="dxa"/>
            <w:vAlign w:val="bottom"/>
          </w:tcPr>
          <w:p>
            <w:pPr>
              <w:jc w:val="right"/>
              <w:ind w:right="231"/>
              <w:spacing w:after="0"/>
              <w:rPr>
                <w:sz w:val="20"/>
                <w:szCs w:val="20"/>
                <w:color w:val="auto"/>
              </w:rPr>
            </w:pPr>
            <w:r>
              <w:rPr>
                <w:rFonts w:ascii="Times New Roman" w:cs="Times New Roman" w:eastAsia="Times New Roman" w:hAnsi="Times New Roman"/>
                <w:sz w:val="35"/>
                <w:szCs w:val="35"/>
                <w:color w:val="auto"/>
                <w:vertAlign w:val="subscript"/>
              </w:rPr>
              <w:t>—</w:t>
            </w:r>
            <w:r>
              <w:rPr>
                <w:rFonts w:ascii="Times New Roman" w:cs="Times New Roman" w:eastAsia="Times New Roman" w:hAnsi="Times New Roman"/>
                <w:sz w:val="12"/>
                <w:szCs w:val="12"/>
                <w:color w:val="auto"/>
              </w:rPr>
              <w:t>(13)</w:t>
            </w:r>
          </w:p>
        </w:tc>
        <w:tc>
          <w:tcPr>
            <w:tcW w:w="98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tcPr>
          <w:p>
            <w:pPr>
              <w:jc w:val="right"/>
              <w:ind w:right="268"/>
              <w:spacing w:after="0"/>
              <w:rPr>
                <w:sz w:val="20"/>
                <w:szCs w:val="20"/>
                <w:color w:val="auto"/>
              </w:rPr>
            </w:pPr>
            <w:r>
              <w:rPr>
                <w:rFonts w:ascii="Times New Roman" w:cs="Times New Roman" w:eastAsia="Times New Roman" w:hAnsi="Times New Roman"/>
                <w:sz w:val="14"/>
                <w:szCs w:val="14"/>
                <w:color w:val="auto"/>
              </w:rPr>
              <w:t>44,354,909</w:t>
            </w:r>
          </w:p>
        </w:tc>
        <w:tc>
          <w:tcPr>
            <w:tcW w:w="1060" w:type="dxa"/>
            <w:vAlign w:val="bottom"/>
          </w:tcPr>
          <w:p>
            <w:pPr>
              <w:jc w:val="right"/>
              <w:ind w:right="288"/>
              <w:spacing w:after="0"/>
              <w:rPr>
                <w:sz w:val="20"/>
                <w:szCs w:val="20"/>
                <w:color w:val="auto"/>
              </w:rPr>
            </w:pPr>
            <w:r>
              <w:rPr>
                <w:rFonts w:ascii="Times New Roman" w:cs="Times New Roman" w:eastAsia="Times New Roman" w:hAnsi="Times New Roman"/>
                <w:sz w:val="14"/>
                <w:szCs w:val="14"/>
                <w:color w:val="auto"/>
              </w:rPr>
              <w:t>100%</w:t>
            </w:r>
          </w:p>
        </w:tc>
        <w:tc>
          <w:tcPr>
            <w:tcW w:w="1220" w:type="dxa"/>
            <w:vAlign w:val="bottom"/>
          </w:tcPr>
          <w:p>
            <w:pPr>
              <w:jc w:val="right"/>
              <w:ind w:right="228"/>
              <w:spacing w:after="0"/>
              <w:rPr>
                <w:sz w:val="20"/>
                <w:szCs w:val="20"/>
                <w:color w:val="auto"/>
              </w:rPr>
            </w:pPr>
            <w:r>
              <w:rPr>
                <w:rFonts w:ascii="Times New Roman" w:cs="Times New Roman" w:eastAsia="Times New Roman" w:hAnsi="Times New Roman"/>
                <w:sz w:val="14"/>
                <w:szCs w:val="14"/>
                <w:color w:val="auto"/>
              </w:rPr>
              <w:t>841,780</w:t>
            </w:r>
          </w:p>
        </w:tc>
        <w:tc>
          <w:tcPr>
            <w:tcW w:w="1180" w:type="dxa"/>
            <w:vAlign w:val="bottom"/>
          </w:tcPr>
          <w:p>
            <w:pPr>
              <w:jc w:val="right"/>
              <w:ind w:right="368"/>
              <w:spacing w:after="0"/>
              <w:rPr>
                <w:sz w:val="20"/>
                <w:szCs w:val="20"/>
                <w:color w:val="auto"/>
              </w:rPr>
            </w:pPr>
            <w:r>
              <w:rPr>
                <w:rFonts w:ascii="Times New Roman" w:cs="Times New Roman" w:eastAsia="Times New Roman" w:hAnsi="Times New Roman"/>
                <w:sz w:val="14"/>
                <w:szCs w:val="14"/>
                <w:color w:val="auto"/>
              </w:rPr>
              <w:t>42.86%</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90.22%</w:t>
            </w:r>
          </w:p>
        </w:tc>
      </w:tr>
      <w:tr>
        <w:trPr>
          <w:trHeight w:val="366"/>
        </w:trPr>
        <w:tc>
          <w:tcPr>
            <w:tcW w:w="900" w:type="dxa"/>
            <w:vAlign w:val="bottom"/>
          </w:tcPr>
          <w:p>
            <w:pPr>
              <w:jc w:val="right"/>
              <w:ind w:right="231"/>
              <w:spacing w:after="0" w:line="366" w:lineRule="exact"/>
              <w:rPr>
                <w:sz w:val="20"/>
                <w:szCs w:val="20"/>
                <w:color w:val="auto"/>
              </w:rPr>
            </w:pPr>
            <w:r>
              <w:rPr>
                <w:rFonts w:ascii="Times New Roman" w:cs="Times New Roman" w:eastAsia="Times New Roman" w:hAnsi="Times New Roman"/>
                <w:sz w:val="35"/>
                <w:szCs w:val="35"/>
                <w:color w:val="auto"/>
                <w:vertAlign w:val="subscript"/>
              </w:rPr>
              <w:t>—</w:t>
            </w:r>
            <w:r>
              <w:rPr>
                <w:rFonts w:ascii="Times New Roman" w:cs="Times New Roman" w:eastAsia="Times New Roman" w:hAnsi="Times New Roman"/>
                <w:sz w:val="12"/>
                <w:szCs w:val="12"/>
                <w:color w:val="auto"/>
              </w:rPr>
              <w:t>(14)</w:t>
            </w:r>
          </w:p>
        </w:tc>
        <w:tc>
          <w:tcPr>
            <w:tcW w:w="98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tcPr>
          <w:p>
            <w:pPr>
              <w:jc w:val="right"/>
              <w:ind w:right="26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jc w:val="right"/>
              <w:ind w:right="288"/>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Pr>
          <w:p>
            <w:pPr>
              <w:jc w:val="right"/>
              <w:ind w:right="228"/>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Pr>
          <w:p>
            <w:pPr>
              <w:jc w:val="right"/>
              <w:ind w:right="36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311"/>
        </w:trPr>
        <w:tc>
          <w:tcPr>
            <w:tcW w:w="900" w:type="dxa"/>
            <w:vAlign w:val="bottom"/>
          </w:tcPr>
          <w:p>
            <w:pPr>
              <w:jc w:val="right"/>
              <w:ind w:right="231"/>
              <w:spacing w:after="0" w:line="311" w:lineRule="exact"/>
              <w:rPr>
                <w:sz w:val="20"/>
                <w:szCs w:val="20"/>
                <w:color w:val="auto"/>
              </w:rPr>
            </w:pPr>
            <w:r>
              <w:rPr>
                <w:rFonts w:ascii="Times New Roman" w:cs="Times New Roman" w:eastAsia="Times New Roman" w:hAnsi="Times New Roman"/>
                <w:sz w:val="35"/>
                <w:szCs w:val="35"/>
                <w:color w:val="auto"/>
                <w:vertAlign w:val="subscript"/>
              </w:rPr>
              <w:t>—</w:t>
            </w:r>
            <w:r>
              <w:rPr>
                <w:rFonts w:ascii="Times New Roman" w:cs="Times New Roman" w:eastAsia="Times New Roman" w:hAnsi="Times New Roman"/>
                <w:sz w:val="12"/>
                <w:szCs w:val="12"/>
                <w:color w:val="auto"/>
              </w:rPr>
              <w:t>(15)</w:t>
            </w:r>
          </w:p>
        </w:tc>
        <w:tc>
          <w:tcPr>
            <w:tcW w:w="98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tcPr>
          <w:p>
            <w:pPr>
              <w:jc w:val="right"/>
              <w:ind w:right="26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jc w:val="right"/>
              <w:ind w:right="288"/>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Pr>
          <w:p>
            <w:pPr>
              <w:jc w:val="right"/>
              <w:ind w:right="228"/>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Pr>
          <w:p>
            <w:pPr>
              <w:jc w:val="right"/>
              <w:ind w:right="36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310"/>
        </w:trPr>
        <w:tc>
          <w:tcPr>
            <w:tcW w:w="900" w:type="dxa"/>
            <w:vAlign w:val="bottom"/>
          </w:tcPr>
          <w:p>
            <w:pPr>
              <w:jc w:val="right"/>
              <w:ind w:right="231"/>
              <w:spacing w:after="0" w:line="311" w:lineRule="exact"/>
              <w:rPr>
                <w:sz w:val="20"/>
                <w:szCs w:val="20"/>
                <w:color w:val="auto"/>
              </w:rPr>
            </w:pPr>
            <w:r>
              <w:rPr>
                <w:rFonts w:ascii="Times New Roman" w:cs="Times New Roman" w:eastAsia="Times New Roman" w:hAnsi="Times New Roman"/>
                <w:sz w:val="35"/>
                <w:szCs w:val="35"/>
                <w:color w:val="auto"/>
                <w:vertAlign w:val="subscript"/>
              </w:rPr>
              <w:t>—</w:t>
            </w:r>
            <w:r>
              <w:rPr>
                <w:rFonts w:ascii="Times New Roman" w:cs="Times New Roman" w:eastAsia="Times New Roman" w:hAnsi="Times New Roman"/>
                <w:sz w:val="12"/>
                <w:szCs w:val="12"/>
                <w:color w:val="auto"/>
              </w:rPr>
              <w:t>(16)</w:t>
            </w:r>
          </w:p>
        </w:tc>
        <w:tc>
          <w:tcPr>
            <w:tcW w:w="98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tcPr>
          <w:p>
            <w:pPr>
              <w:jc w:val="right"/>
              <w:ind w:right="26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jc w:val="right"/>
              <w:ind w:right="288"/>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Pr>
          <w:p>
            <w:pPr>
              <w:jc w:val="right"/>
              <w:ind w:right="228"/>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Pr>
          <w:p>
            <w:pPr>
              <w:jc w:val="right"/>
              <w:ind w:right="36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310"/>
        </w:trPr>
        <w:tc>
          <w:tcPr>
            <w:tcW w:w="900" w:type="dxa"/>
            <w:vAlign w:val="bottom"/>
          </w:tcPr>
          <w:p>
            <w:pPr>
              <w:jc w:val="right"/>
              <w:ind w:right="231"/>
              <w:spacing w:after="0" w:line="311" w:lineRule="exact"/>
              <w:rPr>
                <w:sz w:val="20"/>
                <w:szCs w:val="20"/>
                <w:color w:val="auto"/>
              </w:rPr>
            </w:pPr>
            <w:r>
              <w:rPr>
                <w:rFonts w:ascii="Times New Roman" w:cs="Times New Roman" w:eastAsia="Times New Roman" w:hAnsi="Times New Roman"/>
                <w:sz w:val="35"/>
                <w:szCs w:val="35"/>
                <w:color w:val="auto"/>
                <w:vertAlign w:val="subscript"/>
              </w:rPr>
              <w:t>—</w:t>
            </w:r>
            <w:r>
              <w:rPr>
                <w:rFonts w:ascii="Times New Roman" w:cs="Times New Roman" w:eastAsia="Times New Roman" w:hAnsi="Times New Roman"/>
                <w:sz w:val="12"/>
                <w:szCs w:val="12"/>
                <w:color w:val="auto"/>
              </w:rPr>
              <w:t>(17)</w:t>
            </w:r>
          </w:p>
        </w:tc>
        <w:tc>
          <w:tcPr>
            <w:tcW w:w="98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tcPr>
          <w:p>
            <w:pPr>
              <w:jc w:val="right"/>
              <w:ind w:right="26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jc w:val="right"/>
              <w:ind w:right="288"/>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Pr>
          <w:p>
            <w:pPr>
              <w:jc w:val="right"/>
              <w:ind w:right="228"/>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Pr>
          <w:p>
            <w:pPr>
              <w:jc w:val="right"/>
              <w:ind w:right="36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310"/>
        </w:trPr>
        <w:tc>
          <w:tcPr>
            <w:tcW w:w="900" w:type="dxa"/>
            <w:vAlign w:val="bottom"/>
          </w:tcPr>
          <w:p>
            <w:pPr>
              <w:jc w:val="right"/>
              <w:ind w:right="231"/>
              <w:spacing w:after="0" w:line="311" w:lineRule="exact"/>
              <w:rPr>
                <w:sz w:val="20"/>
                <w:szCs w:val="20"/>
                <w:color w:val="auto"/>
              </w:rPr>
            </w:pPr>
            <w:r>
              <w:rPr>
                <w:rFonts w:ascii="Times New Roman" w:cs="Times New Roman" w:eastAsia="Times New Roman" w:hAnsi="Times New Roman"/>
                <w:sz w:val="35"/>
                <w:szCs w:val="35"/>
                <w:color w:val="auto"/>
                <w:vertAlign w:val="subscript"/>
              </w:rPr>
              <w:t>—</w:t>
            </w:r>
            <w:r>
              <w:rPr>
                <w:rFonts w:ascii="Times New Roman" w:cs="Times New Roman" w:eastAsia="Times New Roman" w:hAnsi="Times New Roman"/>
                <w:sz w:val="12"/>
                <w:szCs w:val="12"/>
                <w:color w:val="auto"/>
              </w:rPr>
              <w:t>(18)</w:t>
            </w:r>
          </w:p>
        </w:tc>
        <w:tc>
          <w:tcPr>
            <w:tcW w:w="98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tcPr>
          <w:p>
            <w:pPr>
              <w:jc w:val="right"/>
              <w:ind w:right="26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jc w:val="right"/>
              <w:ind w:right="288"/>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Pr>
          <w:p>
            <w:pPr>
              <w:jc w:val="right"/>
              <w:ind w:right="228"/>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Pr>
          <w:p>
            <w:pPr>
              <w:jc w:val="right"/>
              <w:ind w:right="36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97"/>
        </w:trPr>
        <w:tc>
          <w:tcPr>
            <w:tcW w:w="900" w:type="dxa"/>
            <w:vAlign w:val="bottom"/>
          </w:tcPr>
          <w:p>
            <w:pPr>
              <w:jc w:val="right"/>
              <w:ind w:right="231"/>
              <w:spacing w:after="0" w:line="297" w:lineRule="exact"/>
              <w:rPr>
                <w:sz w:val="20"/>
                <w:szCs w:val="20"/>
                <w:color w:val="auto"/>
              </w:rPr>
            </w:pPr>
            <w:r>
              <w:rPr>
                <w:rFonts w:ascii="Times New Roman" w:cs="Times New Roman" w:eastAsia="Times New Roman" w:hAnsi="Times New Roman"/>
                <w:sz w:val="34"/>
                <w:szCs w:val="34"/>
                <w:color w:val="auto"/>
                <w:vertAlign w:val="subscript"/>
              </w:rPr>
              <w:t>—</w:t>
            </w:r>
            <w:r>
              <w:rPr>
                <w:rFonts w:ascii="Times New Roman" w:cs="Times New Roman" w:eastAsia="Times New Roman" w:hAnsi="Times New Roman"/>
                <w:sz w:val="12"/>
                <w:szCs w:val="12"/>
                <w:color w:val="auto"/>
              </w:rPr>
              <w:t>(19)</w:t>
            </w:r>
          </w:p>
        </w:tc>
        <w:tc>
          <w:tcPr>
            <w:tcW w:w="98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tcPr>
          <w:p>
            <w:pPr>
              <w:jc w:val="right"/>
              <w:ind w:right="26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jc w:val="right"/>
              <w:ind w:right="288"/>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Pr>
          <w:p>
            <w:pPr>
              <w:jc w:val="right"/>
              <w:ind w:right="228"/>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Pr>
          <w:p>
            <w:pPr>
              <w:jc w:val="right"/>
              <w:ind w:right="36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70"/>
        </w:trPr>
        <w:tc>
          <w:tcPr>
            <w:tcW w:w="900" w:type="dxa"/>
            <w:vAlign w:val="bottom"/>
          </w:tcPr>
          <w:p>
            <w:pPr>
              <w:jc w:val="right"/>
              <w:ind w:right="231"/>
              <w:spacing w:after="0"/>
              <w:rPr>
                <w:sz w:val="20"/>
                <w:szCs w:val="20"/>
                <w:color w:val="auto"/>
              </w:rPr>
            </w:pPr>
            <w:r>
              <w:rPr>
                <w:rFonts w:ascii="Times New Roman" w:cs="Times New Roman" w:eastAsia="Times New Roman" w:hAnsi="Times New Roman"/>
                <w:sz w:val="14"/>
                <w:szCs w:val="14"/>
                <w:color w:val="auto"/>
              </w:rPr>
              <w:t>5,490</w:t>
            </w:r>
            <w:r>
              <w:rPr>
                <w:rFonts w:ascii="Times New Roman" w:cs="Times New Roman" w:eastAsia="Times New Roman" w:hAnsi="Times New Roman"/>
                <w:sz w:val="23"/>
                <w:szCs w:val="23"/>
                <w:color w:val="auto"/>
                <w:vertAlign w:val="superscript"/>
              </w:rPr>
              <w:t>(20)</w:t>
            </w:r>
          </w:p>
        </w:tc>
        <w:tc>
          <w:tcPr>
            <w:tcW w:w="98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tcPr>
          <w:p>
            <w:pPr>
              <w:jc w:val="right"/>
              <w:ind w:right="26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jc w:val="right"/>
              <w:ind w:right="288"/>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Pr>
          <w:p>
            <w:pPr>
              <w:jc w:val="right"/>
              <w:ind w:right="228"/>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Pr>
          <w:p>
            <w:pPr>
              <w:jc w:val="right"/>
              <w:ind w:right="36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70"/>
        </w:trPr>
        <w:tc>
          <w:tcPr>
            <w:tcW w:w="900" w:type="dxa"/>
            <w:vAlign w:val="bottom"/>
          </w:tcPr>
          <w:p>
            <w:pPr>
              <w:jc w:val="right"/>
              <w:ind w:right="231"/>
              <w:spacing w:after="0"/>
              <w:rPr>
                <w:sz w:val="20"/>
                <w:szCs w:val="20"/>
                <w:color w:val="auto"/>
              </w:rPr>
            </w:pPr>
            <w:r>
              <w:rPr>
                <w:rFonts w:ascii="Times New Roman" w:cs="Times New Roman" w:eastAsia="Times New Roman" w:hAnsi="Times New Roman"/>
                <w:sz w:val="14"/>
                <w:szCs w:val="14"/>
                <w:color w:val="auto"/>
              </w:rPr>
              <w:t>5,490</w:t>
            </w:r>
            <w:r>
              <w:rPr>
                <w:rFonts w:ascii="Times New Roman" w:cs="Times New Roman" w:eastAsia="Times New Roman" w:hAnsi="Times New Roman"/>
                <w:sz w:val="23"/>
                <w:szCs w:val="23"/>
                <w:color w:val="auto"/>
                <w:vertAlign w:val="superscript"/>
              </w:rPr>
              <w:t>(20)</w:t>
            </w:r>
          </w:p>
        </w:tc>
        <w:tc>
          <w:tcPr>
            <w:tcW w:w="98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tcPr>
          <w:p>
            <w:pPr>
              <w:jc w:val="right"/>
              <w:ind w:right="26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jc w:val="right"/>
              <w:ind w:right="288"/>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Pr>
          <w:p>
            <w:pPr>
              <w:jc w:val="right"/>
              <w:ind w:right="228"/>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Pr>
          <w:p>
            <w:pPr>
              <w:jc w:val="right"/>
              <w:ind w:right="36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43"/>
        </w:trPr>
        <w:tc>
          <w:tcPr>
            <w:tcW w:w="900" w:type="dxa"/>
            <w:vAlign w:val="bottom"/>
          </w:tcPr>
          <w:p>
            <w:pPr>
              <w:jc w:val="right"/>
              <w:ind w:right="231"/>
              <w:spacing w:after="0" w:line="243" w:lineRule="exact"/>
              <w:rPr>
                <w:sz w:val="20"/>
                <w:szCs w:val="20"/>
                <w:color w:val="auto"/>
              </w:rPr>
            </w:pPr>
            <w:r>
              <w:rPr>
                <w:rFonts w:ascii="Times New Roman" w:cs="Times New Roman" w:eastAsia="Times New Roman" w:hAnsi="Times New Roman"/>
                <w:sz w:val="14"/>
                <w:szCs w:val="14"/>
                <w:color w:val="auto"/>
              </w:rPr>
              <w:t>5,490</w:t>
            </w:r>
            <w:r>
              <w:rPr>
                <w:rFonts w:ascii="Times New Roman" w:cs="Times New Roman" w:eastAsia="Times New Roman" w:hAnsi="Times New Roman"/>
                <w:sz w:val="23"/>
                <w:szCs w:val="23"/>
                <w:color w:val="auto"/>
                <w:vertAlign w:val="superscript"/>
              </w:rPr>
              <w:t>(20)</w:t>
            </w:r>
          </w:p>
        </w:tc>
        <w:tc>
          <w:tcPr>
            <w:tcW w:w="98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tcPr>
          <w:p>
            <w:pPr>
              <w:jc w:val="right"/>
              <w:ind w:right="26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jc w:val="right"/>
              <w:ind w:right="288"/>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Pr>
          <w:p>
            <w:pPr>
              <w:jc w:val="right"/>
              <w:ind w:right="228"/>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Pr>
          <w:p>
            <w:pPr>
              <w:jc w:val="right"/>
              <w:ind w:right="36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300"/>
        </w:trPr>
        <w:tc>
          <w:tcPr>
            <w:tcW w:w="900" w:type="dxa"/>
            <w:vAlign w:val="bottom"/>
          </w:tcPr>
          <w:p>
            <w:pPr>
              <w:jc w:val="right"/>
              <w:ind w:right="231"/>
              <w:spacing w:after="0"/>
              <w:rPr>
                <w:sz w:val="20"/>
                <w:szCs w:val="20"/>
                <w:color w:val="auto"/>
              </w:rPr>
            </w:pPr>
            <w:r>
              <w:rPr>
                <w:rFonts w:ascii="Times New Roman" w:cs="Times New Roman" w:eastAsia="Times New Roman" w:hAnsi="Times New Roman"/>
                <w:sz w:val="14"/>
                <w:szCs w:val="14"/>
                <w:color w:val="auto"/>
                <w:w w:val="90"/>
              </w:rPr>
              <w:t>63,413</w:t>
            </w:r>
            <w:r>
              <w:rPr>
                <w:rFonts w:ascii="Times New Roman" w:cs="Times New Roman" w:eastAsia="Times New Roman" w:hAnsi="Times New Roman"/>
                <w:sz w:val="23"/>
                <w:szCs w:val="23"/>
                <w:color w:val="auto"/>
                <w:w w:val="90"/>
                <w:vertAlign w:val="superscript"/>
              </w:rPr>
              <w:t>(20)</w:t>
            </w:r>
          </w:p>
        </w:tc>
        <w:tc>
          <w:tcPr>
            <w:tcW w:w="98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tcPr>
          <w:p>
            <w:pPr>
              <w:jc w:val="right"/>
              <w:ind w:right="26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jc w:val="right"/>
              <w:ind w:right="288"/>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Pr>
          <w:p>
            <w:pPr>
              <w:jc w:val="right"/>
              <w:ind w:right="228"/>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Pr>
          <w:p>
            <w:pPr>
              <w:jc w:val="right"/>
              <w:ind w:right="36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34"/>
        </w:trPr>
        <w:tc>
          <w:tcPr>
            <w:tcW w:w="900" w:type="dxa"/>
            <w:vAlign w:val="bottom"/>
          </w:tcPr>
          <w:p>
            <w:pPr>
              <w:jc w:val="right"/>
              <w:ind w:right="231"/>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tcPr>
          <w:p>
            <w:pPr>
              <w:jc w:val="right"/>
              <w:ind w:right="26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jc w:val="right"/>
              <w:ind w:right="288"/>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Pr>
          <w:p>
            <w:pPr>
              <w:jc w:val="right"/>
              <w:ind w:right="228"/>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Pr>
          <w:p>
            <w:pPr>
              <w:jc w:val="right"/>
              <w:ind w:right="36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70"/>
        </w:trPr>
        <w:tc>
          <w:tcPr>
            <w:tcW w:w="900" w:type="dxa"/>
            <w:vAlign w:val="bottom"/>
          </w:tcPr>
          <w:p>
            <w:pPr>
              <w:jc w:val="right"/>
              <w:ind w:right="231"/>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tcPr>
          <w:p>
            <w:pPr>
              <w:jc w:val="right"/>
              <w:ind w:right="26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jc w:val="right"/>
              <w:ind w:right="288"/>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Pr>
          <w:p>
            <w:pPr>
              <w:jc w:val="right"/>
              <w:ind w:right="228"/>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Pr>
          <w:p>
            <w:pPr>
              <w:jc w:val="right"/>
              <w:ind w:right="36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423"/>
        </w:trPr>
        <w:tc>
          <w:tcPr>
            <w:tcW w:w="900" w:type="dxa"/>
            <w:vAlign w:val="bottom"/>
          </w:tcPr>
          <w:p>
            <w:pPr>
              <w:jc w:val="right"/>
              <w:ind w:right="231"/>
              <w:spacing w:after="0"/>
              <w:rPr>
                <w:sz w:val="20"/>
                <w:szCs w:val="20"/>
                <w:color w:val="auto"/>
              </w:rPr>
            </w:pPr>
            <w:r>
              <w:rPr>
                <w:rFonts w:ascii="Times New Roman" w:cs="Times New Roman" w:eastAsia="Times New Roman" w:hAnsi="Times New Roman"/>
                <w:sz w:val="14"/>
                <w:szCs w:val="14"/>
                <w:color w:val="auto"/>
              </w:rPr>
              <w:t>79,883</w:t>
            </w:r>
          </w:p>
        </w:tc>
        <w:tc>
          <w:tcPr>
            <w:tcW w:w="98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tcPr>
          <w:p>
            <w:pPr>
              <w:jc w:val="right"/>
              <w:ind w:right="268"/>
              <w:spacing w:after="0"/>
              <w:rPr>
                <w:sz w:val="20"/>
                <w:szCs w:val="20"/>
                <w:color w:val="auto"/>
              </w:rPr>
            </w:pPr>
            <w:r>
              <w:rPr>
                <w:rFonts w:ascii="Times New Roman" w:cs="Times New Roman" w:eastAsia="Times New Roman" w:hAnsi="Times New Roman"/>
                <w:sz w:val="14"/>
                <w:szCs w:val="14"/>
                <w:color w:val="auto"/>
              </w:rPr>
              <w:t>44,354,909</w:t>
            </w:r>
            <w:r>
              <w:rPr>
                <w:rFonts w:ascii="Times New Roman" w:cs="Times New Roman" w:eastAsia="Times New Roman" w:hAnsi="Times New Roman"/>
                <w:sz w:val="18"/>
                <w:szCs w:val="18"/>
                <w:color w:val="auto"/>
                <w:vertAlign w:val="superscript"/>
              </w:rPr>
              <w:t>(10)</w:t>
            </w:r>
          </w:p>
        </w:tc>
        <w:tc>
          <w:tcPr>
            <w:tcW w:w="1060" w:type="dxa"/>
            <w:vAlign w:val="bottom"/>
          </w:tcPr>
          <w:p>
            <w:pPr>
              <w:jc w:val="right"/>
              <w:ind w:right="288"/>
              <w:spacing w:after="0"/>
              <w:rPr>
                <w:sz w:val="20"/>
                <w:szCs w:val="20"/>
                <w:color w:val="auto"/>
              </w:rPr>
            </w:pPr>
            <w:r>
              <w:rPr>
                <w:rFonts w:ascii="Times New Roman" w:cs="Times New Roman" w:eastAsia="Times New Roman" w:hAnsi="Times New Roman"/>
                <w:sz w:val="14"/>
                <w:szCs w:val="14"/>
                <w:color w:val="auto"/>
              </w:rPr>
              <w:t>100%</w:t>
            </w:r>
          </w:p>
        </w:tc>
        <w:tc>
          <w:tcPr>
            <w:tcW w:w="1220" w:type="dxa"/>
            <w:vAlign w:val="bottom"/>
          </w:tcPr>
          <w:p>
            <w:pPr>
              <w:jc w:val="right"/>
              <w:ind w:right="228"/>
              <w:spacing w:after="0"/>
              <w:rPr>
                <w:sz w:val="20"/>
                <w:szCs w:val="20"/>
                <w:color w:val="auto"/>
              </w:rPr>
            </w:pPr>
            <w:r>
              <w:rPr>
                <w:rFonts w:ascii="Times New Roman" w:cs="Times New Roman" w:eastAsia="Times New Roman" w:hAnsi="Times New Roman"/>
                <w:sz w:val="14"/>
                <w:szCs w:val="14"/>
                <w:color w:val="auto"/>
              </w:rPr>
              <w:t>841,780</w:t>
            </w:r>
          </w:p>
        </w:tc>
        <w:tc>
          <w:tcPr>
            <w:tcW w:w="1180" w:type="dxa"/>
            <w:vAlign w:val="bottom"/>
          </w:tcPr>
          <w:p>
            <w:pPr>
              <w:jc w:val="right"/>
              <w:ind w:right="368"/>
              <w:spacing w:after="0"/>
              <w:rPr>
                <w:sz w:val="20"/>
                <w:szCs w:val="20"/>
                <w:color w:val="auto"/>
              </w:rPr>
            </w:pPr>
            <w:r>
              <w:rPr>
                <w:rFonts w:ascii="Times New Roman" w:cs="Times New Roman" w:eastAsia="Times New Roman" w:hAnsi="Times New Roman"/>
                <w:sz w:val="14"/>
                <w:szCs w:val="14"/>
                <w:color w:val="auto"/>
              </w:rPr>
              <w:t>42.86%</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90.23%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-1924685</wp:posOffset>
            </wp:positionH>
            <wp:positionV relativeFrom="paragraph">
              <wp:posOffset>-4700270</wp:posOffset>
            </wp:positionV>
            <wp:extent cx="7132320" cy="25717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257175"/>
                    </a:xfrm>
                    <a:prstGeom prst="rect">
                      <a:avLst/>
                    </a:prstGeom>
                    <a:noFill/>
                  </pic:spPr>
                </pic:pic>
              </a:graphicData>
            </a:graphic>
          </wp:anchor>
        </w:drawing>
        <w:drawing>
          <wp:anchor simplePos="0" relativeHeight="251657728" behindDoc="1" locked="0" layoutInCell="0" allowOverlap="1">
            <wp:simplePos x="0" y="0"/>
            <wp:positionH relativeFrom="column">
              <wp:posOffset>-1924685</wp:posOffset>
            </wp:positionH>
            <wp:positionV relativeFrom="paragraph">
              <wp:posOffset>-4271645</wp:posOffset>
            </wp:positionV>
            <wp:extent cx="7132320" cy="25717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257175"/>
                    </a:xfrm>
                    <a:prstGeom prst="rect">
                      <a:avLst/>
                    </a:prstGeom>
                    <a:noFill/>
                  </pic:spPr>
                </pic:pic>
              </a:graphicData>
            </a:graphic>
          </wp:anchor>
        </w:drawing>
        <w:drawing>
          <wp:anchor simplePos="0" relativeHeight="251657728" behindDoc="1" locked="0" layoutInCell="0" allowOverlap="1">
            <wp:simplePos x="0" y="0"/>
            <wp:positionH relativeFrom="column">
              <wp:posOffset>-1924685</wp:posOffset>
            </wp:positionH>
            <wp:positionV relativeFrom="paragraph">
              <wp:posOffset>-3843020</wp:posOffset>
            </wp:positionV>
            <wp:extent cx="7132320" cy="1714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-1924685</wp:posOffset>
            </wp:positionH>
            <wp:positionV relativeFrom="paragraph">
              <wp:posOffset>-3500120</wp:posOffset>
            </wp:positionV>
            <wp:extent cx="7132320" cy="1714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-1924685</wp:posOffset>
            </wp:positionH>
            <wp:positionV relativeFrom="paragraph">
              <wp:posOffset>-3131185</wp:posOffset>
            </wp:positionV>
            <wp:extent cx="7132320" cy="1968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96850"/>
                    </a:xfrm>
                    <a:prstGeom prst="rect">
                      <a:avLst/>
                    </a:prstGeom>
                    <a:noFill/>
                  </pic:spPr>
                </pic:pic>
              </a:graphicData>
            </a:graphic>
          </wp:anchor>
        </w:drawing>
        <w:drawing>
          <wp:anchor simplePos="0" relativeHeight="251657728" behindDoc="1" locked="0" layoutInCell="0" allowOverlap="1">
            <wp:simplePos x="0" y="0"/>
            <wp:positionH relativeFrom="column">
              <wp:posOffset>-1924685</wp:posOffset>
            </wp:positionH>
            <wp:positionV relativeFrom="paragraph">
              <wp:posOffset>-2677160</wp:posOffset>
            </wp:positionV>
            <wp:extent cx="7132320" cy="19748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97485"/>
                    </a:xfrm>
                    <a:prstGeom prst="rect">
                      <a:avLst/>
                    </a:prstGeom>
                    <a:noFill/>
                  </pic:spPr>
                </pic:pic>
              </a:graphicData>
            </a:graphic>
          </wp:anchor>
        </w:drawing>
        <w:drawing>
          <wp:anchor simplePos="0" relativeHeight="251657728" behindDoc="1" locked="0" layoutInCell="0" allowOverlap="1">
            <wp:simplePos x="0" y="0"/>
            <wp:positionH relativeFrom="column">
              <wp:posOffset>-1924685</wp:posOffset>
            </wp:positionH>
            <wp:positionV relativeFrom="paragraph">
              <wp:posOffset>-2282825</wp:posOffset>
            </wp:positionV>
            <wp:extent cx="7132320" cy="1968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96850"/>
                    </a:xfrm>
                    <a:prstGeom prst="rect">
                      <a:avLst/>
                    </a:prstGeom>
                    <a:noFill/>
                  </pic:spPr>
                </pic:pic>
              </a:graphicData>
            </a:graphic>
          </wp:anchor>
        </w:drawing>
        <w:drawing>
          <wp:anchor simplePos="0" relativeHeight="251657728" behindDoc="1" locked="0" layoutInCell="0" allowOverlap="1">
            <wp:simplePos x="0" y="0"/>
            <wp:positionH relativeFrom="column">
              <wp:posOffset>-1924685</wp:posOffset>
            </wp:positionH>
            <wp:positionV relativeFrom="paragraph">
              <wp:posOffset>-1888490</wp:posOffset>
            </wp:positionV>
            <wp:extent cx="7132320" cy="1968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96850"/>
                    </a:xfrm>
                    <a:prstGeom prst="rect">
                      <a:avLst/>
                    </a:prstGeom>
                    <a:noFill/>
                  </pic:spPr>
                </pic:pic>
              </a:graphicData>
            </a:graphic>
          </wp:anchor>
        </w:drawing>
        <w:drawing>
          <wp:anchor simplePos="0" relativeHeight="251657728" behindDoc="1" locked="0" layoutInCell="0" allowOverlap="1">
            <wp:simplePos x="0" y="0"/>
            <wp:positionH relativeFrom="column">
              <wp:posOffset>-1924685</wp:posOffset>
            </wp:positionH>
            <wp:positionV relativeFrom="paragraph">
              <wp:posOffset>-1494155</wp:posOffset>
            </wp:positionV>
            <wp:extent cx="7132320" cy="1968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96850"/>
                    </a:xfrm>
                    <a:prstGeom prst="rect">
                      <a:avLst/>
                    </a:prstGeom>
                    <a:noFill/>
                  </pic:spPr>
                </pic:pic>
              </a:graphicData>
            </a:graphic>
          </wp:anchor>
        </w:drawing>
        <w:drawing>
          <wp:anchor simplePos="0" relativeHeight="251657728" behindDoc="1" locked="0" layoutInCell="0" allowOverlap="1">
            <wp:simplePos x="0" y="0"/>
            <wp:positionH relativeFrom="column">
              <wp:posOffset>-1924685</wp:posOffset>
            </wp:positionH>
            <wp:positionV relativeFrom="paragraph">
              <wp:posOffset>-1125220</wp:posOffset>
            </wp:positionV>
            <wp:extent cx="7132320" cy="1714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-1924685</wp:posOffset>
            </wp:positionH>
            <wp:positionV relativeFrom="paragraph">
              <wp:posOffset>-782320</wp:posOffset>
            </wp:positionV>
            <wp:extent cx="7132320" cy="1714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-1924685</wp:posOffset>
            </wp:positionH>
            <wp:positionV relativeFrom="paragraph">
              <wp:posOffset>-439420</wp:posOffset>
            </wp:positionV>
            <wp:extent cx="7132320" cy="1714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05" w:lineRule="exact"/>
        <w:rPr>
          <w:sz w:val="20"/>
          <w:szCs w:val="20"/>
          <w:color w:val="auto"/>
        </w:rPr>
      </w:pPr>
    </w:p>
    <w:p>
      <w:pPr>
        <w:sectPr>
          <w:pgSz w:w="11900" w:h="16838" w:orient="portrait"/>
          <w:cols w:equalWidth="0" w:num="2">
            <w:col w:w="2920" w:space="120"/>
            <w:col w:w="8200"/>
          </w:cols>
          <w:pgMar w:left="320" w:top="1440" w:right="339" w:bottom="1440" w:gutter="0" w:footer="0" w:header="0"/>
        </w:sectPr>
      </w:pPr>
    </w:p>
    <w:p>
      <w:pPr>
        <w:ind w:left="340" w:hanging="332"/>
        <w:spacing w:after="0"/>
        <w:tabs>
          <w:tab w:leader="none" w:pos="34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Less than 1%.</w:t>
      </w:r>
    </w:p>
    <w:p>
      <w:pPr>
        <w:spacing w:after="0" w:line="17" w:lineRule="exact"/>
        <w:rPr>
          <w:sz w:val="20"/>
          <w:szCs w:val="20"/>
          <w:color w:val="auto"/>
        </w:rPr>
      </w:pPr>
    </w:p>
    <w:p>
      <w:pPr>
        <w:ind w:left="320" w:hanging="312"/>
        <w:spacing w:after="0"/>
        <w:tabs>
          <w:tab w:leader="none" w:pos="32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Unless otherwise noted, the business address of each of the following entities or individuals is 767 Fifth Avenue, New York, New York 10153.</w:t>
      </w:r>
    </w:p>
    <w:p>
      <w:pPr>
        <w:spacing w:after="0" w:line="1" w:lineRule="exact"/>
        <w:rPr>
          <w:rFonts w:ascii="Times New Roman" w:cs="Times New Roman" w:eastAsia="Times New Roman" w:hAnsi="Times New Roman"/>
          <w:sz w:val="14"/>
          <w:szCs w:val="14"/>
          <w:color w:val="auto"/>
        </w:rPr>
      </w:pPr>
    </w:p>
    <w:p>
      <w:pPr>
        <w:jc w:val="both"/>
        <w:ind w:left="340" w:hanging="332"/>
        <w:spacing w:after="0" w:line="243" w:lineRule="auto"/>
        <w:tabs>
          <w:tab w:leader="none" w:pos="332"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a Schedule 13G/A filed by Wellington Management Group LLP, Wellington Group Holdings LLP, Wellington Investment Advisors Holdings LLP and Wellington Management Company LLP with the SEC on February 4, 2022. (i) Each of Wellington Management Group LLP, Wellington Group Holdings LLP and Wellington Investment Advisors Holdings LLP have shared voting power over 5,219,041 shares of Class A common stock, shared dispositive power over all 5,670,939 shares of Class A common stock, and sole voting and dispositive powers over none of the shares, and (ii) Wellington Management Company LLP has shared voting power over 5,176,264 shares of Class A common stock, shared dispositive power over 5,598,240 shares of Class A common stock, and sole voting and dispositive powers over none of the shares. The shares of Class A common stock beneficially owned by Wellington Management Group LLP, as parent holding company of certain holding companies and investment advisers (the “Wellington Investment Advisers”), are owned of record by clients of such Wellington Investment Advisers. Wellington Investment Advisors Holdings LLP controls directly, or indirectly through Wellington Management Global Holdings, Ltd., the Wellington Investment Advisers. Wellington Investment Advisors Holdings LLP is owned by Wellington Group Holdings LLP. Wellington Group Holdings LLP is owned by Wellington Management Group LLP. The principal business office of Wellington Management Group LLP and each of the affiliated funds listed above is c/o Wellington Management Company LLP 280 Congress Street Boston, MA 02210.</w:t>
      </w:r>
    </w:p>
    <w:p>
      <w:pPr>
        <w:sectPr>
          <w:pgSz w:w="11900" w:h="16838" w:orient="portrait"/>
          <w:cols w:equalWidth="0" w:num="1">
            <w:col w:w="11240"/>
          </w:cols>
          <w:pgMar w:left="320" w:top="1440"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240"/>
          </w:cols>
          <w:pgMar w:left="320" w:top="1440" w:right="339" w:bottom="1440" w:gutter="0" w:footer="0" w:header="0"/>
          <w:type w:val="continuous"/>
        </w:sectPr>
      </w:pPr>
    </w:p>
    <w:bookmarkStart w:id="32" w:name="page33"/>
    <w:bookmarkEnd w:id="32"/>
    <w:p>
      <w:pPr>
        <w:ind w:left="340" w:right="140" w:hanging="332"/>
        <w:spacing w:after="0" w:line="253" w:lineRule="auto"/>
        <w:tabs>
          <w:tab w:leader="none" w:pos="332"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a Schedule 13G filed by Westwood Management Corp. (“Westwood”) with the SEC on February 25, 2022. Westwood has sole voting power over 3,838,022 of the shares, shared voting power over 50,218 of the shares and sole dispositive power over 3,888,240 of the shares.</w:t>
      </w:r>
    </w:p>
    <w:p>
      <w:pPr>
        <w:ind w:left="340" w:right="20" w:hanging="332"/>
        <w:spacing w:after="0" w:line="241" w:lineRule="auto"/>
        <w:tabs>
          <w:tab w:leader="none" w:pos="332"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a Schedule 13G filed by FMR LLC with the SEC on February 9, 2022. Reflects the securities beneficially owned, or that may be deemed to be beneficially owned, by FMR LLC, certain of its subsidiaries and affiliates, and other companies (collectively, the “FMR Reporters”) and does not reflect securities, if any, beneficially owned by certain other companies whose beneficial ownership of securities is disaggregated from that of the FMR Reporters in accordance with SEC Release No. 34-39538 (January 12, 1998). Abigail P. Johnson is a Director, the Chairman, the Chief Executive Officer and the President of FMR LLC. Members of the Johnson family, including Abigail P. Johnson, are the predominant owners, directly or through trusts, of Series B voting common shares of FMR LLC, representing 49% of the voting power of FMR LLC. The Johnson family group and all other Series B shareholders have entered into a shareholders' voting agreement under which all Series B voting common shares will be voted in accordance with the majority vote of Series B voting common shares. Accordingly, through their ownership of voting common shares and the execution of the shareholders' voting agreement, members of the Johnson family may be deemed, under the Investment Company Act of 1940, to form a controlling group with respect to FMR LLC. Neither FMR LLC nor Abigail P. Johnson has the sole power to vote or direct the voting of the shares owned directly by the various investment companies registered under the Investment Company Act (“Fidelity Funds”) advised by Fidelity Management &amp; Research Company LLC (“FMR Co. LLC”), a wholly owned subsidiary of FMR LLC, which power resides with the Fidelity Funds' Boards of Trustees. FMR Co. LLC carries out the voting of the shares under written guidelines established by the Fidelity Funds' Boards of Trustees. The business address of this stockholder is 245 Summer Street, Boston, MA 02210.</w:t>
      </w:r>
    </w:p>
    <w:p>
      <w:pPr>
        <w:spacing w:after="0" w:line="3" w:lineRule="exact"/>
        <w:rPr>
          <w:rFonts w:ascii="Times New Roman" w:cs="Times New Roman" w:eastAsia="Times New Roman" w:hAnsi="Times New Roman"/>
          <w:sz w:val="14"/>
          <w:szCs w:val="14"/>
          <w:color w:val="auto"/>
        </w:rPr>
      </w:pPr>
    </w:p>
    <w:p>
      <w:pPr>
        <w:ind w:left="340" w:right="80" w:hanging="332"/>
        <w:spacing w:after="0" w:line="241" w:lineRule="auto"/>
        <w:tabs>
          <w:tab w:leader="none" w:pos="332"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a Schedule 13G filed by Samlyn Capital, LLC's (“Samlyn Capital”), Samlyn, LP and Robert Pohly with the SEC on February 14, 2022. Each of Samlyn Capital, Samlyn, LP and Robert Pohly have shared voting power and shared dispositive power over all of the shares. All of the shares are directly owned by advisory clients of Samlyn Capital. None of those advisory clients may be deemed to beneficially own more than 5% of Class A common stock. Samlyn Capital, Samlyn, LP and Robert Pohly disclaim beneficial ownership of the reported securities except to the extent of their respective pecuniary interests therein, and this proxy statement shall not be deemed an admission that any of them are the beneficial owners of the securities for purposes of Section 16 of the Exchange Act, or for any other purpose. The address for each of Samlyn Capital, Samlyn, LP and Robert Pohly is c/o Samlyn Capital, LLC, 500 Park Avenue, New York, NY 10022.</w:t>
      </w:r>
    </w:p>
    <w:p>
      <w:pPr>
        <w:spacing w:after="0" w:line="2" w:lineRule="exact"/>
        <w:rPr>
          <w:rFonts w:ascii="Times New Roman" w:cs="Times New Roman" w:eastAsia="Times New Roman" w:hAnsi="Times New Roman"/>
          <w:sz w:val="14"/>
          <w:szCs w:val="14"/>
          <w:color w:val="auto"/>
        </w:rPr>
      </w:pPr>
    </w:p>
    <w:p>
      <w:pPr>
        <w:jc w:val="both"/>
        <w:ind w:left="340" w:hanging="332"/>
        <w:spacing w:after="0" w:line="241" w:lineRule="auto"/>
        <w:tabs>
          <w:tab w:leader="none" w:pos="332"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a Schedule 13G filed by Schroder Investment Management North America Inc. (“Schroder”) with the SEC on February 9, 2022. Schroder has sole voting power and sole dispositive power over all of the shares of Class A common stock. Schroder is a registered investment adviser with its respective home country regulator. Schroder is located in the United States at 7 Bryant Park, 19th Floor, New York, NY 10018.</w:t>
      </w:r>
    </w:p>
    <w:p>
      <w:pPr>
        <w:spacing w:after="0" w:line="1" w:lineRule="exact"/>
        <w:rPr>
          <w:rFonts w:ascii="Times New Roman" w:cs="Times New Roman" w:eastAsia="Times New Roman" w:hAnsi="Times New Roman"/>
          <w:sz w:val="14"/>
          <w:szCs w:val="14"/>
          <w:color w:val="auto"/>
        </w:rPr>
      </w:pPr>
    </w:p>
    <w:p>
      <w:pPr>
        <w:ind w:left="340" w:right="80" w:hanging="332"/>
        <w:spacing w:after="0" w:line="241" w:lineRule="auto"/>
        <w:tabs>
          <w:tab w:leader="none" w:pos="332"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a Schedule 13G filed by Basswood Capital Management, L.L.C. (“Basswood”), Matthew Lindenbaum and Bennett Lindenbaum with the SEC on November 15, 2021. Basswood, Matthew Lindenbaum and Bennett Lindebaum have shared voting power and shared dispositive power with respect to all of the shares. The address for Basswood Capital Management L.L.C. is 645 Madison Avenue, 10th Floor, New York, NY, 10022.</w:t>
      </w:r>
    </w:p>
    <w:p>
      <w:pPr>
        <w:spacing w:after="0" w:line="1" w:lineRule="exact"/>
        <w:rPr>
          <w:rFonts w:ascii="Times New Roman" w:cs="Times New Roman" w:eastAsia="Times New Roman" w:hAnsi="Times New Roman"/>
          <w:sz w:val="14"/>
          <w:szCs w:val="14"/>
          <w:color w:val="auto"/>
        </w:rPr>
      </w:pPr>
    </w:p>
    <w:p>
      <w:pPr>
        <w:ind w:left="340" w:right="80" w:hanging="332"/>
        <w:spacing w:after="0" w:line="241" w:lineRule="auto"/>
        <w:tabs>
          <w:tab w:leader="none" w:pos="332"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a Schedule 13G/A filed by Adage Capital Partners, L.P., a Delaware limited partnership (“ACP”), Adage Capital Partners GP, L.L.C., a Delaware limited liability company (“ACPGP”), Adage Capital Advisors, L.L.C., a Delaware limited liability company (“AC Advisors”), Robert Atchinson and Phillip Gross with the SEC on February 10, 2022. ACP has the power to dispose of and the power to vote the shares of Class A common stock beneficially owned by it, which power may be exercised by its general partner, ACPGP. AC Advisors, as managing member of ACPGP, directs ACPGP’s operations. Neither ACPGP nor AC Advisors directly own any shares of Class A common stock. By reason of the provisions of Rule 13d-3 of the Exchange Act, ACPGP and AC Advisors may be deemed to beneficially own the shares owned by ACP. Robert Atchinson and Phillip Gross, as managing members of AC Advisors, have shared power to vote the shares of Class A common stock beneficially owned by ACP. Neither Mr. Atchinson nor Mr. Gross directly own any shares of PWP Class A common stock. By reason of the provisions of Rule 13d-3 of the Act, each may be deemed to beneficially own the shares beneficially owned by ACP. The business address of this stockholder is 200 Clarendon Street, 52nd Floor, Boston, MA 02116.</w:t>
      </w:r>
    </w:p>
    <w:p>
      <w:pPr>
        <w:spacing w:after="0" w:line="2" w:lineRule="exact"/>
        <w:rPr>
          <w:rFonts w:ascii="Times New Roman" w:cs="Times New Roman" w:eastAsia="Times New Roman" w:hAnsi="Times New Roman"/>
          <w:sz w:val="14"/>
          <w:szCs w:val="14"/>
          <w:color w:val="auto"/>
        </w:rPr>
      </w:pPr>
    </w:p>
    <w:p>
      <w:pPr>
        <w:ind w:left="340" w:hanging="332"/>
        <w:spacing w:after="0" w:line="241" w:lineRule="auto"/>
        <w:tabs>
          <w:tab w:leader="none" w:pos="332"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a Schedule 13G filed by Bay Pond Partners, L.P. (“Bay Pond”) with the SEC on January 31, 2022. Bay Pond has shared voting power and shared dispositive power with respect to all of the shares of Class A common stock. The address for Bay Pond is c/o Wellington Management Company LLP, 280 Congress Street, Boston, MA 02210.</w:t>
      </w:r>
    </w:p>
    <w:p>
      <w:pPr>
        <w:jc w:val="both"/>
        <w:ind w:left="340" w:hanging="332"/>
        <w:spacing w:after="0" w:line="241" w:lineRule="auto"/>
        <w:tabs>
          <w:tab w:leader="none" w:pos="337"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Shares of Class B-1 common stock are held by Professional Partners. This number correlates to 44.4 million PWP OpCo Class A partnership units held by Professional Partners, which represents 44.4 million shares of Class A common stock that may be issuable upon the exchange of 44.4 million PWP OpCo Class A partnership units. Professional Partners is controlled by Professionals GP. Each share of Class B-1 common stock has ten votes. Concurrently with an exchange of PWP OpCo Class A partnership units for shares of Class A common stock or cash by a PWP OpCo unitholder who also holds shares of Class B-1 common stock, such PWP OpCo unitholder will be required to surrender to the Company a number of shares of Class B-1 common stock equal to the number of PWP OpCo Class A partnership units exchanged, and such shares will be converted into shares of Class A common stock or cash (at the Company’s option) which will be delivered to such PWP OpCo unitholder (at the Company’s option) at a conversion rate of 1:1000 (or 0.001). Professionals GP is the general partner of Professional Partners. There is a committee of limited partners at Professionals GP, comprised of our non-independent directors, that has voting and dispositive power over the securities held by Professional Partners. Mr. Weinberg, in his capacity as Chief Executive Officer, is the chair of such committee and has certain rights with respect to the constitution of the committee. The members of the committee disclaim beneficial ownership of the securities held by Professional Partners, except to the extent of their pecuniary interest therein.</w:t>
      </w:r>
    </w:p>
    <w:p>
      <w:pPr>
        <w:spacing w:after="0" w:line="3"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This number excludes 1,122,264 shares of our Class A common stock that may be issuable upon redemption of the 1,122,264 PWP OpCo Class A partnership units held by TWCL US Inc.</w:t>
      </w:r>
    </w:p>
    <w:p>
      <w:pPr>
        <w:spacing w:after="0" w:line="1" w:lineRule="exact"/>
        <w:rPr>
          <w:rFonts w:ascii="Times New Roman" w:cs="Times New Roman" w:eastAsia="Times New Roman" w:hAnsi="Times New Roman"/>
          <w:sz w:val="14"/>
          <w:szCs w:val="14"/>
          <w:color w:val="auto"/>
        </w:rPr>
      </w:pPr>
    </w:p>
    <w:p>
      <w:pPr>
        <w:ind w:left="340" w:hanging="332"/>
        <w:spacing w:after="0" w:line="249" w:lineRule="auto"/>
        <w:tabs>
          <w:tab w:leader="none" w:pos="337"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This number excludes 841,780 shares of our Class A common stock that may be issuable upon redemption of the 841,780 PWP OpCo Class A partnership units held by Red Hook Capital LLC.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240"/>
          </w:cols>
          <w:pgMar w:left="320" w:top="1413" w:right="339" w:bottom="1440" w:gutter="0" w:footer="0" w:header="0"/>
        </w:sectPr>
      </w:pPr>
    </w:p>
    <w:bookmarkStart w:id="33" w:name="page34"/>
    <w:bookmarkEnd w:id="33"/>
    <w:p>
      <w:pPr>
        <w:jc w:val="both"/>
        <w:ind w:left="340" w:hanging="332"/>
        <w:spacing w:after="0" w:line="244" w:lineRule="auto"/>
        <w:tabs>
          <w:tab w:leader="none" w:pos="337"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841,780 shares of our Class A common stock that may be issuable upon redemption of the 841,780 PWP OpCo Class A partnership units that are held directly by Red Hook Capital LLC (“Red Hook”) over which Mr. Weinberg has shared voting and dispositive power through his shared control of Rosedale Partners LLC, the sole member of Red Hook. Mr. Weinberg holds or will hold on a fully-vested basis within sixty (60) days, 1,412,623 partnership units of Professional Partners that may be redeemed for 1,412,623 PWP OpCo Class A partnership units that are held by Professional Partners on behalf of Peter A. Weinberg and exchanged for 1,412,623 shares of our Class A common stock. These shares of our Class A common stock represent approximately 2.0% of the shares of our Class A common stock that would be outstanding if all outstanding such vested partnership units of Professional Partners were exchanged for PWP OpCo Class A partnership units, and such PWP OpCo Class A partnership units were then exchanged, together with an equal number of Class B-1 common stock, for our Class A common stock. Mr. Weinberg would hold on a fully-vested basis, 3,397,036 partnership units of Professional Partners that may be redeemed for 3,397,036 PWP OpCo Class A partnership units that are held by Professional Partners on behalf of Mr. Weinberg and exchanged for 3,397,036 shares of our Class A common stock. These shares of our Class A common stock represent approximately 3.6% of the shares of our Class A common stock that would be outstanding if all outstanding such vested and unvested partnership units of Professional Partners were exchanged for PWP OpCo Class A partnership units, and such PWP OpCo Class A partnership units were then exchanged, together with an equal number of Class B-1 common stock, for our Class A common stock.</w:t>
      </w:r>
    </w:p>
    <w:p>
      <w:pPr>
        <w:spacing w:after="0" w:line="161" w:lineRule="exact"/>
        <w:rPr>
          <w:rFonts w:ascii="Times New Roman" w:cs="Times New Roman" w:eastAsia="Times New Roman" w:hAnsi="Times New Roman"/>
          <w:sz w:val="14"/>
          <w:szCs w:val="14"/>
          <w:color w:val="auto"/>
        </w:rPr>
      </w:pPr>
    </w:p>
    <w:p>
      <w:pPr>
        <w:jc w:val="both"/>
        <w:ind w:left="340" w:hanging="332"/>
        <w:spacing w:after="0" w:line="241" w:lineRule="auto"/>
        <w:tabs>
          <w:tab w:leader="none" w:pos="337"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This number excludes 4,058,854 shares of our Class A common stock that may be issuable upon the exchange of 4,058,854 PWP OpCo Class A partnership units that are held by Professional Partners on behalf of Joseph R. Perella that Mr. Perella may receive upon redemption of 4,058,854 partnership units of Professional Partners that Mr. Perella holds or will hold upon on a fully-vested basis within sixty (60) days. These shares of our Class A common stock represent approximately 5.8% of the shares of our Class A common stock that would be outstanding if all outstanding such vested partnership units of Professional Partners were exchanged for PWP OpCo Class A partnership units, and such PWP OpCo Class A partnership units were then exchanged, together with an equal number of Class B-1 common stock, for our Class A common stock. Mr. Perella would hold on a fully-vested basis, 4,058,854 partnership units of Professional Partners that may be redeemed for 4,058,854 PWP OpCo Class A partnership units that are held by Professional Partners on behalf of Mr. Perella and exchanged for 4,058,854 shares of our Class A common stock. These shares of our Class A common stock represent approximately 4.3% of the shares of our Class A common stock that would be outstanding if all outstanding such vested and unvested partnership units of Professional Partners were exchanged for PWP OpCo Class A partnership units, and such PWP OpCo Class A partnership units were then exchanged, together with an equal number of Class B-1 common stock, for our Class A common stock.</w:t>
      </w:r>
    </w:p>
    <w:p>
      <w:pPr>
        <w:spacing w:after="0" w:line="3" w:lineRule="exact"/>
        <w:rPr>
          <w:rFonts w:ascii="Times New Roman" w:cs="Times New Roman" w:eastAsia="Times New Roman" w:hAnsi="Times New Roman"/>
          <w:sz w:val="14"/>
          <w:szCs w:val="14"/>
          <w:color w:val="auto"/>
        </w:rPr>
      </w:pPr>
    </w:p>
    <w:p>
      <w:pPr>
        <w:jc w:val="both"/>
        <w:ind w:left="340" w:hanging="332"/>
        <w:spacing w:after="0" w:line="241" w:lineRule="auto"/>
        <w:tabs>
          <w:tab w:leader="none" w:pos="337"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This number excludes 708,437 shares of our Class A common stock that may be issuable upon the exchange of 708,437 PWP OpCo Class A partnership units that are held by Professional Partners on behalf of Robert K. Steel that Mr. Steel may receive upon redemption of 708,437 partnership units of Professional Partners that Mr. Steel holds or will hold upon on a fully-vested basis within sixty (60) days. These shares of our Class A common stock represent approximately 1.0% of the shares of our Class A common stock that would be outstanding if all outstanding such vested partnership units of Professional Partners were exchanged for PWP OpCo Class A partnership units, and such PWP OpCo Class A partnership units were then exchanged, together with an equal number of Class B-1 common stock, for our Class A common stock. Mr. Steel would hold on a fully-vested basis, 970,582 partnership units of Professional Partners that may be redeemed for 970,582 PWP OpCo Class A partnership units that are held by Professional Partners on behalf of Mr. Steel and exchanged for 970,582 shares of our Class A common stock. These shares of our Class A common stock represent approximately 1.0% of the shares of our Class A common stock that would be outstanding if all outstanding such vested and unvested partnership units of Professional Partners were exchanged for PWP OpCo Class A partnership units, and such PWP OpCo Class A partnership units were then exchanged, together with an equal number of Class B-1 common stock, for our Class A common stock.</w:t>
      </w:r>
    </w:p>
    <w:p>
      <w:pPr>
        <w:spacing w:after="0" w:line="3" w:lineRule="exact"/>
        <w:rPr>
          <w:rFonts w:ascii="Times New Roman" w:cs="Times New Roman" w:eastAsia="Times New Roman" w:hAnsi="Times New Roman"/>
          <w:sz w:val="14"/>
          <w:szCs w:val="14"/>
          <w:color w:val="auto"/>
        </w:rPr>
      </w:pPr>
    </w:p>
    <w:p>
      <w:pPr>
        <w:jc w:val="both"/>
        <w:ind w:left="340" w:hanging="332"/>
        <w:spacing w:after="0" w:line="241" w:lineRule="auto"/>
        <w:tabs>
          <w:tab w:leader="none" w:pos="337"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This number excludes 206,065 shares of our Class A common stock that may be issuable upon the exchange of 206,065 PWP OpCo Class A partnership units that are held by Professional Partners on behalf of Gary S. Barancik that Mr. Barancik may receive upon redemption of 206,065 partnership units of Professional Partners that Mr. Barancik holds or will hold upon on a fully-vested basis within sixty (60) days. These shares of our Class A common stock represent approximately 0.3% of the shares of our Class A common stock that would be outstanding if all outstanding such vested partnership units of Professional Partners were exchanged for PWP OpCo Class A partnership units, and such PWP OpCo Class A partnership units were then exchanged, together with an equal number of Class B-1 common stock, for our Class A common stock. Mr. Barancik would hold on a fully-vested basis, 727,936 partnership units of Professional Partners that may be redeemed for 727,936 PWP OpCo Class A partnership units that are held by Professional Partners on behalf of Mr. Barancik and exchanged for 727,936 shares of our Class A common stock. These shares of our Class A common stock represent approximately 0.8% of the shares of our Class A common stock that would be outstanding if all outstanding such vested and unvested partnership units of Professional Partners were exchanged for PWP OpCo Class A partnership units, and such PWP OpCo Class A partnership units were then exchanged, together with an equal number of Class B-1 common stock, for our Class A common stock.</w:t>
      </w:r>
    </w:p>
    <w:p>
      <w:pPr>
        <w:spacing w:after="0" w:line="3" w:lineRule="exact"/>
        <w:rPr>
          <w:rFonts w:ascii="Times New Roman" w:cs="Times New Roman" w:eastAsia="Times New Roman" w:hAnsi="Times New Roman"/>
          <w:sz w:val="14"/>
          <w:szCs w:val="14"/>
          <w:color w:val="auto"/>
        </w:rPr>
      </w:pPr>
    </w:p>
    <w:p>
      <w:pPr>
        <w:jc w:val="both"/>
        <w:ind w:left="340" w:hanging="332"/>
        <w:spacing w:after="0" w:line="243" w:lineRule="auto"/>
        <w:tabs>
          <w:tab w:leader="none" w:pos="337"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This number excludes 767,301 shares of our Class A common stock that may be issuable upon the exchange of 767,301 PWP OpCo Class A partnership units that are held by Professional Partners on behalf of Dietrich Becker that Mr. Becker may receive upon redemption of 767,301 partnership units of Professional Partners that Mr. Becker holds or will hold upon on a fully-vested basis within sixty (60) days. These shares of our Class A common stock represent approximately 1.1% of the shares of our Class A common stock that would be outstanding if all outstanding such vested partnership units of Professional Partners were exchanged for PWP OpCo Class A partnership units, and such PWP OpCo Class A partnership units were then exchanged, together with an equal number of Class B-1 common stock, for our Class A common stock. Mr. Becker would hold on a fully-vested basis, 2,305,132 partnership units of Professional Partners that may be redeemed for 2,305,132 PWP OpCo Class A partnership units that are held by Professional Partners on behalf of Mr. Becker and exchanged for 2,305,132 shares of our Class A common stock. These shares of our Class A common stock represent approximately 2.5% of the shares of our Class A common stock that would be outstanding if all outstanding such vested and unvested partnership units of Professional Partners were exchanged for PWP OpCo Class A partnership units, and such PWP OpCo Class A partnership units were then exchanged, together with an equal number of Class B-1 common stock, for our Class A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240"/>
          </w:cols>
          <w:pgMar w:left="320" w:top="1413" w:right="339" w:bottom="1440" w:gutter="0" w:footer="0" w:header="0"/>
        </w:sectPr>
      </w:pPr>
    </w:p>
    <w:bookmarkStart w:id="34" w:name="page35"/>
    <w:bookmarkEnd w:id="34"/>
    <w:p>
      <w:pPr>
        <w:jc w:val="both"/>
        <w:ind w:left="340" w:hanging="332"/>
        <w:spacing w:after="0" w:line="244" w:lineRule="auto"/>
        <w:tabs>
          <w:tab w:leader="none" w:pos="337"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This number excludes 903,790 shares of our Class A common stock that may be issuable upon the exchange of 903,790 PWP OpCo Class A partnership units that are held by Professional Partners on behalf of Andrew Bednar that Mr. Bednar may receive upon redemption of 903,790 partnership units of Professional Partners that Mr. Bednar holds or will hold upon on a fully-vested basis within sixty (60) days. These shares of our Class A common stock represent approximately 1.3% of the shares of our Class A common stock that would be outstanding if all outstanding such vested partnership units of Professional Partners were exchanged for PWP OpCo Class A partnership units, and such PWP OpCo Class A partnership units were then exchanged, together with an equal number of Class B-1 common stock, for our Class A common stock. Mr. Bednar would hold on a fully-vested basis, 2,305,132 partnership units of Professional Partners that may be redeemed for 2,305,132 PWP OpCo Class A partnership units that are held by Professional Partners on behalf of Mr. Bednar and exchanged for 2,305,132 shares of our Class A common stock. These shares of our Class A common stock represent approximately 2.5% of the shares of our Class A common stock that would be outstanding if all outstanding such vested and unvested partnership units of Professional Partners were exchanged for PWP OpCo Class A partnership units, and such PWP OpCo Class A partnership units were then exchanged, together with an equal number of Class B-1 common stock, for our Class A common stock.</w:t>
      </w:r>
    </w:p>
    <w:p>
      <w:pPr>
        <w:jc w:val="both"/>
        <w:ind w:left="340" w:hanging="332"/>
        <w:spacing w:after="0" w:line="241" w:lineRule="auto"/>
        <w:tabs>
          <w:tab w:leader="none" w:pos="337"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This number excludes 46,371 shares of our Class A common stock that may be issuable upon the exchange of 46,371 PWP OpCo Class A partnership units that are held by Professional Partners on behalf of Vladimir Shendelman that Mr. Shendelman may receive upon redemption of 46,371 partnership units of Professional Partners that Mr. Shendelman holds or will hold upon on a fully-vested basis within sixty (60) days. These shares of our Class A common stock represent approximately 0.1% of the shares of our Class A common stock that would be outstanding if all outstanding such vested partnership units of Professional Partners were exchanged for PWP OpCo Class A partnership units, and such PWP OpCo Class A partnership units were then exchanged, together with an equal number of Class B-1 common stock, for our Class A common stock. Mr. Shendelman would hold on a fully-vested basis, 485,291 partnership units of Professional Partners that may be redeemed for 485,291 PWP OpCo Class A partnership units that are held by Professional Partners on behalf of Mr. Shendelman and exchanged for 485,291 shares of our Class A common stock. These shares of our Class A common stock represent approximately 0.5% of the shares of our Class A common stock that would be outstanding if all outstanding such vested and unvested partnership units of Professional Partners were exchanged for PWP OpCo Class A partnership units, and such PWP OpCo Class A partnership units were then exchanged, together with an equal number of Class B-1 common stock, for our Class A common stock.</w:t>
      </w:r>
    </w:p>
    <w:p>
      <w:pPr>
        <w:spacing w:after="0" w:line="3"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shares that may be acquired within 60 days of March 30, 2022, upon vesting of shares underlying restricted stock units.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240"/>
          </w:cols>
          <w:pgMar w:left="320" w:top="1413" w:right="339" w:bottom="1440" w:gutter="0" w:footer="0" w:header="0"/>
        </w:sectPr>
      </w:pPr>
    </w:p>
    <w:bookmarkStart w:id="35" w:name="page36"/>
    <w:bookmarkEnd w:id="35"/>
    <w:p>
      <w:pPr>
        <w:spacing w:after="0" w:line="1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DELINQUENT SECTION 16(A) REPORTS</w:t>
      </w:r>
    </w:p>
    <w:p>
      <w:pPr>
        <w:spacing w:after="0" w:line="189"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Section 16(a) of the Securities Exchange Act of 1934, as amended, requires the Company’s directors and executive officers and persons who own more than 10% of a registered class of the Company’s equity securities (“Reporting Persons”) to file with the SEC reports on Forms 3, 4 and 5 concerning their ownership of and transactions in the common stock and other equity securities of the Company, generally within two business days of a reportable transaction. As a practical matter, the Company seeks to assist its directors and executives by monitoring transactions and completing and filing reports on their behalf.</w:t>
      </w:r>
    </w:p>
    <w:p>
      <w:pPr>
        <w:spacing w:after="0" w:line="156" w:lineRule="exact"/>
        <w:rPr>
          <w:sz w:val="20"/>
          <w:szCs w:val="20"/>
          <w:color w:val="auto"/>
        </w:rPr>
      </w:pPr>
    </w:p>
    <w:p>
      <w:pPr>
        <w:ind w:firstLine="324"/>
        <w:spacing w:after="0" w:line="252" w:lineRule="auto"/>
        <w:rPr>
          <w:sz w:val="20"/>
          <w:szCs w:val="20"/>
          <w:color w:val="auto"/>
        </w:rPr>
      </w:pPr>
      <w:r>
        <w:rPr>
          <w:rFonts w:ascii="Times New Roman" w:cs="Times New Roman" w:eastAsia="Times New Roman" w:hAnsi="Times New Roman"/>
          <w:sz w:val="18"/>
          <w:szCs w:val="18"/>
          <w:color w:val="auto"/>
        </w:rPr>
        <w:t>To our knowledge, based solely on review of the copies of such reports and any amendments thereto furnished to us during or with respect to our most recent fiscal year, all Section 16(a) filing requirements applicable to the Reporting Persons were satisfied, except that a Form 4 was not filed on a timely basis for: (i) FinTech Masala Advisors IV, LLC, Cohen Sponsor Interests IV, LLC, FinTech Masala, LLC and FinTech Masala Holdings, LLC with respect to the shares of the Company’s Class A common stock repurchased by the Company from FinTech Masala Advisors IV, LLC on August 9, 2021; (ii) Cohen Sponsor Interests IV, LLC, FinTech Masala, LLC and FinTech Masala Holdings, LLC with respect to the shares of Class A common stock repurchased by the Company from FinTech Investor Holdings IV, LLC on August 9, 2021; (iii) Cohen Sponsor Interests IV, LLC, FinTech Masala, LLC and FinTech Masala Holdings, LLC with respect to the deemed acquisition of the warrants to purchase shares of Class A common stock on September 29, 2021; (iv) Mr. Robert Steel with respect to the grant of performance-based RSUs on August 31, 2021 (which was filed by the Company on Mr. Steel’s behalf); (v) Ms. Betsy Cohen and Cohen Sponsor Interests IV, LLC with respect to (A) the sale of the shares of the Company’s Class B common stock on each of October 26, 2020 and June 24, 2021, (B) the disposition of shares of Class B common stock on June 24, 2021 and (C) the conversion of shares of Class B common stock into shares of Class A common stock on June 24, 2021; (vi) Mr. Daniel Cohen and Cohen Sponsor Interests IV, LLC with respect to (A) the sale of shares of Class B common stock on October 26, 2020, (B) the disposition of shares of Class B common stock on June 24, 2021, (C) the conversion of shares of Class B common stock into shares of Class A common stock on June 24, 2021 and (D) the sale of shares of Class B common stock on June 24,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240"/>
          </w:cols>
          <w:pgMar w:left="320" w:top="1440" w:right="339" w:bottom="1440" w:gutter="0" w:footer="0" w:header="0"/>
        </w:sectPr>
      </w:pPr>
    </w:p>
    <w:bookmarkStart w:id="36" w:name="page37"/>
    <w:bookmarkEnd w:id="36"/>
    <w:p>
      <w:pPr>
        <w:spacing w:after="0" w:line="190"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18"/>
          <w:szCs w:val="18"/>
          <w:b w:val="1"/>
          <w:bCs w:val="1"/>
          <w:color w:val="auto"/>
        </w:rPr>
        <w:t>CERTAIN RELATIONSHIPS AND RELATED PERSON TRANSACTIONS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Policy and Procedures for Related Person Transactions</w:t>
      </w:r>
    </w:p>
    <w:p>
      <w:pPr>
        <w:spacing w:after="0" w:line="189"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Our board of directors has adopted a written statement of policy regarding transactions with related persons, which we refer to as our “related person policy.” Our related person policy requires that a “related person” (as defined in paragraph (a) of Item 404 of Regulation S-K) must promptly disclose to our General Counsel any “related person transaction” (defined as any transaction that is anticipated to be reportable by us under Item 404(a) of Regulation S-K in which we were or are to be a participant and the amount involved exceeds $120,000 and in which any related person had or will have a direct or indirect material interest) and all material facts with respect thereto. The General Counsel will then promptly communicate that information to our board of directors. No related person transaction will be executed without the approval or ratification of our board of directors or a duly authorized committee of our board of directors. It is our policy that directors interested in a related person transaction will recuse themselves from any vote on a related person transaction in which they have an interest.</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FTIV Related Party Transactions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Founder Shares and Placement Units</w:t>
      </w:r>
    </w:p>
    <w:p>
      <w:pPr>
        <w:spacing w:after="0" w:line="202" w:lineRule="exact"/>
        <w:rPr>
          <w:sz w:val="20"/>
          <w:szCs w:val="20"/>
          <w:color w:val="auto"/>
        </w:rPr>
      </w:pPr>
    </w:p>
    <w:p>
      <w:pPr>
        <w:ind w:right="100" w:firstLine="324"/>
        <w:spacing w:after="0" w:line="255" w:lineRule="auto"/>
        <w:rPr>
          <w:sz w:val="20"/>
          <w:szCs w:val="20"/>
          <w:color w:val="auto"/>
        </w:rPr>
      </w:pPr>
      <w:r>
        <w:rPr>
          <w:rFonts w:ascii="Times New Roman" w:cs="Times New Roman" w:eastAsia="Times New Roman" w:hAnsi="Times New Roman"/>
          <w:sz w:val="18"/>
          <w:szCs w:val="18"/>
          <w:color w:val="auto"/>
        </w:rPr>
        <w:t>In November 2018, FinTech Investor Holdings IV, LLC (the “Sponsor”) purchased 7,382,500 founder shares (the “Founder Shares”) for an aggregate purchase price of $25,000. FTIV effected a 1.3333333-for-1 forward stock split in June 2019. On August 10, 2020, 1,973,333 Founder Shares were contributed back to capital, and, as a result, the initial stockholders held 7,870,000 Founder Shares. The number of Founder Shares was determined based on the expectation that the Founder Shares would represent 25% of the aggregate of the Founder Shares, the Placement Shares (as defined below) and the issued and outstanding public shares after the initial public offering (the “IPO”). The Founder Shares represented 100% of the issued and outstanding shares of Class B common stock. Certain of FTIV’s former officers and directors, including Betsy Z. Cohen, Daniel G. Cohen, James J. McEntee, III, Laura S. Kohn, Jan Rock Zubrow, Madelyn Antoncic and Brittain Ezzes, had a direct or indirect economic interest in the Sponsor.</w:t>
      </w:r>
    </w:p>
    <w:p>
      <w:pPr>
        <w:spacing w:after="0" w:line="148" w:lineRule="exact"/>
        <w:rPr>
          <w:sz w:val="20"/>
          <w:szCs w:val="20"/>
          <w:color w:val="auto"/>
        </w:rPr>
      </w:pPr>
    </w:p>
    <w:p>
      <w:pPr>
        <w:ind w:right="40" w:firstLine="324"/>
        <w:spacing w:after="0" w:line="266" w:lineRule="auto"/>
        <w:rPr>
          <w:sz w:val="20"/>
          <w:szCs w:val="20"/>
          <w:color w:val="auto"/>
        </w:rPr>
      </w:pPr>
      <w:r>
        <w:rPr>
          <w:rFonts w:ascii="Times New Roman" w:cs="Times New Roman" w:eastAsia="Times New Roman" w:hAnsi="Times New Roman"/>
          <w:sz w:val="18"/>
          <w:szCs w:val="18"/>
          <w:color w:val="auto"/>
        </w:rPr>
        <w:t>In connection with the Business Combination, the Sponsor forfeited 1,023,333 Founder Shares. The remaining Founder Shares automatically converted into shares of our Class A common stock at the time of the closing of the Business Combination. We also refer to the shares of Class A common stock that they converted into upon the consummation of the Business Combination as the “Founder Shares.”</w:t>
      </w:r>
    </w:p>
    <w:p>
      <w:pPr>
        <w:spacing w:after="0" w:line="135" w:lineRule="exact"/>
        <w:rPr>
          <w:sz w:val="20"/>
          <w:szCs w:val="20"/>
          <w:color w:val="auto"/>
        </w:rPr>
      </w:pPr>
    </w:p>
    <w:p>
      <w:pPr>
        <w:ind w:right="20" w:firstLine="324"/>
        <w:spacing w:after="0" w:line="253" w:lineRule="auto"/>
        <w:rPr>
          <w:sz w:val="20"/>
          <w:szCs w:val="20"/>
          <w:color w:val="auto"/>
        </w:rPr>
      </w:pPr>
      <w:r>
        <w:rPr>
          <w:rFonts w:ascii="Times New Roman" w:cs="Times New Roman" w:eastAsia="Times New Roman" w:hAnsi="Times New Roman"/>
          <w:sz w:val="18"/>
          <w:szCs w:val="18"/>
          <w:color w:val="auto"/>
        </w:rPr>
        <w:t>FTIV’s initial stockholders agreed not to transfer, assign or sell any of their Founder Shares (except to permitted transferees) (i) with respect to 25% of such shares, until consummation of an initial business combination, (ii) with respect to 25% of such shares, until the closing price of our Class A common stock exceeds $12.00 for any 20 trading days within a 30-trading day period following the consummation of an initial business combination, (iii) with respect to 25% of such shares, until the closing price of our Class A common stock exceeds $13.50 for any 20 trading days within a 30-trading day period following the consummation of an initial business combination, and (iv) with respect to 25% of such shares, until the closing price of our Class A common stock exceeds $17.00 for any 20 trading days within a 30-trading day period following the consummation of an initial business combination or earlier, in any case, if, following a business combination, FTIV completes a liquidation, merger, capital stock exchange or other similar transaction that results in all of FTIV’s stockholders having the right to exchange their shares of common stock for cash, securities or other property. Notwithstanding the foregoing, in connection with an initial business combination, the initial holders may transfer, assign or sell their Founder Shares with FTIV’s consent to any person or entity that agrees in writing to be bound by the transfer restrictions set forth in the prior sentence. The transfer restrictions have been amended by the Sponsor Share Surrender and Share Restriction Agreement, as amended. See “—Sponsor Share Surrender and Share Restriction Agreement” below for a description of these transfer restrictions.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200"/>
          </w:cols>
          <w:pgMar w:left="320" w:top="1440" w:right="379" w:bottom="1440" w:gutter="0" w:footer="0" w:header="0"/>
        </w:sectPr>
      </w:pPr>
    </w:p>
    <w:bookmarkStart w:id="37" w:name="page38"/>
    <w:bookmarkEnd w:id="37"/>
    <w:p>
      <w:pPr>
        <w:spacing w:after="0" w:line="153" w:lineRule="exact"/>
        <w:rPr>
          <w:sz w:val="20"/>
          <w:szCs w:val="20"/>
          <w:color w:val="auto"/>
        </w:rPr>
      </w:pPr>
    </w:p>
    <w:p>
      <w:pPr>
        <w:ind w:right="100" w:firstLine="324"/>
        <w:spacing w:after="0" w:line="261" w:lineRule="auto"/>
        <w:rPr>
          <w:sz w:val="20"/>
          <w:szCs w:val="20"/>
          <w:color w:val="auto"/>
        </w:rPr>
      </w:pPr>
      <w:r>
        <w:rPr>
          <w:rFonts w:ascii="Times New Roman" w:cs="Times New Roman" w:eastAsia="Times New Roman" w:hAnsi="Times New Roman"/>
          <w:sz w:val="18"/>
          <w:szCs w:val="18"/>
          <w:color w:val="auto"/>
        </w:rPr>
        <w:t>Simultaneously with the IPO, the Sponsor purchased an aggregate of 610,000 placement units (at a price of $10.00 per unit (or an aggregate purchase price of $6,100,000)). Each placement unit consists of one Placement Share and one-third of one private placement warrant (the “Private Placement Warrants”) to purchase one share of Class A common stock exercisable at $11.50. We refer to the 610,000 shares of Class A common stock underlying the 610,000 units that were initially issued to the Sponsor in a private placement simultaneously with the closing of the IPO as the “Placement Shares.”</w:t>
      </w:r>
    </w:p>
    <w:p>
      <w:pPr>
        <w:spacing w:after="0" w:line="153"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The Private Placement Warrants are identical to the warrants included in the units sold in the IPO (the “Public Warrants”), except that if held by the Sponsor or their permitted transferees, (i) they will not be redeemable by FTIV, (ii) they (including the Class A common stock issuable upon exercise of these warrants) could not, subject to certain limited exceptions, be transferred, assigned or sold until July 24, 2021, 30 days after the closing of the Business Combination, and (iii) they may be exercised by the holders on a cashless basis.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Promissory Note and Advance—Related Party</w:t>
      </w:r>
    </w:p>
    <w:p>
      <w:pPr>
        <w:spacing w:after="0" w:line="189" w:lineRule="exact"/>
        <w:rPr>
          <w:sz w:val="20"/>
          <w:szCs w:val="20"/>
          <w:color w:val="auto"/>
        </w:rPr>
      </w:pPr>
    </w:p>
    <w:p>
      <w:pPr>
        <w:jc w:val="both"/>
        <w:ind w:right="60" w:firstLine="324"/>
        <w:spacing w:after="0" w:line="261" w:lineRule="auto"/>
        <w:rPr>
          <w:sz w:val="20"/>
          <w:szCs w:val="20"/>
          <w:color w:val="auto"/>
        </w:rPr>
      </w:pPr>
      <w:r>
        <w:rPr>
          <w:rFonts w:ascii="Times New Roman" w:cs="Times New Roman" w:eastAsia="Times New Roman" w:hAnsi="Times New Roman"/>
          <w:sz w:val="18"/>
          <w:szCs w:val="18"/>
          <w:color w:val="auto"/>
        </w:rPr>
        <w:t>On June 12, 2019, as amended on August 5, 2020, FTIV issued a promissory note to the Sponsor, pursuant to which the Sponsor agreed to loan FTIV up to an aggregate of $500,000 to be used for the payment of costs related to the IPO. The promissory note was non-interest bearing, unsecured and due on the earlier of December 31, 2020, or the completion of the IPO. The outstanding balance under the promissory note of $90,869 was repaid at the closing of the IPO on September 29, 2020.</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Administrative Services</w:t>
      </w:r>
    </w:p>
    <w:p>
      <w:pPr>
        <w:spacing w:after="0" w:line="189" w:lineRule="exact"/>
        <w:rPr>
          <w:sz w:val="20"/>
          <w:szCs w:val="20"/>
          <w:color w:val="auto"/>
        </w:rPr>
      </w:pPr>
    </w:p>
    <w:p>
      <w:pPr>
        <w:ind w:right="60" w:firstLine="324"/>
        <w:spacing w:after="0" w:line="266" w:lineRule="auto"/>
        <w:rPr>
          <w:sz w:val="20"/>
          <w:szCs w:val="20"/>
          <w:color w:val="auto"/>
        </w:rPr>
      </w:pPr>
      <w:r>
        <w:rPr>
          <w:rFonts w:ascii="Times New Roman" w:cs="Times New Roman" w:eastAsia="Times New Roman" w:hAnsi="Times New Roman"/>
          <w:sz w:val="18"/>
          <w:szCs w:val="18"/>
          <w:color w:val="auto"/>
        </w:rPr>
        <w:t>Commencing on September 25, 2020, FTIV paid an amount equal to $20,000 per month to its Sponsor or their affiliate for office space, administrative and shared personnel support services provided to FTIV pursuant to an administrative services agreement. The agreement was terminated in connection with the closing of the Business Combination.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Registration Rights</w:t>
      </w:r>
    </w:p>
    <w:p>
      <w:pPr>
        <w:spacing w:after="0" w:line="202"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color w:val="auto"/>
        </w:rPr>
        <w:t>FTIV’s initial stockholders were entitled to registration rights pursuant to a registration rights agreement (the Registration Rights Agreement”), which was amended and restated in connection with the Business Combination. The Amended and Restated Registration Rights Agreement grants the Registration Rights Agreement parties certain registration rights with respect to their registrable securities. For additional information, see “—PWP Related Party Transactions—Amended and Restated Registration Rights Agreement” below.</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Stockholders Agreement</w:t>
      </w:r>
    </w:p>
    <w:p>
      <w:pPr>
        <w:spacing w:after="0" w:line="189" w:lineRule="exact"/>
        <w:rPr>
          <w:sz w:val="20"/>
          <w:szCs w:val="20"/>
          <w:color w:val="auto"/>
        </w:rPr>
      </w:pPr>
    </w:p>
    <w:p>
      <w:pPr>
        <w:ind w:right="220" w:firstLine="324"/>
        <w:spacing w:after="0" w:line="282" w:lineRule="auto"/>
        <w:rPr>
          <w:sz w:val="20"/>
          <w:szCs w:val="20"/>
          <w:color w:val="auto"/>
        </w:rPr>
      </w:pPr>
      <w:r>
        <w:rPr>
          <w:rFonts w:ascii="Times New Roman" w:cs="Times New Roman" w:eastAsia="Times New Roman" w:hAnsi="Times New Roman"/>
          <w:sz w:val="18"/>
          <w:szCs w:val="18"/>
          <w:color w:val="auto"/>
        </w:rPr>
        <w:t>In connection with the Business Combination, certain individuals entered into the Stockholders Agreement. For additional information, see “—PWP Related Party Transactions —Right of Professional Partners and Stockholders Agreement”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240"/>
          </w:cols>
          <w:pgMar w:left="320" w:top="1440" w:right="339" w:bottom="1440" w:gutter="0" w:footer="0" w:header="0"/>
        </w:sectPr>
      </w:pPr>
    </w:p>
    <w:bookmarkStart w:id="38" w:name="page39"/>
    <w:bookmarkEnd w:id="38"/>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Support Agreement</w:t>
      </w:r>
    </w:p>
    <w:p>
      <w:pPr>
        <w:spacing w:after="0" w:line="189" w:lineRule="exact"/>
        <w:rPr>
          <w:sz w:val="20"/>
          <w:szCs w:val="20"/>
          <w:color w:val="auto"/>
        </w:rPr>
      </w:pPr>
    </w:p>
    <w:p>
      <w:pPr>
        <w:ind w:firstLine="324"/>
        <w:spacing w:after="0" w:line="252" w:lineRule="auto"/>
        <w:rPr>
          <w:sz w:val="20"/>
          <w:szCs w:val="20"/>
          <w:color w:val="auto"/>
        </w:rPr>
      </w:pPr>
      <w:r>
        <w:rPr>
          <w:rFonts w:ascii="Times New Roman" w:cs="Times New Roman" w:eastAsia="Times New Roman" w:hAnsi="Times New Roman"/>
          <w:sz w:val="18"/>
          <w:szCs w:val="18"/>
          <w:color w:val="auto"/>
        </w:rPr>
        <w:t>Concurrently with the execution of the Business Combination Agreement, FTIV entered into a support agreement (the “Support Agreement”) with (i) the Sponsor, (ii) PWP OpCo, PWP GP, Professional Partners, Professionals GP (together, the “PWP Entities” and individually, a “PWP Entity”), and (iii) the equity holders of the PWP Entities (together with Sponsor and the PWP Entities, “Voting Parties”), pursuant to which the Voting Parties agreed to vote or cause to be voted all FTIV voting shares and all PWP Entities voting interests that they beneficially own (i) in favor of (A) the Business Combination and the Business Combination Agreement; (B) an amendment of Perella Weinberg Partners’ governing documents to extend the outside date for consummating the Business Combination, if applicable;(C) the reorganization of Professional Partners, immediately prior to, and contingent upon, the consummation of the Business Combination; and (ii) against (A) any action, proposal, transaction or agreement that could result in a breach under the Business Combination Agreement; (B) any proposal or offer from any Person (other than FTIV, the PWP Entities or any of their Affiliates) concerning any business combination transaction involving, or the issuance or acquisition of equity securities of, FTIV or the PWP Entities; and (C) any action, proposal, transaction or agreement that could adversely affect the timely consummation of the Business Combination or the fulfillment of any FTIV’s and the PWP Entities’ conditions under the Business Combination Agreement or change in any manner the voting rights of any class of shares of FTIV or the PWP Entities. The Support Agreement also provides that each holder of PWP Entities voting interests appoints Andrew Bednar and Gary Barancik, and each holder of FTIV common stock appoints Daniel G. Cohen and James J. McEntee, III, and each of them individually, as its proxies and attorneys-in-fact, to vote or act by written consent in accordance with the Support Agreement during the term thereof.</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Subscription Agreements</w:t>
      </w:r>
    </w:p>
    <w:p>
      <w:pPr>
        <w:spacing w:after="0" w:line="202" w:lineRule="exact"/>
        <w:rPr>
          <w:sz w:val="20"/>
          <w:szCs w:val="20"/>
          <w:color w:val="auto"/>
        </w:rPr>
      </w:pPr>
    </w:p>
    <w:p>
      <w:pPr>
        <w:ind w:right="80" w:firstLine="324"/>
        <w:spacing w:after="0" w:line="258" w:lineRule="auto"/>
        <w:rPr>
          <w:sz w:val="20"/>
          <w:szCs w:val="20"/>
          <w:color w:val="auto"/>
        </w:rPr>
      </w:pPr>
      <w:r>
        <w:rPr>
          <w:rFonts w:ascii="Times New Roman" w:cs="Times New Roman" w:eastAsia="Times New Roman" w:hAnsi="Times New Roman"/>
          <w:sz w:val="18"/>
          <w:szCs w:val="18"/>
          <w:color w:val="auto"/>
        </w:rPr>
        <w:t>Concurrently with the execution of the Business Combination Agreement, we entered into subscription agreements with the PIPE Investors (the “Subscription Agreements”), pursuant to which certain affiliates of FTIV subscribed for shares of our Class A common stock in connection with the PIPE investment. The PIPE investment was consummated in connection with the closing of the Business Combination, pursuant to which FM PWP Pipe Sponsor, LLC, an entity that is managed by Cohen Sponsor Interests IV, LLC and affiliated with the Sponsor, purchased 150,000 PIPE Shares for an aggregate purchase price of $1,500,000.</w:t>
      </w:r>
    </w:p>
    <w:p>
      <w:pPr>
        <w:spacing w:after="0" w:line="143" w:lineRule="exact"/>
        <w:rPr>
          <w:sz w:val="20"/>
          <w:szCs w:val="20"/>
          <w:color w:val="auto"/>
        </w:rPr>
      </w:pPr>
    </w:p>
    <w:p>
      <w:pPr>
        <w:ind w:right="200" w:firstLine="324"/>
        <w:spacing w:after="0" w:line="266" w:lineRule="auto"/>
        <w:rPr>
          <w:sz w:val="20"/>
          <w:szCs w:val="20"/>
          <w:color w:val="auto"/>
        </w:rPr>
      </w:pPr>
      <w:r>
        <w:rPr>
          <w:rFonts w:ascii="Times New Roman" w:cs="Times New Roman" w:eastAsia="Times New Roman" w:hAnsi="Times New Roman"/>
          <w:sz w:val="18"/>
          <w:szCs w:val="18"/>
          <w:color w:val="auto"/>
        </w:rPr>
        <w:t>The shares of Class A common stock issued in connection with the Subscription Agreements were not registered under the Securities Act, and were issued in reliance on the exemption from registration requirements thereof provided by Section 4(a)(2) of the Securities Act and/or Regulation D promulgated thereunder.</w:t>
      </w:r>
    </w:p>
    <w:p>
      <w:pPr>
        <w:spacing w:after="0" w:line="135" w:lineRule="exact"/>
        <w:rPr>
          <w:sz w:val="20"/>
          <w:szCs w:val="20"/>
          <w:color w:val="auto"/>
        </w:rPr>
      </w:pPr>
    </w:p>
    <w:p>
      <w:pPr>
        <w:ind w:right="220" w:firstLine="324"/>
        <w:spacing w:after="0" w:line="255" w:lineRule="auto"/>
        <w:rPr>
          <w:sz w:val="20"/>
          <w:szCs w:val="20"/>
          <w:color w:val="auto"/>
        </w:rPr>
      </w:pPr>
      <w:r>
        <w:rPr>
          <w:rFonts w:ascii="Times New Roman" w:cs="Times New Roman" w:eastAsia="Times New Roman" w:hAnsi="Times New Roman"/>
          <w:sz w:val="18"/>
          <w:szCs w:val="18"/>
          <w:color w:val="auto"/>
        </w:rPr>
        <w:t>The Subscription Agreements for the non-Sponsor PIPE investors, and other than the subscribing Perella Weinberg Partners executives, provide for certain registration rights. In particular, we were required to, as soon as practicable but no later than 30 calendar days following the closing date of the Business Combination file with the SEC (at our sole cost and expense) a registration statement registering the resale of such shares, and use our commercially reasonable efforts to have such registration statement declared effective as soon as practicable after the filing thereof. We filed the registration statement on July 15, 2021, which was declared effective on July 26, 2021. Such registration statement is required to be kept effective for at least three years after effectiveness or, if earlier, until either (i) the shares thereunder have been sold by the non-Sponsor PIPE investors or (ii) the shares may be sold without restriction under Rule 144 promulgated under the Securities 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180"/>
          </w:cols>
          <w:pgMar w:left="320" w:top="1440" w:right="399" w:bottom="1440" w:gutter="0" w:footer="0" w:header="0"/>
        </w:sectPr>
      </w:pPr>
    </w:p>
    <w:bookmarkStart w:id="39" w:name="page40"/>
    <w:bookmarkEnd w:id="39"/>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Sponsor Share Surrender and Share Restriction Agreement</w:t>
      </w:r>
    </w:p>
    <w:p>
      <w:pPr>
        <w:spacing w:after="0" w:line="189" w:lineRule="exact"/>
        <w:rPr>
          <w:sz w:val="20"/>
          <w:szCs w:val="20"/>
          <w:color w:val="auto"/>
        </w:rPr>
      </w:pPr>
    </w:p>
    <w:p>
      <w:pPr>
        <w:ind w:right="80" w:firstLine="324"/>
        <w:spacing w:after="0" w:line="254" w:lineRule="auto"/>
        <w:rPr>
          <w:sz w:val="20"/>
          <w:szCs w:val="20"/>
          <w:color w:val="auto"/>
        </w:rPr>
      </w:pPr>
      <w:r>
        <w:rPr>
          <w:rFonts w:ascii="Times New Roman" w:cs="Times New Roman" w:eastAsia="Times New Roman" w:hAnsi="Times New Roman"/>
          <w:sz w:val="18"/>
          <w:szCs w:val="18"/>
          <w:color w:val="auto"/>
        </w:rPr>
        <w:t>Concurrently with the execution and delivery of the Business Combination Agreement, the Sponsor entered into a Sponsor Share Surrender and Share Restriction Agreement with FTIV, PWP OpCo and the other parties to that certain letter agreement, dated as of September 24, 2020, by and among the Sponsor, FTIV and such other parties, and on May 4, 2021 the parties to the Sponsor Share Surrender and Share Restriction Agreement entered into an amendment thereto. Pursuant to the Sponsor Share Surrender and Share Restriction Agreement, as amended, the Sponsor, concurrently with the closing of the Business Combination, forfeited an aggregate of 1,023,333 shares of Class B common stock for no consideration and agreed that the 610,000 Placement Shares and 6,846,667 Founder Shares held by it would be subject to transfer restrictions for six months following the closing of the Business Combination, which expired on December 24, 2021, and that 80% of the Founder Shares held by it will be subject to transfer restrictions based on certain closing share price thresholds of our Class A common stock for 20 out of any 30 consecutive trading days, specifically:</w:t>
      </w:r>
    </w:p>
    <w:p>
      <w:pPr>
        <w:spacing w:after="0" w:line="165" w:lineRule="exact"/>
        <w:rPr>
          <w:sz w:val="20"/>
          <w:szCs w:val="20"/>
          <w:color w:val="auto"/>
        </w:rPr>
      </w:pPr>
    </w:p>
    <w:p>
      <w:pPr>
        <w:ind w:left="660" w:right="280" w:hanging="328"/>
        <w:spacing w:after="0" w:line="282" w:lineRule="auto"/>
        <w:tabs>
          <w:tab w:leader="none" w:pos="65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610,000 Placement Shares and 1,369,334 Founder Shares were not transferable or salable until the date that is the six-month anniversary of the closing of the Business Combination, or December 24, 2021 (the “6-Month Anniversary”);</w:t>
      </w:r>
    </w:p>
    <w:p>
      <w:pPr>
        <w:spacing w:after="0" w:line="121" w:lineRule="exact"/>
        <w:rPr>
          <w:rFonts w:ascii="Times New Roman" w:cs="Times New Roman" w:eastAsia="Times New Roman" w:hAnsi="Times New Roman"/>
          <w:sz w:val="18"/>
          <w:szCs w:val="18"/>
          <w:color w:val="auto"/>
        </w:rPr>
      </w:pPr>
    </w:p>
    <w:p>
      <w:pPr>
        <w:ind w:left="660" w:right="340" w:hanging="328"/>
        <w:spacing w:after="0" w:line="266" w:lineRule="auto"/>
        <w:tabs>
          <w:tab w:leader="none" w:pos="65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1,369,334 Founder Shares were not transferable or salable until the later of (x) the 6-Month Anniversary and (y) the earlier of (A) the ten-year anniversary of the closing (the “10-Year Anniversary”) and (B) the date that is 15 days following the first date that the closing share price is greater than $12.00 per share for any 20 out of 30 consecutive trading days;</w:t>
      </w:r>
    </w:p>
    <w:p>
      <w:pPr>
        <w:spacing w:after="0" w:line="121" w:lineRule="exact"/>
        <w:rPr>
          <w:rFonts w:ascii="Times New Roman" w:cs="Times New Roman" w:eastAsia="Times New Roman" w:hAnsi="Times New Roman"/>
          <w:sz w:val="18"/>
          <w:szCs w:val="18"/>
          <w:color w:val="auto"/>
        </w:rPr>
      </w:pPr>
    </w:p>
    <w:p>
      <w:pPr>
        <w:ind w:left="660" w:right="340" w:hanging="328"/>
        <w:spacing w:after="0" w:line="263" w:lineRule="auto"/>
        <w:tabs>
          <w:tab w:leader="none" w:pos="655"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1,369,333 Founder Shares were not transferable or salable until the later of (x) the 6-Month Anniversary and (y) the earlier of (A) the 10-Year Anniversary and (B) the first date that the closing share price is greater than $13.50 per share for any 20 out of 30 consecutive trading days;</w:t>
      </w:r>
    </w:p>
    <w:p>
      <w:pPr>
        <w:spacing w:after="0" w:line="125" w:lineRule="exact"/>
        <w:rPr>
          <w:rFonts w:ascii="Times New Roman" w:cs="Times New Roman" w:eastAsia="Times New Roman" w:hAnsi="Times New Roman"/>
          <w:sz w:val="17"/>
          <w:szCs w:val="17"/>
          <w:color w:val="auto"/>
        </w:rPr>
      </w:pPr>
    </w:p>
    <w:p>
      <w:pPr>
        <w:jc w:val="both"/>
        <w:ind w:left="660" w:right="140" w:hanging="328"/>
        <w:spacing w:after="0" w:line="266" w:lineRule="auto"/>
        <w:tabs>
          <w:tab w:leader="none" w:pos="65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1,369,333 Founder Shares shall not be transferable or salable until the later of (x) the 6-Month Anniversary and (y) the earlier of (A) the 10-Year Anniversary and (B) the date that is 15 days following the first date that the closing share price is greater than $15.00 per share for any 20 out of 30 consecutive trading days (collectively, the “$15 Threshold”); and</w:t>
      </w:r>
    </w:p>
    <w:p>
      <w:pPr>
        <w:spacing w:after="0" w:line="135" w:lineRule="exact"/>
        <w:rPr>
          <w:rFonts w:ascii="Times New Roman" w:cs="Times New Roman" w:eastAsia="Times New Roman" w:hAnsi="Times New Roman"/>
          <w:sz w:val="18"/>
          <w:szCs w:val="18"/>
          <w:color w:val="auto"/>
        </w:rPr>
      </w:pPr>
    </w:p>
    <w:p>
      <w:pPr>
        <w:ind w:left="660" w:right="140" w:hanging="328"/>
        <w:spacing w:after="0" w:line="266" w:lineRule="auto"/>
        <w:tabs>
          <w:tab w:leader="none" w:pos="65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1,369,333 Founder Shares shall not be transferable or salable until the later of (x) the 6-Month Anniversary and (y) the earlier of (A) the 10-Year Anniversary and (B) the first date that the closing share price is greater than $17.00 per share for any 20 out of 30 consecutive trading days (collectively, the “$17 Threshold”).</w:t>
      </w:r>
    </w:p>
    <w:p>
      <w:pPr>
        <w:spacing w:after="0" w:line="135" w:lineRule="exact"/>
        <w:rPr>
          <w:sz w:val="20"/>
          <w:szCs w:val="20"/>
          <w:color w:val="auto"/>
        </w:rPr>
      </w:pPr>
    </w:p>
    <w:p>
      <w:pPr>
        <w:ind w:right="380" w:firstLine="324"/>
        <w:spacing w:after="0" w:line="282" w:lineRule="auto"/>
        <w:rPr>
          <w:sz w:val="20"/>
          <w:szCs w:val="20"/>
          <w:color w:val="auto"/>
        </w:rPr>
      </w:pPr>
      <w:r>
        <w:rPr>
          <w:rFonts w:ascii="Times New Roman" w:cs="Times New Roman" w:eastAsia="Times New Roman" w:hAnsi="Times New Roman"/>
          <w:sz w:val="18"/>
          <w:szCs w:val="18"/>
          <w:color w:val="auto"/>
        </w:rPr>
        <w:t>As of December 24, 2021, the 6-Month Anniversary, all of the Placement Shares and 3,108,001 of the Founder Shares are no longer subject to the transfer restrictions set forth above.</w:t>
      </w:r>
    </w:p>
    <w:p>
      <w:pPr>
        <w:spacing w:after="0" w:line="135" w:lineRule="exact"/>
        <w:rPr>
          <w:sz w:val="20"/>
          <w:szCs w:val="20"/>
          <w:color w:val="auto"/>
        </w:rPr>
      </w:pPr>
    </w:p>
    <w:p>
      <w:pPr>
        <w:ind w:right="40" w:firstLine="324"/>
        <w:spacing w:after="0" w:line="261" w:lineRule="auto"/>
        <w:rPr>
          <w:sz w:val="20"/>
          <w:szCs w:val="20"/>
          <w:color w:val="auto"/>
        </w:rPr>
      </w:pPr>
      <w:r>
        <w:rPr>
          <w:rFonts w:ascii="Times New Roman" w:cs="Times New Roman" w:eastAsia="Times New Roman" w:hAnsi="Times New Roman"/>
          <w:sz w:val="18"/>
          <w:szCs w:val="18"/>
          <w:color w:val="auto"/>
        </w:rPr>
        <w:t>In connection with the Sponsor distribution (the “Sponsor Distribution”), the Sponsor distributed 5,456,667 shares of Class A common stock to its members, after which the Sponsor owns 1,000,000 shares of Class A common stock. The 1,000,000 shares of Class A common stock retained by the Sponsor continue to be subject to transfer restrictions until the $15 Threshold is met. 1,738,680 of the shares distributed in the Sponsor Distribution remain subject to transfer restrictions until the $15 Threshold or the $17 Threshold, as applicable, is met.</w:t>
      </w:r>
    </w:p>
    <w:p>
      <w:pPr>
        <w:spacing w:after="0" w:line="139" w:lineRule="exact"/>
        <w:rPr>
          <w:sz w:val="20"/>
          <w:szCs w:val="20"/>
          <w:color w:val="auto"/>
        </w:rPr>
      </w:pPr>
    </w:p>
    <w:p>
      <w:pPr>
        <w:ind w:firstLine="324"/>
        <w:spacing w:after="0" w:line="277" w:lineRule="auto"/>
        <w:rPr>
          <w:sz w:val="20"/>
          <w:szCs w:val="20"/>
          <w:color w:val="auto"/>
        </w:rPr>
      </w:pPr>
      <w:r>
        <w:rPr>
          <w:rFonts w:ascii="Times New Roman" w:cs="Times New Roman" w:eastAsia="Times New Roman" w:hAnsi="Times New Roman"/>
          <w:sz w:val="17"/>
          <w:szCs w:val="17"/>
          <w:color w:val="auto"/>
        </w:rPr>
        <w:t>In addition, pursuant to the Sponsor Share Surrender and Share Restriction Agreement, if, prior to the fourth anniversary of the closing of the Business Combination, the closing share price is greater than $12.00 per share or $15.00 per share for any period of 20 out of 30 consecutive trading days (each a “Trigger Date”), then, during the 15 day period following such Trigger Date, the Company shall have the right to purchase from the Sponsor up to 1,000,000 Founder Shares, in aggregate, per Trigger Date for a purchase price of $12.00 per share or $15.00 per share, respectively, by providing written notice of such repurchase election to the Sponsor, and such repurchase shall be consummated within five business days after the date of such written notice.</w:t>
      </w:r>
    </w:p>
    <w:p>
      <w:pPr>
        <w:spacing w:after="0" w:line="1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On August 9, 2021, the Company repurchased 1,000,000 Founder Shares at a purchase price of $12.00 per share.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220"/>
          </w:cols>
          <w:pgMar w:left="320" w:top="1440" w:right="359" w:bottom="1440" w:gutter="0" w:footer="0" w:header="0"/>
        </w:sectPr>
      </w:pPr>
    </w:p>
    <w:bookmarkStart w:id="40" w:name="page41"/>
    <w:bookmarkEnd w:id="40"/>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PWP Related Party Transactions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Amended and Restated Registration Rights Agreement</w:t>
      </w:r>
    </w:p>
    <w:p>
      <w:pPr>
        <w:spacing w:after="0" w:line="202" w:lineRule="exact"/>
        <w:rPr>
          <w:sz w:val="20"/>
          <w:szCs w:val="20"/>
          <w:color w:val="auto"/>
        </w:rPr>
      </w:pPr>
    </w:p>
    <w:p>
      <w:pPr>
        <w:ind w:right="60" w:firstLine="324"/>
        <w:spacing w:after="0" w:line="258" w:lineRule="auto"/>
        <w:rPr>
          <w:sz w:val="20"/>
          <w:szCs w:val="20"/>
          <w:color w:val="auto"/>
        </w:rPr>
      </w:pPr>
      <w:r>
        <w:rPr>
          <w:rFonts w:ascii="Times New Roman" w:cs="Times New Roman" w:eastAsia="Times New Roman" w:hAnsi="Times New Roman"/>
          <w:sz w:val="18"/>
          <w:szCs w:val="18"/>
          <w:color w:val="auto"/>
        </w:rPr>
        <w:t>In connection with the closing of the Business Combination, we entered into the Amended and Restated Registration Rights Agreement, with the Sponsor, Professional Partners, and the third party investor limited partners of PWP OpCo (other than Professional Partners) (each such limited partner, an “ILP”) under the limited partnership agreement of PWP OpCo, pursuant to which the Registration Rights Agreement Parties will be entitled to registration rights in respect of certain shares of our Class A common stock, par value $.0001 per share and certain of our other equity securities that are held by the Registration Rights Agreement parties from time to time.</w:t>
      </w:r>
    </w:p>
    <w:p>
      <w:pPr>
        <w:spacing w:after="0" w:line="143"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The Amended and Restated Registration Rights Agreement provides that we will as soon as practicable but no later than 30 business days following the closing date of the Business Combination, file with the SEC a shelf registration statement pursuant to Rule 415 under the Securities Act registering the resale of certain shares of our Class A common stock and certain of our other equity securities held by the Registration Rights Agreement parties and will use our commercially reasonable efforts to have such shelf registration statement declared effective as soon as practicable after the filing thereof, but no later than the earlier of (i) the 60th calendar day following the actual filing date (or the 80th calendar day following the actual filing date if the SEC notifies us that it will “review” such registration statement) and (ii) the fifth business day after the date we are notified in writing by the SEC that such registration statement will not be “reviewed” or will not be subject to further review. Pursuant to the terms of the Amended and Restated Registration Rights Agreement, in July 2021, we filed with the SEC the Shelf Registration Statement pursuant to Rule 415 under the Securities Act registering the resale of certain shares of our Class A common stock and certain of our other equity securities held by the Registration Rights Agreement parties, which Shelf Registration Statement became effective on July 26, 2021.</w:t>
      </w:r>
    </w:p>
    <w:p>
      <w:pPr>
        <w:spacing w:after="0" w:line="154" w:lineRule="exact"/>
        <w:rPr>
          <w:sz w:val="20"/>
          <w:szCs w:val="20"/>
          <w:color w:val="auto"/>
        </w:rPr>
      </w:pPr>
    </w:p>
    <w:p>
      <w:pPr>
        <w:ind w:right="100" w:firstLine="324"/>
        <w:spacing w:after="0" w:line="256" w:lineRule="auto"/>
        <w:rPr>
          <w:sz w:val="20"/>
          <w:szCs w:val="20"/>
          <w:color w:val="auto"/>
        </w:rPr>
      </w:pPr>
      <w:r>
        <w:rPr>
          <w:rFonts w:ascii="Times New Roman" w:cs="Times New Roman" w:eastAsia="Times New Roman" w:hAnsi="Times New Roman"/>
          <w:sz w:val="18"/>
          <w:szCs w:val="18"/>
          <w:color w:val="auto"/>
        </w:rPr>
        <w:t>Each of the Sponsor, Professional Partners, the ILPs and their respective transferees are entitled to certain demand registration rights in connection with an underwritten shelf takedown offering, in each case subject to certain offering thresholds, applicable lock-up restrictions, issuer suspension periods and certain other conditions. The Sponsor and their permitted transferees are limited to three demand registrations and the ILPs and their permitted transferees are limited to one demand registration, in each case, for the term of the Amended and Restated Registration Rights Agreement. Professional Partners and its permitted transferees are limited to four demand registrations per twelve-month period. In addition, the Registration Rights Agreement parties have certain “piggy-back” registration rights, subject to customary underwriter cutbacks, issuer suspension periods and certain other conditions.</w:t>
      </w:r>
    </w:p>
    <w:p>
      <w:pPr>
        <w:spacing w:after="0" w:line="160" w:lineRule="exact"/>
        <w:rPr>
          <w:sz w:val="20"/>
          <w:szCs w:val="20"/>
          <w:color w:val="auto"/>
        </w:rPr>
      </w:pPr>
    </w:p>
    <w:p>
      <w:pPr>
        <w:ind w:right="420" w:firstLine="324"/>
        <w:spacing w:after="0" w:line="266" w:lineRule="auto"/>
        <w:rPr>
          <w:sz w:val="20"/>
          <w:szCs w:val="20"/>
          <w:color w:val="auto"/>
        </w:rPr>
      </w:pPr>
      <w:r>
        <w:rPr>
          <w:rFonts w:ascii="Times New Roman" w:cs="Times New Roman" w:eastAsia="Times New Roman" w:hAnsi="Times New Roman"/>
          <w:sz w:val="18"/>
          <w:szCs w:val="18"/>
          <w:color w:val="auto"/>
        </w:rPr>
        <w:t>The Amended and Restated Registration Rights Agreement includes customary indemnification provisions. The Company will bear the expenses incurred in connection with the filing of any registration statements filed pursuant to the terms of the Amended and Restated Registration Rights Agreement, including the fees of one legal counsel to each of the Sponsor, Professional Partners and the ILPs.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200"/>
          </w:cols>
          <w:pgMar w:left="320" w:top="1440" w:right="379" w:bottom="1440" w:gutter="0" w:footer="0" w:header="0"/>
        </w:sectPr>
      </w:pPr>
    </w:p>
    <w:bookmarkStart w:id="41" w:name="page42"/>
    <w:bookmarkEnd w:id="41"/>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Right of Professional Partners and Stockholders Agreement</w:t>
      </w:r>
    </w:p>
    <w:p>
      <w:pPr>
        <w:spacing w:after="0" w:line="202" w:lineRule="exact"/>
        <w:rPr>
          <w:sz w:val="20"/>
          <w:szCs w:val="20"/>
          <w:color w:val="auto"/>
        </w:rPr>
      </w:pPr>
    </w:p>
    <w:p>
      <w:pPr>
        <w:ind w:firstLine="324"/>
        <w:spacing w:after="0" w:line="251" w:lineRule="auto"/>
        <w:rPr>
          <w:sz w:val="20"/>
          <w:szCs w:val="20"/>
          <w:color w:val="auto"/>
        </w:rPr>
      </w:pPr>
      <w:r>
        <w:rPr>
          <w:rFonts w:ascii="Times New Roman" w:cs="Times New Roman" w:eastAsia="Times New Roman" w:hAnsi="Times New Roman"/>
          <w:sz w:val="18"/>
          <w:szCs w:val="18"/>
          <w:color w:val="auto"/>
        </w:rPr>
        <w:t>On the closing date of the Business Combination, the Company and Professional Partners entered into a Stockholders Agreement, pursuant to which, for so long as the Class B Condition is satisfied, Professional Partners will have approval rights over the following actions: (a) any incurrence of indebtedness (other than inter-company indebtedness) by the Company or any of its subsidiaries or controlled affiliates in an amount in excess of $25 million; (b) any issuance by the Company or any of its subsidiaries or controlled affiliates of equity or equity-related securities (other than preferred stock) which would represent, after such issuance, or upon conversion, exchange or exercise, as the case may be, more than five percent (5%) of the total number of votes that may be cast in the election of directors of the Company, subject to certain limited exceptions; (c) the authorization or issuance of any preferred stock by the Company or any of its subsidiaries or controlled affiliates; (d) any equity or debt commitment to invest or investment or series of related equity or debt commitments to invest or investments by the Company or any of its subsidiaries or controlled affiliates in a person or group of related persons in an amount greater than $25 million; (e) any entry by the Company or any of its subsidiaries or controlled affiliates into a new line of business that requires an initial investment in excess of $25 million; (f) any disposition or divestment by the Company or any of its subsidiaries or controlled affiliates of any asset or business unit with a value in excess of $25 million; (g) the adoption of a stockholder rights plan by the Company; (h) any removal, change of duty or appointment of any officer of the Company that is, or would be, subject to Section 16 of the Exchange Act; (i) any amendment to the certificate of incorporation or bylaws of the Company; (j) any amendment to the partnership agreement of PWP OpCo; (k) the renaming of the Company; (l) the adoption of the Company’s annual budget and business plans and any material amendments thereto; (m) the declaration and payment of any dividend or other distribution by the Company or any of its subsidiaries or controlled affiliates, subject to certain limited exceptions; (n) the entry into any merger, consolidation, recapitalization, liquidation or sale of the Company or any of its subsidiaries or controlled affiliates or all or substantially all of the assets of the Company or any of its subsidiaries or controlled affiliates or consummation of a similar transaction (or series of related transactions), subject to certain limited exceptions, or entering into any agreement providing therefor; (o) voluntarily initiating any liquidation, dissolution or winding up of the Company or PWP OpCo or permitting the commencement of a proceeding for bankruptcy, insolvency, receivership or similar action with respect to the Company or PWP OpCo or any of their subsidiaries or controlled affiliates; (p) the entry into, termination of or material amendment of any material contract by the Company or any of its subsidiaries or controlled affiliates; (q) the entry into any transaction, or series of similar transactions or contract, subject to certain limited exceptions, that would be required to be disclosed by the Company under Item 404 of Regulation S-K under the Exchange Act; (r) the initiation or settlement of any material legal proceeding by the Company or any of its subsidiaries or controlled affiliates; and (s) changes to the Company’s taxable year or fiscal year.</w:t>
      </w:r>
    </w:p>
    <w:p>
      <w:pPr>
        <w:spacing w:after="0" w:line="164"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color w:val="auto"/>
        </w:rPr>
        <w:t>Additionally, for so long as the Secondary Class B Condition is satisfied, Professional Partners will have approval rights over the following actions: (a) any amendment to the certificate of incorporation or bylaws of the Company that materially and adversely affects in a disproportionate manner the rights of Professional Partners or its limited partners; and (b) any amendment to the PWP OpCo partnership agreement that materially and adversely affects in a disproportionate manner the rights of Professional Partners or its limited partners.</w:t>
      </w:r>
    </w:p>
    <w:p>
      <w:pPr>
        <w:spacing w:after="0" w:line="139" w:lineRule="exact"/>
        <w:rPr>
          <w:sz w:val="20"/>
          <w:szCs w:val="20"/>
          <w:color w:val="auto"/>
        </w:rPr>
      </w:pPr>
    </w:p>
    <w:p>
      <w:pPr>
        <w:ind w:right="300" w:firstLine="324"/>
        <w:spacing w:after="0" w:line="282" w:lineRule="auto"/>
        <w:rPr>
          <w:sz w:val="20"/>
          <w:szCs w:val="20"/>
          <w:color w:val="auto"/>
        </w:rPr>
      </w:pPr>
      <w:r>
        <w:rPr>
          <w:rFonts w:ascii="Times New Roman" w:cs="Times New Roman" w:eastAsia="Times New Roman" w:hAnsi="Times New Roman"/>
          <w:sz w:val="18"/>
          <w:szCs w:val="18"/>
          <w:color w:val="auto"/>
        </w:rPr>
        <w:t>The effect of the agreement is that Professional Partners may maintain control over our significant corporate transactions even if it holds less than a majority of the combined total voting power of our shares of Class A and Class B common stock.</w:t>
      </w:r>
    </w:p>
    <w:p>
      <w:pPr>
        <w:spacing w:after="0" w:line="135" w:lineRule="exact"/>
        <w:rPr>
          <w:sz w:val="20"/>
          <w:szCs w:val="20"/>
          <w:color w:val="auto"/>
        </w:rPr>
      </w:pPr>
    </w:p>
    <w:p>
      <w:pPr>
        <w:ind w:right="80" w:firstLine="324"/>
        <w:spacing w:after="0" w:line="255" w:lineRule="auto"/>
        <w:rPr>
          <w:sz w:val="20"/>
          <w:szCs w:val="20"/>
          <w:color w:val="auto"/>
        </w:rPr>
      </w:pPr>
      <w:r>
        <w:rPr>
          <w:rFonts w:ascii="Times New Roman" w:cs="Times New Roman" w:eastAsia="Times New Roman" w:hAnsi="Times New Roman"/>
          <w:sz w:val="18"/>
          <w:szCs w:val="18"/>
          <w:color w:val="auto"/>
        </w:rPr>
        <w:t>For so long as the Class B Condition is satisfied, Professional Partners will have the right to designate a number of directors equal to a majority of our board of directors. After the Class B Condition is no longer satisfied, and for so long as the Secondary Class B Condition is satisfied, Professional Partners will have the right to designate a number of directors (rounded up to the nearest whole number) equal to one third of our board of directors. Professional Partners will retain the right to remove any director previously designated by it, with or without cause, for so long as the Class B Condition or the Secondary Class B Condition is satisfied. Additionally, for so long as the Class B Condition or the Secondary Class B Condition is satisfied, the Company and Professional Partners will take all reasonable actions within their respective control so as to cause the Company to continue in office not more than fifteen (15) directors (or such other number of directors as Professional Partners may agree to in writing).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1240"/>
          </w:cols>
          <w:pgMar w:left="320" w:top="1440" w:right="339" w:bottom="1440" w:gutter="0" w:footer="0" w:header="0"/>
        </w:sectPr>
      </w:pPr>
    </w:p>
    <w:bookmarkStart w:id="42" w:name="page43"/>
    <w:bookmarkEnd w:id="42"/>
    <w:p>
      <w:pPr>
        <w:spacing w:after="0" w:line="15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Stockholders Agreement will terminate once the Secondary Class B Condition is no longer satisfied.</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Limited Partner Loan Guarantees</w:t>
      </w:r>
    </w:p>
    <w:p>
      <w:pPr>
        <w:spacing w:after="0" w:line="189" w:lineRule="exact"/>
        <w:rPr>
          <w:sz w:val="20"/>
          <w:szCs w:val="20"/>
          <w:color w:val="auto"/>
        </w:rPr>
      </w:pPr>
    </w:p>
    <w:p>
      <w:pPr>
        <w:ind w:right="140" w:firstLine="324"/>
        <w:spacing w:after="0" w:line="255" w:lineRule="auto"/>
        <w:rPr>
          <w:sz w:val="20"/>
          <w:szCs w:val="20"/>
          <w:color w:val="auto"/>
        </w:rPr>
      </w:pPr>
      <w:r>
        <w:rPr>
          <w:rFonts w:ascii="Times New Roman" w:cs="Times New Roman" w:eastAsia="Times New Roman" w:hAnsi="Times New Roman"/>
          <w:sz w:val="18"/>
          <w:szCs w:val="18"/>
          <w:color w:val="auto"/>
        </w:rPr>
        <w:t>Group LP provides an unconditional guaranty (the “Guaranty”) under a loan program (the “Loan Program”) with the Program Lender, pursuant to which certain Limited Partners could obtain loans from the Program Lender to acquire additional equity interests in the PWP business. The Loan Program is governed by a master agreement, entered into by Group LP and the Program Lender on February 3, 2016, and provides for a total aggregate principal amount of all loans under the Loan Program of $25 million. The Guaranty is individual to each loan made under the Loan Program and, as to each such loan, remains effective until the indebtedness related to such loan is repaid. The following table summarizes the principal terms of the loans issued under the Loan Program to related parties. The loan issued to Mr. Barancik was fully repaid (including principal and all accrued interest) on October 11, 2018. The loan issued to Mr. Shendelman was fully repaid (including principal and all accrued interest) on December 28, 2020.</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16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4"/>
                <w:szCs w:val="14"/>
                <w:b w:val="1"/>
                <w:bCs w:val="1"/>
                <w:color w:val="auto"/>
              </w:rPr>
              <w:t>Related party</w:t>
            </w:r>
          </w:p>
        </w:tc>
        <w:tc>
          <w:tcPr>
            <w:tcW w:w="100" w:type="dxa"/>
            <w:vAlign w:val="bottom"/>
            <w:tcBorders>
              <w:bottom w:val="single" w:sz="8" w:color="CCEEFF"/>
            </w:tcBorders>
          </w:tcPr>
          <w:p>
            <w:pPr>
              <w:spacing w:after="0"/>
              <w:rPr>
                <w:sz w:val="16"/>
                <w:szCs w:val="16"/>
                <w:color w:val="auto"/>
              </w:rPr>
            </w:pPr>
          </w:p>
        </w:tc>
        <w:tc>
          <w:tcPr>
            <w:tcW w:w="1920" w:type="dxa"/>
            <w:vAlign w:val="bottom"/>
            <w:tcBorders>
              <w:bottom w:val="single" w:sz="8" w:color="auto"/>
            </w:tcBorders>
          </w:tcPr>
          <w:p>
            <w:pPr>
              <w:jc w:val="right"/>
              <w:ind w:right="416"/>
              <w:spacing w:after="0"/>
              <w:rPr>
                <w:sz w:val="20"/>
                <w:szCs w:val="20"/>
                <w:color w:val="auto"/>
              </w:rPr>
            </w:pPr>
            <w:r>
              <w:rPr>
                <w:rFonts w:ascii="Times New Roman" w:cs="Times New Roman" w:eastAsia="Times New Roman" w:hAnsi="Times New Roman"/>
                <w:sz w:val="14"/>
                <w:szCs w:val="14"/>
                <w:b w:val="1"/>
                <w:bCs w:val="1"/>
                <w:color w:val="auto"/>
              </w:rPr>
              <w:t>Issue date</w:t>
            </w:r>
          </w:p>
        </w:tc>
        <w:tc>
          <w:tcPr>
            <w:tcW w:w="100" w:type="dxa"/>
            <w:vAlign w:val="bottom"/>
            <w:tcBorders>
              <w:bottom w:val="single" w:sz="8" w:color="CCEEFF"/>
            </w:tcBorders>
          </w:tcPr>
          <w:p>
            <w:pPr>
              <w:spacing w:after="0"/>
              <w:rPr>
                <w:sz w:val="16"/>
                <w:szCs w:val="16"/>
                <w:color w:val="auto"/>
              </w:rPr>
            </w:pPr>
          </w:p>
        </w:tc>
        <w:tc>
          <w:tcPr>
            <w:tcW w:w="1900" w:type="dxa"/>
            <w:vAlign w:val="bottom"/>
            <w:tcBorders>
              <w:bottom w:val="single" w:sz="8" w:color="auto"/>
            </w:tcBorders>
          </w:tcPr>
          <w:p>
            <w:pPr>
              <w:ind w:left="580"/>
              <w:spacing w:after="0"/>
              <w:rPr>
                <w:sz w:val="20"/>
                <w:szCs w:val="20"/>
                <w:color w:val="auto"/>
              </w:rPr>
            </w:pPr>
            <w:r>
              <w:rPr>
                <w:rFonts w:ascii="Times New Roman" w:cs="Times New Roman" w:eastAsia="Times New Roman" w:hAnsi="Times New Roman"/>
                <w:sz w:val="14"/>
                <w:szCs w:val="14"/>
                <w:b w:val="1"/>
                <w:bCs w:val="1"/>
                <w:color w:val="auto"/>
              </w:rPr>
              <w:t>Principal amount</w:t>
            </w:r>
          </w:p>
        </w:tc>
        <w:tc>
          <w:tcPr>
            <w:tcW w:w="100" w:type="dxa"/>
            <w:vAlign w:val="bottom"/>
            <w:tcBorders>
              <w:bottom w:val="single" w:sz="8" w:color="CCEEFF"/>
            </w:tcBorders>
          </w:tcPr>
          <w:p>
            <w:pPr>
              <w:spacing w:after="0"/>
              <w:rPr>
                <w:sz w:val="16"/>
                <w:szCs w:val="16"/>
                <w:color w:val="auto"/>
              </w:rPr>
            </w:pPr>
          </w:p>
        </w:tc>
        <w:tc>
          <w:tcPr>
            <w:tcW w:w="230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4"/>
                <w:szCs w:val="14"/>
                <w:b w:val="1"/>
                <w:bCs w:val="1"/>
                <w:color w:val="auto"/>
              </w:rPr>
              <w:t>Annual interest rate</w:t>
            </w:r>
          </w:p>
        </w:tc>
        <w:tc>
          <w:tcPr>
            <w:tcW w:w="1640" w:type="dxa"/>
            <w:vAlign w:val="bottom"/>
            <w:tcBorders>
              <w:bottom w:val="single" w:sz="8" w:color="auto"/>
            </w:tcBorders>
            <w:gridSpan w:val="2"/>
          </w:tcPr>
          <w:p>
            <w:pPr>
              <w:jc w:val="right"/>
              <w:ind w:right="290"/>
              <w:spacing w:after="0"/>
              <w:rPr>
                <w:sz w:val="20"/>
                <w:szCs w:val="20"/>
                <w:color w:val="auto"/>
              </w:rPr>
            </w:pPr>
            <w:r>
              <w:rPr>
                <w:rFonts w:ascii="Times New Roman" w:cs="Times New Roman" w:eastAsia="Times New Roman" w:hAnsi="Times New Roman"/>
                <w:sz w:val="14"/>
                <w:szCs w:val="14"/>
                <w:b w:val="1"/>
                <w:bCs w:val="1"/>
                <w:color w:val="auto"/>
              </w:rPr>
              <w:t>Maturity date</w:t>
            </w:r>
          </w:p>
        </w:tc>
      </w:tr>
      <w:tr>
        <w:trPr>
          <w:trHeight w:val="309"/>
        </w:trPr>
        <w:tc>
          <w:tcPr>
            <w:tcW w:w="32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Gary Barancik</w:t>
            </w:r>
            <w:r>
              <w:rPr>
                <w:rFonts w:ascii="Times New Roman" w:cs="Times New Roman" w:eastAsia="Times New Roman" w:hAnsi="Times New Roman"/>
                <w:sz w:val="23"/>
                <w:szCs w:val="23"/>
                <w:color w:val="auto"/>
                <w:vertAlign w:val="superscript"/>
              </w:rPr>
              <w:t>(1)</w:t>
            </w:r>
          </w:p>
        </w:tc>
        <w:tc>
          <w:tcPr>
            <w:tcW w:w="2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February 26, 2016</w:t>
            </w:r>
          </w:p>
        </w:tc>
        <w:tc>
          <w:tcPr>
            <w:tcW w:w="2000" w:type="dxa"/>
            <w:vAlign w:val="bottom"/>
            <w:gridSpan w:val="2"/>
            <w:shd w:val="clear" w:color="auto" w:fill="CCEEFF"/>
          </w:tcPr>
          <w:p>
            <w:pPr>
              <w:ind w:left="1720"/>
              <w:spacing w:after="0"/>
              <w:rPr>
                <w:sz w:val="20"/>
                <w:szCs w:val="20"/>
                <w:color w:val="auto"/>
              </w:rPr>
            </w:pPr>
            <w:r>
              <w:rPr>
                <w:rFonts w:ascii="Times New Roman" w:cs="Times New Roman" w:eastAsia="Times New Roman" w:hAnsi="Times New Roman"/>
                <w:sz w:val="18"/>
                <w:szCs w:val="18"/>
                <w:color w:val="auto"/>
              </w:rPr>
              <w:t>—</w:t>
            </w:r>
          </w:p>
        </w:tc>
        <w:tc>
          <w:tcPr>
            <w:tcW w:w="2300" w:type="dxa"/>
            <w:vAlign w:val="bottom"/>
            <w:shd w:val="clear" w:color="auto" w:fill="CCEEFF"/>
          </w:tcPr>
          <w:p>
            <w:pPr>
              <w:ind w:left="17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March 1,</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2023</w:t>
            </w:r>
          </w:p>
        </w:tc>
      </w:tr>
      <w:tr>
        <w:trPr>
          <w:trHeight w:val="352"/>
        </w:trPr>
        <w:tc>
          <w:tcPr>
            <w:tcW w:w="32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Vladimir Shendelman</w:t>
            </w:r>
            <w:r>
              <w:rPr>
                <w:rFonts w:ascii="Times New Roman" w:cs="Times New Roman" w:eastAsia="Times New Roman" w:hAnsi="Times New Roman"/>
                <w:sz w:val="23"/>
                <w:szCs w:val="23"/>
                <w:color w:val="auto"/>
                <w:vertAlign w:val="superscript"/>
              </w:rPr>
              <w:t>(2)</w:t>
            </w:r>
          </w:p>
        </w:tc>
        <w:tc>
          <w:tcPr>
            <w:tcW w:w="2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June 1, 2016</w:t>
            </w:r>
          </w:p>
        </w:tc>
        <w:tc>
          <w:tcPr>
            <w:tcW w:w="2000" w:type="dxa"/>
            <w:vAlign w:val="bottom"/>
            <w:gridSpan w:val="2"/>
          </w:tcPr>
          <w:p>
            <w:pPr>
              <w:ind w:left="1720"/>
              <w:spacing w:after="0"/>
              <w:rPr>
                <w:sz w:val="20"/>
                <w:szCs w:val="20"/>
                <w:color w:val="auto"/>
              </w:rPr>
            </w:pPr>
            <w:r>
              <w:rPr>
                <w:rFonts w:ascii="Times New Roman" w:cs="Times New Roman" w:eastAsia="Times New Roman" w:hAnsi="Times New Roman"/>
                <w:sz w:val="18"/>
                <w:szCs w:val="18"/>
                <w:color w:val="auto"/>
              </w:rPr>
              <w:t>—</w:t>
            </w:r>
          </w:p>
        </w:tc>
        <w:tc>
          <w:tcPr>
            <w:tcW w:w="2300" w:type="dxa"/>
            <w:vAlign w:val="bottom"/>
          </w:tcPr>
          <w:p>
            <w:pPr>
              <w:ind w:left="17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June 1,</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2023</w:t>
            </w:r>
          </w:p>
        </w:tc>
      </w:tr>
    </w:tbl>
    <w:p>
      <w:pPr>
        <w:spacing w:after="0" w:line="206" w:lineRule="exact"/>
        <w:rPr>
          <w:sz w:val="20"/>
          <w:szCs w:val="20"/>
          <w:color w:val="auto"/>
        </w:rPr>
      </w:pPr>
    </w:p>
    <w:p>
      <w:pPr>
        <w:ind w:left="340" w:right="120" w:hanging="332"/>
        <w:spacing w:after="0" w:line="282" w:lineRule="auto"/>
        <w:tabs>
          <w:tab w:leader="none" w:pos="332"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 Loan issued to Mr. Barancik was fully repaid (including principal and all accrued interest) on October 11, 2018, prior to which there was $132,156 amount outstanding, with an annual interest rate of 4.75% calculated as the Wall Street Journal Prime Rate </w:t>
      </w:r>
      <w:r>
        <w:rPr>
          <w:rFonts w:ascii="Times New Roman" w:cs="Times New Roman" w:eastAsia="Times New Roman" w:hAnsi="Times New Roman"/>
          <w:sz w:val="14"/>
          <w:szCs w:val="14"/>
          <w:i w:val="1"/>
          <w:iCs w:val="1"/>
          <w:color w:val="auto"/>
        </w:rPr>
        <w:t>minus</w:t>
      </w:r>
      <w:r>
        <w:rPr>
          <w:rFonts w:ascii="Times New Roman" w:cs="Times New Roman" w:eastAsia="Times New Roman" w:hAnsi="Times New Roman"/>
          <w:sz w:val="14"/>
          <w:szCs w:val="14"/>
          <w:color w:val="auto"/>
        </w:rPr>
        <w:t xml:space="preserve"> 0.50%.</w:t>
      </w:r>
    </w:p>
    <w:p>
      <w:pPr>
        <w:spacing w:after="0" w:line="40" w:lineRule="exact"/>
        <w:rPr>
          <w:rFonts w:ascii="Times New Roman" w:cs="Times New Roman" w:eastAsia="Times New Roman" w:hAnsi="Times New Roman"/>
          <w:sz w:val="14"/>
          <w:szCs w:val="14"/>
          <w:color w:val="auto"/>
        </w:rPr>
      </w:pPr>
    </w:p>
    <w:p>
      <w:pPr>
        <w:ind w:left="340" w:right="220" w:hanging="332"/>
        <w:spacing w:after="0" w:line="282" w:lineRule="auto"/>
        <w:tabs>
          <w:tab w:leader="none" w:pos="332"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Loan issued to Mr. Shendelman was fully repaid (including principal and all accrued interest) on December 28, 2020, prior to which there was $237,881 amount outstanding, with an annual interest rate of 2.75% calculated as the Wall Street Journal Prime Rate minus 0.50%.</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Convertible Notes</w:t>
      </w:r>
    </w:p>
    <w:p>
      <w:pPr>
        <w:spacing w:after="0" w:line="189" w:lineRule="exact"/>
        <w:rPr>
          <w:sz w:val="20"/>
          <w:szCs w:val="20"/>
          <w:color w:val="auto"/>
        </w:rPr>
      </w:pPr>
    </w:p>
    <w:p>
      <w:pPr>
        <w:ind w:right="60" w:firstLine="324"/>
        <w:spacing w:after="0" w:line="266" w:lineRule="auto"/>
        <w:rPr>
          <w:sz w:val="20"/>
          <w:szCs w:val="20"/>
          <w:color w:val="auto"/>
        </w:rPr>
      </w:pPr>
      <w:r>
        <w:rPr>
          <w:rFonts w:ascii="Times New Roman" w:cs="Times New Roman" w:eastAsia="Times New Roman" w:hAnsi="Times New Roman"/>
          <w:sz w:val="18"/>
          <w:szCs w:val="18"/>
          <w:color w:val="auto"/>
        </w:rPr>
        <w:t>Each of Mr. Perella, PWP’s Founding Partner, Director and Chairman Emeritus, Mr. Steel, PWP’s Partner, Director and Vice Chairman, Mr. Weinberg, PWP’s Founding Partner, Director, Chairman and Chief Executive Officer, and Andrew Bednar, PWP’s Founding Partner, Director and Co-President, owned $350,000 principal amount of PWP’s 7.0% Subordinated Unsecured Convertible Notes due 2026 (the “Convertible Notes”).</w:t>
      </w:r>
    </w:p>
    <w:p>
      <w:pPr>
        <w:spacing w:after="0" w:line="149"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On February 28, 2019, in connection with the PWP Separation, PWP OpCo entered into a first amendment to the note purchasing agreement governing its Convertible Notes (the “NPA”) reflecting the consent of the requisite holders of the Convertible Notes to the PWP Separation and a proposed reorganization and initial public offering of our advisory business (“PWP IPO”) and making (i) related amendments to various restrictive covenants and related definitions in the NPA and (ii) related clarifications to the redemption and conversion provisions. In connection with the first NPA amendment. PWP OpCo also entered into letter agreements (the “2019 Letter Agreements”) with holders representing approximately substantially all of the total outstanding $150 million aggregate principal amount of its Convertible Notes setting forth certain conversion and cash redemption rights with respect to the PWP IPO and related reorganization. On July 31, 2020, PWP OpCo and the requisite holders of the Convertible Notes executed a second amendment to the NPA with respect to certain technical amendments relating to its financial covenants.</w:t>
      </w:r>
    </w:p>
    <w:p>
      <w:pPr>
        <w:spacing w:after="0" w:line="151" w:lineRule="exact"/>
        <w:rPr>
          <w:sz w:val="20"/>
          <w:szCs w:val="20"/>
          <w:color w:val="auto"/>
        </w:rPr>
      </w:pPr>
    </w:p>
    <w:p>
      <w:pPr>
        <w:ind w:right="80" w:firstLine="324"/>
        <w:spacing w:after="0" w:line="253" w:lineRule="auto"/>
        <w:rPr>
          <w:sz w:val="20"/>
          <w:szCs w:val="20"/>
          <w:color w:val="auto"/>
        </w:rPr>
      </w:pPr>
      <w:r>
        <w:rPr>
          <w:rFonts w:ascii="Times New Roman" w:cs="Times New Roman" w:eastAsia="Times New Roman" w:hAnsi="Times New Roman"/>
          <w:sz w:val="18"/>
          <w:szCs w:val="18"/>
          <w:color w:val="auto"/>
        </w:rPr>
        <w:t>On December 29, 2020, PWP OpCo entered into a third amendment to the NPA reflecting the consent from the requisite holders of the Convertible Notes to the Business Combination and related internal reorganization steps that would be concurrently consummated and making (i) related amendments to various restrictive covenants and related definitions in the NPA and (ii) related clarifications to the redemption and conversion provisions. In connection with the third NPA amendment PWP OpCo also entered into new letter agreements (the “2020 Letter Agreements”) with all of the holders of the Convertible Notes (which amended and restated their existing 2019 Letter Agreements), pursuant to which all of the holders (the “Redeeming Holders”) agreed to collectively tender for redemption $150 million aggregate principal amount of their Convertible Notes (such Convertible Notes, the “Redeemed Notes”) for cash, pursuant to the terms described below. Pursuant to the terms of the 2020 Letter Agreements, the Redeeming Holders also agreed not to convert their Convertible Notes in connection with the Business Combination. Upon consummation of the Business Combination, the Company redeemed the Convertible Notes for $161.6 million, which included the total outstanding $150.0 million aggregate principal, an applicable premium for Redeeming Holders owning at least $5.0 million of principal, and accrued and unpaid interest.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1240"/>
          </w:cols>
          <w:pgMar w:left="320" w:top="1440" w:right="339" w:bottom="1440" w:gutter="0" w:footer="0" w:header="0"/>
        </w:sectPr>
      </w:pPr>
    </w:p>
    <w:bookmarkStart w:id="43" w:name="page44"/>
    <w:bookmarkEnd w:id="43"/>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Redemption Rights</w:t>
      </w:r>
    </w:p>
    <w:p>
      <w:pPr>
        <w:spacing w:after="0" w:line="202" w:lineRule="exact"/>
        <w:rPr>
          <w:sz w:val="20"/>
          <w:szCs w:val="20"/>
          <w:color w:val="auto"/>
        </w:rPr>
      </w:pPr>
    </w:p>
    <w:p>
      <w:pPr>
        <w:ind w:right="80" w:firstLine="324"/>
        <w:spacing w:after="0" w:line="261" w:lineRule="auto"/>
        <w:rPr>
          <w:sz w:val="20"/>
          <w:szCs w:val="20"/>
          <w:color w:val="auto"/>
        </w:rPr>
      </w:pPr>
      <w:r>
        <w:rPr>
          <w:rFonts w:ascii="Times New Roman" w:cs="Times New Roman" w:eastAsia="Times New Roman" w:hAnsi="Times New Roman"/>
          <w:sz w:val="18"/>
          <w:szCs w:val="18"/>
          <w:color w:val="auto"/>
        </w:rPr>
        <w:t>Pursuant to the terms of the 2020 Letter Agreements, the Redeeming Holders received on the closing date of the Business Combination a redemption price equal to 100% of the principal amount (plus, with respect to any Redeeming Holder owning at least $5.0 million principal amount of Convertible Notes, an applicable premium based on a discounted U.S. treasury rate), and accrued and unpaid interest to, but excluding, the closing date of the Business Combination with respect to the Redeemed Notes.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Restrictive Covenants of Professional Partner’s Limited Partners</w:t>
      </w:r>
    </w:p>
    <w:p>
      <w:pPr>
        <w:spacing w:after="0" w:line="189" w:lineRule="exact"/>
        <w:rPr>
          <w:sz w:val="20"/>
          <w:szCs w:val="20"/>
          <w:color w:val="auto"/>
        </w:rPr>
      </w:pPr>
    </w:p>
    <w:p>
      <w:pPr>
        <w:ind w:right="40" w:firstLine="324"/>
        <w:spacing w:after="0" w:line="253" w:lineRule="auto"/>
        <w:rPr>
          <w:sz w:val="20"/>
          <w:szCs w:val="20"/>
          <w:color w:val="auto"/>
        </w:rPr>
      </w:pPr>
      <w:r>
        <w:rPr>
          <w:rFonts w:ascii="Times New Roman" w:cs="Times New Roman" w:eastAsia="Times New Roman" w:hAnsi="Times New Roman"/>
          <w:sz w:val="18"/>
          <w:szCs w:val="18"/>
          <w:color w:val="auto"/>
        </w:rPr>
        <w:t>Professional Partner’s limited partners are subject to certain restrictive covenants set forth in the fourth amended and restated limited partnership agreement of Professional Partners, including (i) perpetual confidentiality obligations, subject to certain limited exceptions, (ii) 180-day post-termination client and customer non-solicitation restrictions following a termination for cause or any resignation without good reason, (iii) post-termination investor non-solicitation restrictions following a termination for cause or any resignation without good reason for (x) 180 days with respect to any limited partner of Professional Partners, PWP Capital or PWP OpCo, and their respective subsidiaries and successors and assigns or (y) one year with respect to any limited partner, investor, prospective limited partner or investor of investment funds sponsored by a PWP Entity, (iv) one-year post-termination employee non-solicitation restrictions following any termination and (v) perpetual non-disparagement obligations. In addition, in the event that the limited partner resigns without good reason and competes with the PWP Entities within one year following the resignation, or breaches any other applicable written covenant between any PWP Entity and the limited partner, then any common units in Professional Partners held by such limited partner will be forfeited on the date of such breach.</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Repurchase of Class A Common Stock</w:t>
      </w:r>
    </w:p>
    <w:p>
      <w:pPr>
        <w:spacing w:after="0" w:line="189" w:lineRule="exact"/>
        <w:rPr>
          <w:sz w:val="20"/>
          <w:szCs w:val="20"/>
          <w:color w:val="auto"/>
        </w:rPr>
      </w:pPr>
    </w:p>
    <w:p>
      <w:pPr>
        <w:ind w:right="440" w:firstLine="324"/>
        <w:spacing w:after="0" w:line="282" w:lineRule="auto"/>
        <w:rPr>
          <w:sz w:val="20"/>
          <w:szCs w:val="20"/>
          <w:color w:val="auto"/>
        </w:rPr>
      </w:pPr>
      <w:r>
        <w:rPr>
          <w:rFonts w:ascii="Times New Roman" w:cs="Times New Roman" w:eastAsia="Times New Roman" w:hAnsi="Times New Roman"/>
          <w:sz w:val="18"/>
          <w:szCs w:val="18"/>
          <w:color w:val="auto"/>
        </w:rPr>
        <w:t>On August 9, 2021, the Company repurchased 1,000,000 Founder Shares from the Sponsor at $12.00 per share for a total purchase price of $12.0 million.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UK ACU Reimbursement Agreement</w:t>
      </w:r>
    </w:p>
    <w:p>
      <w:pPr>
        <w:spacing w:after="0" w:line="202" w:lineRule="exact"/>
        <w:rPr>
          <w:sz w:val="20"/>
          <w:szCs w:val="20"/>
          <w:color w:val="auto"/>
        </w:rPr>
      </w:pPr>
    </w:p>
    <w:p>
      <w:pPr>
        <w:ind w:right="60" w:firstLine="324"/>
        <w:spacing w:after="0" w:line="261" w:lineRule="auto"/>
        <w:rPr>
          <w:sz w:val="20"/>
          <w:szCs w:val="20"/>
          <w:color w:val="auto"/>
        </w:rPr>
      </w:pPr>
      <w:r>
        <w:rPr>
          <w:rFonts w:ascii="Times New Roman" w:cs="Times New Roman" w:eastAsia="Times New Roman" w:hAnsi="Times New Roman"/>
          <w:sz w:val="18"/>
          <w:szCs w:val="18"/>
          <w:color w:val="auto"/>
        </w:rPr>
        <w:t>In September 2021, Perella Weinberg UK Limited, Professional Partners and certain partners (including one partner who serves as a Company director and co-president) entered into a reimbursement agreement, pursuant to which such partners directed Professional Partners to pay distributions related to their ACUs first to a subsidiary of the Company, so that the subsidiary can make employment income tax payments on such distributions to the appropriate non-US authorities and then pay the balance to such parties.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Agreements with PWP Capital</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Transition Services Agreement</w:t>
      </w:r>
    </w:p>
    <w:p>
      <w:pPr>
        <w:spacing w:after="0" w:line="202"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PWP is party to the transition services agreement (the “TSA”) with PWP Capital. Under the TSA, PWP agreed to provide certain corporate, healthcare, benefits and technology services to PWP Capital, and PWP Capital agreed to provide certain corporate, technology and human resource services to PWP. Either party to the TSA may terminate the agreement solely as it applies to the services it receives under the agreement with 90 days prior written notice. The agreement may also be terminated as it applies to any services provided or received with the mutual written consent of both parties. Under the TSA, each party is entitled to use the services provided to it for a fixed term established on a service-by-service basis, which term will be extended until terminated by the provider of the applicable service. Generally, each party will indemnify the other party and its respective directors, officers, employees, agents, consultants and contractors against losses relating to third party claims resulting from the transitional services.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1240"/>
          </w:cols>
          <w:pgMar w:left="320" w:top="1440" w:right="339" w:bottom="1440" w:gutter="0" w:footer="0" w:header="0"/>
        </w:sectPr>
      </w:pPr>
    </w:p>
    <w:bookmarkStart w:id="44" w:name="page45"/>
    <w:bookmarkEnd w:id="44"/>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Plans of Division and Master Separation Agreement</w:t>
      </w:r>
    </w:p>
    <w:p>
      <w:pPr>
        <w:spacing w:after="0" w:line="202"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auto"/>
        </w:rPr>
        <w:t>In connection with the PWP separation of the advisory business from the asset management business of PWP OpCo (the “PWP Separation”), PWP entered into plans of division that identify the assets transferred and the liabilities assumed as part of the PWP Separation. Specifically, the plans of division indicate that all liabilities primarily relating to, arising from or in connection with the advisory businesses of PWP OpCo prior to the PWP Separation are allocated to PWP OpCo. Conversely, all liabilities primarily relating to, arising from or in connection with the asset management business are allocated to PWP Capital.</w:t>
      </w:r>
    </w:p>
    <w:p>
      <w:pPr>
        <w:spacing w:after="0" w:line="143"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PWP is party to a master separation agreement with PWP Capital relating to the PWP Separation. The agreement sets forth, among other things, the ongoing obligations of PWP OpCo and PWP Capital relating to the separation of the advisory and asset management businesses of PWP OpCo on February 28, 2019. The master separation agreement provides for cross-indemnities that generally place the financial responsibility on PWP and its subsidiaries for all assets and liabilities associated with the advisory business and operations, and generally place on PWP Capital and its subsidiaries the financial responsibility for all assets and liabilities associated with the asset management business and operations.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Trademark License Agreement</w:t>
      </w:r>
    </w:p>
    <w:p>
      <w:pPr>
        <w:spacing w:after="0" w:line="202" w:lineRule="exact"/>
        <w:rPr>
          <w:sz w:val="20"/>
          <w:szCs w:val="20"/>
          <w:color w:val="auto"/>
        </w:rPr>
      </w:pPr>
    </w:p>
    <w:p>
      <w:pPr>
        <w:ind w:right="40" w:firstLine="324"/>
        <w:spacing w:after="0" w:line="256" w:lineRule="auto"/>
        <w:rPr>
          <w:sz w:val="20"/>
          <w:szCs w:val="20"/>
          <w:color w:val="auto"/>
        </w:rPr>
      </w:pPr>
      <w:r>
        <w:rPr>
          <w:rFonts w:ascii="Times New Roman" w:cs="Times New Roman" w:eastAsia="Times New Roman" w:hAnsi="Times New Roman"/>
          <w:sz w:val="18"/>
          <w:szCs w:val="18"/>
          <w:color w:val="auto"/>
        </w:rPr>
        <w:t>PWP is party to a trademark license agreement with PWP Capital, under which PWP Capital will have the right to use certain trademarks owned by us and specified therein and that were in use by the PWP Capital business prior to the PWP Separation. The licenses will be non-exclusive, non-transferable (except under certain conditions), non-sublicensable (except under certain conditions) and royalty-free. The agreement will last for a period of at least one year, subject to automatic extension, and may be terminated by PWP in the event that PWP Capital becomes insolvent, makes an assignment for the benefit of its creditors or breaches the agreement and fails to cure such breach, or, if the NPA is no longer in effect, by PWP in its sole discretion upon 60 days’ written notice to PWP Capital.</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Sublease Agreement</w:t>
      </w:r>
    </w:p>
    <w:p>
      <w:pPr>
        <w:spacing w:after="0" w:line="189"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color w:val="auto"/>
        </w:rPr>
        <w:t>In connection with the PWP Separation, PWP subleases a portion of its office space at its New York location to PWP Capital. In December 2021, PWP executed a sublease amendment to extend the sublease term for 19 months to August 31, 2023 and to reduce the size of the subleased premises. In accordance with the sublease, as amended, PWP Capital will pay to PWP a base rent of $38,440 per month and other lease related charges. The sublease, as amended, does not include a renewal option and PWP has the right to terminate the sublease for any reason after giving 90 days prior written notice.</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Agreements</w:t>
      </w:r>
    </w:p>
    <w:p>
      <w:pPr>
        <w:spacing w:after="0" w:line="189" w:lineRule="exact"/>
        <w:rPr>
          <w:sz w:val="20"/>
          <w:szCs w:val="20"/>
          <w:color w:val="auto"/>
        </w:rPr>
      </w:pPr>
    </w:p>
    <w:p>
      <w:pPr>
        <w:ind w:right="240" w:firstLine="324"/>
        <w:spacing w:after="0" w:line="282" w:lineRule="auto"/>
        <w:rPr>
          <w:sz w:val="20"/>
          <w:szCs w:val="20"/>
          <w:color w:val="auto"/>
        </w:rPr>
      </w:pPr>
      <w:r>
        <w:rPr>
          <w:rFonts w:ascii="Times New Roman" w:cs="Times New Roman" w:eastAsia="Times New Roman" w:hAnsi="Times New Roman"/>
          <w:sz w:val="18"/>
          <w:szCs w:val="18"/>
          <w:color w:val="auto"/>
        </w:rPr>
        <w:t>We may enter into engagement letters to provide advisory, investment banking and other services to PWP Capital. We may also enter into additional support and administration agreements with PWP Capital on arm’s length terms.</w:t>
      </w:r>
    </w:p>
    <w:p>
      <w:pPr>
        <w:spacing w:after="0" w:line="121" w:lineRule="exact"/>
        <w:rPr>
          <w:sz w:val="20"/>
          <w:szCs w:val="20"/>
          <w:color w:val="auto"/>
        </w:rPr>
      </w:pPr>
    </w:p>
    <w:p>
      <w:pPr>
        <w:ind w:right="200" w:firstLine="324"/>
        <w:spacing w:after="0" w:line="282" w:lineRule="auto"/>
        <w:rPr>
          <w:sz w:val="20"/>
          <w:szCs w:val="20"/>
          <w:color w:val="auto"/>
        </w:rPr>
      </w:pPr>
      <w:r>
        <w:rPr>
          <w:rFonts w:ascii="Times New Roman" w:cs="Times New Roman" w:eastAsia="Times New Roman" w:hAnsi="Times New Roman"/>
          <w:sz w:val="18"/>
          <w:szCs w:val="18"/>
          <w:color w:val="auto"/>
        </w:rPr>
        <w:t>From time-to-time, our asset management business may enter into compensation agreements with our employees, including Andrew Bednar or other officers and directors, to provide consultant and other services to our asset management business.</w:t>
      </w:r>
    </w:p>
    <w:p>
      <w:pPr>
        <w:spacing w:after="0" w:line="135" w:lineRule="exact"/>
        <w:rPr>
          <w:sz w:val="20"/>
          <w:szCs w:val="20"/>
          <w:color w:val="auto"/>
        </w:rPr>
      </w:pPr>
    </w:p>
    <w:p>
      <w:pPr>
        <w:ind w:right="320" w:firstLine="324"/>
        <w:spacing w:after="0" w:line="266" w:lineRule="auto"/>
        <w:rPr>
          <w:sz w:val="20"/>
          <w:szCs w:val="20"/>
          <w:color w:val="auto"/>
        </w:rPr>
      </w:pPr>
      <w:r>
        <w:rPr>
          <w:rFonts w:ascii="Times New Roman" w:cs="Times New Roman" w:eastAsia="Times New Roman" w:hAnsi="Times New Roman"/>
          <w:sz w:val="18"/>
          <w:szCs w:val="18"/>
          <w:color w:val="auto"/>
        </w:rPr>
        <w:t>From time-to-time, we may make loans to or investments in sponsors and other related entities of special purpose acquisition vehicle companies, formed for the purpose of effecting a merger, capital stock exchange, asset acquisition, stock purchase, reorganization or similar transaction with one or more businesses, and our officers and directors may own equity interests in such special acquisition vehicle companies.</w:t>
      </w:r>
    </w:p>
    <w:p>
      <w:pPr>
        <w:spacing w:after="0" w:line="135" w:lineRule="exact"/>
        <w:rPr>
          <w:sz w:val="20"/>
          <w:szCs w:val="20"/>
          <w:color w:val="auto"/>
        </w:rPr>
      </w:pPr>
    </w:p>
    <w:p>
      <w:pPr>
        <w:ind w:right="20" w:firstLine="324"/>
        <w:spacing w:after="0" w:line="282" w:lineRule="auto"/>
        <w:rPr>
          <w:sz w:val="20"/>
          <w:szCs w:val="20"/>
          <w:color w:val="auto"/>
        </w:rPr>
      </w:pPr>
      <w:r>
        <w:rPr>
          <w:rFonts w:ascii="Times New Roman" w:cs="Times New Roman" w:eastAsia="Times New Roman" w:hAnsi="Times New Roman"/>
          <w:sz w:val="18"/>
          <w:szCs w:val="18"/>
          <w:color w:val="auto"/>
        </w:rPr>
        <w:t>From time-to-time, we may make investments in one or more entities, which investments may permit multiple employees, officers or directors to make investments for the benefit of such employee, officer or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1240"/>
          </w:cols>
          <w:pgMar w:left="320" w:top="1440" w:right="339" w:bottom="1440" w:gutter="0" w:footer="0" w:header="0"/>
        </w:sectPr>
      </w:pPr>
    </w:p>
    <w:bookmarkStart w:id="45" w:name="page46"/>
    <w:bookmarkEnd w:id="45"/>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Future Internal Restructuring Transaction</w:t>
      </w:r>
    </w:p>
    <w:p>
      <w:pPr>
        <w:spacing w:after="0" w:line="202" w:lineRule="exact"/>
        <w:rPr>
          <w:sz w:val="20"/>
          <w:szCs w:val="20"/>
          <w:color w:val="auto"/>
        </w:rPr>
      </w:pPr>
    </w:p>
    <w:p>
      <w:pPr>
        <w:ind w:right="200" w:firstLine="324"/>
        <w:spacing w:after="0" w:line="256" w:lineRule="auto"/>
        <w:rPr>
          <w:sz w:val="20"/>
          <w:szCs w:val="20"/>
          <w:color w:val="auto"/>
        </w:rPr>
      </w:pPr>
      <w:r>
        <w:rPr>
          <w:rFonts w:ascii="Times New Roman" w:cs="Times New Roman" w:eastAsia="Times New Roman" w:hAnsi="Times New Roman"/>
          <w:sz w:val="18"/>
          <w:szCs w:val="18"/>
          <w:color w:val="auto"/>
        </w:rPr>
        <w:t>Pursuant to the fourth amended and restated limited partnership agreement of Professional Partners, on or after December 1, 2023, Professionals GP may cause Professional Partners to divide into three limited partnerships and, following such division, cause one of such partnerships to merge with and into PWP OpCo (provided that such merger does not cause such limited partnership, PWP OpCo, the Company or its stockholders to recognize any gain under applicable federal and state tax laws). Pursuant to the fourth amended and restated limited partnership agreement of Professional Partners and the PWP OpCo LP Agreement, PWP GP has agreed to cause PWP OpCo to consummate such merger. The merger is not expected to affect the respective rights or economic interests of us, PWP GP, any ILP or any limited partner of Professional Partners with respect to PWP OpCo.</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Tax Receivable Agreement</w:t>
      </w:r>
    </w:p>
    <w:p>
      <w:pPr>
        <w:spacing w:after="0" w:line="189" w:lineRule="exact"/>
        <w:rPr>
          <w:sz w:val="20"/>
          <w:szCs w:val="20"/>
          <w:color w:val="auto"/>
        </w:rPr>
      </w:pPr>
    </w:p>
    <w:p>
      <w:pPr>
        <w:ind w:right="60" w:firstLine="324"/>
        <w:spacing w:after="0" w:line="256" w:lineRule="auto"/>
        <w:rPr>
          <w:sz w:val="20"/>
          <w:szCs w:val="20"/>
          <w:color w:val="auto"/>
        </w:rPr>
      </w:pPr>
      <w:r>
        <w:rPr>
          <w:rFonts w:ascii="Times New Roman" w:cs="Times New Roman" w:eastAsia="Times New Roman" w:hAnsi="Times New Roman"/>
          <w:sz w:val="18"/>
          <w:szCs w:val="18"/>
          <w:color w:val="auto"/>
        </w:rPr>
        <w:t>In connection with the closing of the Business Combination, we entered into a Tax Receivable Agreement with PWP OpCo, Professional Partners and certain other persons party thereto (the “TRA”). The Tax Receivable Agreement generally provides for payment by us to ILPs and certain Partners (as defined therein) of 85% of the cash tax savings, if any, in U.S. federal, state, local and foreign income taxes and related interest realized (or deemed realized) in periods after the closing of the Business Combination as a result of (a) the Business Combination and related transactions, (b) exchanges of interests in PWP OpCo for cash or stock of the Company and certain other transactions and (c) payments made under the Tax Receivable Agreement. We expect to retain the benefit of the remaining 15% of these cash tax savings.</w:t>
      </w:r>
    </w:p>
    <w:p>
      <w:pPr>
        <w:spacing w:after="0" w:line="160" w:lineRule="exact"/>
        <w:rPr>
          <w:sz w:val="20"/>
          <w:szCs w:val="20"/>
          <w:color w:val="auto"/>
        </w:rPr>
      </w:pPr>
    </w:p>
    <w:p>
      <w:pPr>
        <w:ind w:right="120" w:firstLine="324"/>
        <w:spacing w:after="0" w:line="254" w:lineRule="auto"/>
        <w:rPr>
          <w:sz w:val="20"/>
          <w:szCs w:val="20"/>
          <w:color w:val="auto"/>
        </w:rPr>
      </w:pPr>
      <w:r>
        <w:rPr>
          <w:rFonts w:ascii="Times New Roman" w:cs="Times New Roman" w:eastAsia="Times New Roman" w:hAnsi="Times New Roman"/>
          <w:sz w:val="18"/>
          <w:szCs w:val="18"/>
          <w:color w:val="auto"/>
        </w:rPr>
        <w:t>For purposes of the TRA, cash savings will be computed by comparing the Company's actual income tax liability to the amount of such taxes that the Company would have been required to pay had there been no increase to the tax basis of the assets of PWP OpCo as a result of the exchanges and had the Company not entered into the TRA. The term of the TRA commenced upon consummation of the Business Combination and will continue until all tax benefits have been utilized or expired, unless the Company exercises its right to terminate the TRA for an amount based on a specified formula to determine the present value of payments remaining to be made under the agreement (including payments that would be made if all PWP OpCo Class A partnership units were then exchanged for our Class A common stock). The TRA will cover any exchanges of PWP OpCo Class A partnership units by ILPs and Limited Partners (after distribution of PWP OpCo Class A partnership units by Professional Partners) who are party to that agreement after the consummation of the Business Combination, and it is possible that new investors in the PWP OpCo Class A partnership units after the consummation of the Business Combination may become parties to the TRA as well.</w:t>
      </w:r>
    </w:p>
    <w:p>
      <w:pPr>
        <w:spacing w:after="0" w:line="148"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The payment obligation under the TRA is an obligation of Perella Weinberg Partners and not an obligation of PWP OpCo. In addition, although we are not aware of any issue that would cause the IRS to challenge a tax basis increase that results in a payment under the TRA, the TRA Parties will not reimburse us for any payments previously made under the TRA if such basis increases or other benefits are subsequently disallowed, although excess payments made to any TRA Party may be netted against payments otherwise to be made, if any, to the relevant ILP or Limited Partner after our determination of such excess. As a result, in certain circumstances we may make payments to the TRA Parties under the TRA in excess of our actual cash tax savings. While the actual amount and timing of any payments under the TRA will vary depending upon a number of factors, including the timing of exchanges, the price of shares of our Class A common stock at the time of the exchange, the extent to which such exchanges are taxable, future tax rates and the amount and timing of the Company's income, we expect that, as a result of the size of the increases of the tangible and intangible assets of PWP OpCo attributable to our interests in PWP OpCo, during the expected term of the TRA, the payments that we may make to the TRA Parties could be substantial. Payments made under the TRA are required to be made within 240 days of the filing of the Company's tax returns. Because we generally expect to receive the tax savings prior to making the cash payments to the TRA Parties, we do not expect the cash payments to have a material impact on our liquidity.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1200"/>
          </w:cols>
          <w:pgMar w:left="320" w:top="1440" w:right="379" w:bottom="1440" w:gutter="0" w:footer="0" w:header="0"/>
        </w:sectPr>
      </w:pPr>
    </w:p>
    <w:bookmarkStart w:id="46" w:name="page47"/>
    <w:bookmarkEnd w:id="46"/>
    <w:p>
      <w:pPr>
        <w:spacing w:after="0" w:line="153" w:lineRule="exact"/>
        <w:rPr>
          <w:sz w:val="20"/>
          <w:szCs w:val="20"/>
          <w:color w:val="auto"/>
        </w:rPr>
      </w:pPr>
    </w:p>
    <w:p>
      <w:pPr>
        <w:ind w:right="200" w:firstLine="324"/>
        <w:spacing w:after="0" w:line="258" w:lineRule="auto"/>
        <w:rPr>
          <w:sz w:val="20"/>
          <w:szCs w:val="20"/>
          <w:color w:val="auto"/>
        </w:rPr>
      </w:pPr>
      <w:r>
        <w:rPr>
          <w:rFonts w:ascii="Times New Roman" w:cs="Times New Roman" w:eastAsia="Times New Roman" w:hAnsi="Times New Roman"/>
          <w:sz w:val="18"/>
          <w:szCs w:val="18"/>
          <w:color w:val="auto"/>
        </w:rPr>
        <w:t>The TRA also provides that, upon a merger, asset sale or other form of business combination or certain other changes of control, our (or our successor's) obligations with respect to exchanged or acquired PWP OpCo Class A partnership units (whether exchanged or acquired before or after such change of control) would be based on certain assumptions, including that we would have sufficient taxable income to fully utilize the deductions arising from the increased tax deductions and tax basis and other benefits related to entering into the TRA, that certain loss carryforwards will be used within 15 years, and that any non-amortizable assets are deemed disposed of at the earlier of (i) when the relevant asset is sold or (ii) within 15 years.</w:t>
      </w:r>
    </w:p>
    <w:p>
      <w:pPr>
        <w:spacing w:after="0" w:line="156"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Furthermore, upon a material breach of our obligations under the TRA that is not cured within the time period specified by the TRA or if, at any time, we elect an early termination of the TRA, we shall pay to each ILP and/or Limited Partner the present value, discounted at LIBOR (or a replacement agreed rate) plus 300 basis points as of such date, of all tax benefit payments due to such partner as of either the date of delivery of the early termination notice, in the case of an early termination, or as of the date of such breach, in the case of a material breach. The calculation of payments in such circumstances would also be based on certain assumptions, including, in addition to those described above with respect to a change of control, that federal, state, local, and foreign income tax rates will remain the same as those specified for such taxable year by the Code, and other laws on the date of such breach or the early termination payment, that any non-amortizable assets shall be deemed disposed of within 15 years of the earlier of the basis adjustment for such asset or the date of breach or delivery of the early termination notice, and that any PWP OpCo Class A partnership units that have not been exchanged will be deemed exchanged for the market value of our Class A common stock at the time of termination or material breach. Consequently, it is possible, in the case of a change of control, early termination, or material breach, that the actual cash tax savings realized by us may be significantly less than the corresponding TRA payments.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Consultant Compensation</w:t>
      </w:r>
    </w:p>
    <w:p>
      <w:pPr>
        <w:spacing w:after="0" w:line="189" w:lineRule="exact"/>
        <w:rPr>
          <w:sz w:val="20"/>
          <w:szCs w:val="20"/>
          <w:color w:val="auto"/>
        </w:rPr>
      </w:pPr>
    </w:p>
    <w:p>
      <w:pPr>
        <w:ind w:right="580" w:firstLine="324"/>
        <w:spacing w:after="0" w:line="282" w:lineRule="auto"/>
        <w:rPr>
          <w:sz w:val="20"/>
          <w:szCs w:val="20"/>
          <w:color w:val="auto"/>
        </w:rPr>
      </w:pPr>
      <w:r>
        <w:rPr>
          <w:rFonts w:ascii="Times New Roman" w:cs="Times New Roman" w:eastAsia="Times New Roman" w:hAnsi="Times New Roman"/>
          <w:sz w:val="18"/>
          <w:szCs w:val="18"/>
          <w:color w:val="auto"/>
        </w:rPr>
        <w:t>Ivan G. Seidenberg, Jorma Ollila and Jane C. Sherburne, three of PWP’s independent directors, received compensation in connection with their consultant services in 2020. See “Director Compensation” for additional details.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Employee Compensation Paid to Directors</w:t>
      </w:r>
    </w:p>
    <w:p>
      <w:pPr>
        <w:spacing w:after="0" w:line="31" w:lineRule="exact"/>
        <w:rPr>
          <w:sz w:val="20"/>
          <w:szCs w:val="20"/>
          <w:color w:val="auto"/>
        </w:rPr>
      </w:pPr>
    </w:p>
    <w:p>
      <w:pPr>
        <w:ind w:right="160" w:firstLine="324"/>
        <w:spacing w:after="0" w:line="237" w:lineRule="auto"/>
        <w:rPr>
          <w:sz w:val="20"/>
          <w:szCs w:val="20"/>
          <w:color w:val="auto"/>
        </w:rPr>
      </w:pPr>
      <w:r>
        <w:rPr>
          <w:rFonts w:ascii="Times New Roman" w:cs="Times New Roman" w:eastAsia="Times New Roman" w:hAnsi="Times New Roman"/>
          <w:sz w:val="18"/>
          <w:szCs w:val="18"/>
          <w:color w:val="auto"/>
        </w:rPr>
        <w:t>Messrs. Perella and Steel, two of PWP’s employee directors who are not executive officers, received compensation in respect of their service as Working Partners in 2021 in amounts equal to $510,500 and $7,986,867, respectively. For Mr. Steel, (a) $3,467,983 of such reported compensation represents the fair value, calculated in accordance with FASB ASC Topic 718, of equity in Professional Partners delivered to Mr. Steel in connection with the reorganization of Professional Partners in June 2021 prior to the Business Combination, pursuant to which his legacy equity in Professional Partners was cancelled and replaced with a combination of OCUs, VCUs and ACUs, and (b) $1,910,385 of such reported compensation represents the fair value, calculated in accordance with FASB ASC Topic 718, of performance-based RSUs granted under the Transaction Pool to Mr. Steel.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1240"/>
          </w:cols>
          <w:pgMar w:left="320" w:top="1440" w:right="339" w:bottom="1440" w:gutter="0" w:footer="0" w:header="0"/>
        </w:sectPr>
      </w:pPr>
    </w:p>
    <w:bookmarkStart w:id="47" w:name="page48"/>
    <w:bookmarkEnd w:id="47"/>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PROPOSAL 2: RATIFICATION OF INDEPENDENT AUDITOR APPOINTMENT</w:t>
      </w:r>
    </w:p>
    <w:p>
      <w:pPr>
        <w:spacing w:after="0" w:line="162" w:lineRule="exact"/>
        <w:rPr>
          <w:sz w:val="20"/>
          <w:szCs w:val="20"/>
          <w:color w:val="auto"/>
        </w:rPr>
      </w:pPr>
    </w:p>
    <w:p>
      <w:pPr>
        <w:ind w:right="140" w:firstLine="324"/>
        <w:spacing w:after="0" w:line="255" w:lineRule="auto"/>
        <w:rPr>
          <w:sz w:val="20"/>
          <w:szCs w:val="20"/>
          <w:color w:val="auto"/>
        </w:rPr>
      </w:pPr>
      <w:r>
        <w:rPr>
          <w:rFonts w:ascii="Times New Roman" w:cs="Times New Roman" w:eastAsia="Times New Roman" w:hAnsi="Times New Roman"/>
          <w:sz w:val="18"/>
          <w:szCs w:val="18"/>
          <w:color w:val="auto"/>
        </w:rPr>
        <w:t>Our audit committee has appointed Ernst &amp; Young LLP as our independent registered public accounting firm for the fiscal year ending December 31, 2022. Although stockholder ratification of the appointment of Ernst &amp; Young LLP is not required by law, we are submitting the appointment to our stockholders for ratification as a matter of good corporate governance. The ratification of the appointment of Ernst &amp; Young LLP requires the vote of the holders of a majority of the voting power of the shares represented at the meeting and entitled to vote on such question, voting as a single class. If stockholders do not ratify the appointment of Ernst &amp; Young LLP, the audit committee will reconsider the appointment. Even if stockholders ratify the appointment of Ernst &amp; Young LLP, the audit committee retains the discretion to appoint a different independent auditor at any time if it determines that such a change would be in the best interests of the Company and its stockholders.</w:t>
      </w:r>
    </w:p>
    <w:p>
      <w:pPr>
        <w:spacing w:after="0" w:line="162" w:lineRule="exact"/>
        <w:rPr>
          <w:sz w:val="20"/>
          <w:szCs w:val="20"/>
          <w:color w:val="auto"/>
        </w:rPr>
      </w:pPr>
    </w:p>
    <w:p>
      <w:pPr>
        <w:ind w:right="40" w:firstLine="324"/>
        <w:spacing w:after="0" w:line="282" w:lineRule="auto"/>
        <w:rPr>
          <w:sz w:val="20"/>
          <w:szCs w:val="20"/>
          <w:color w:val="auto"/>
        </w:rPr>
      </w:pPr>
      <w:r>
        <w:rPr>
          <w:rFonts w:ascii="Times New Roman" w:cs="Times New Roman" w:eastAsia="Times New Roman" w:hAnsi="Times New Roman"/>
          <w:sz w:val="18"/>
          <w:szCs w:val="18"/>
          <w:color w:val="auto"/>
        </w:rPr>
        <w:t>Representatives of Ernst &amp; Young LLP are expected to attend the Annual Meeting, will have an opportunity to make a statement if they desire to do so and are expected to be available to respond to appropriate questions.</w:t>
      </w:r>
    </w:p>
    <w:p>
      <w:pPr>
        <w:spacing w:after="0" w:line="158" w:lineRule="exact"/>
        <w:rPr>
          <w:sz w:val="20"/>
          <w:szCs w:val="20"/>
          <w:color w:val="auto"/>
        </w:rPr>
      </w:pPr>
    </w:p>
    <w:p>
      <w:pPr>
        <w:ind w:right="680" w:firstLine="324"/>
        <w:spacing w:after="0" w:line="286" w:lineRule="auto"/>
        <w:rPr>
          <w:sz w:val="20"/>
          <w:szCs w:val="20"/>
          <w:color w:val="auto"/>
        </w:rPr>
      </w:pPr>
      <w:r>
        <w:rPr>
          <w:rFonts w:ascii="Times New Roman" w:cs="Times New Roman" w:eastAsia="Times New Roman" w:hAnsi="Times New Roman"/>
          <w:sz w:val="18"/>
          <w:szCs w:val="18"/>
          <w:b w:val="1"/>
          <w:bCs w:val="1"/>
          <w:color w:val="auto"/>
        </w:rPr>
        <w:t>The board of directors recommends that you vote “FOR” the ratification of Ernst &amp; Young LLP as our independent registered public accounting firm for the fiscal year ending December 31, 2022.</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Principal Accountant Fees and Services</w:t>
      </w:r>
    </w:p>
    <w:p>
      <w:pPr>
        <w:spacing w:after="0" w:line="1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presents aggregate fees billed to the Company for services rendered by Ernst &amp; Young LLP during the years ended December 31,</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2021 and 2020:</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280" w:type="dxa"/>
            <w:vAlign w:val="bottom"/>
            <w:tcBorders>
              <w:bottom w:val="single" w:sz="8" w:color="CCEEFF"/>
            </w:tcBorders>
          </w:tcPr>
          <w:p>
            <w:pPr>
              <w:spacing w:after="0"/>
              <w:rPr>
                <w:sz w:val="20"/>
                <w:szCs w:val="20"/>
                <w:color w:val="auto"/>
              </w:rPr>
            </w:pPr>
          </w:p>
        </w:tc>
        <w:tc>
          <w:tcPr>
            <w:tcW w:w="142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520" w:type="dxa"/>
            <w:vAlign w:val="bottom"/>
            <w:tcBorders>
              <w:bottom w:val="single" w:sz="8" w:color="auto"/>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142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2020</w:t>
            </w:r>
          </w:p>
        </w:tc>
        <w:tc>
          <w:tcPr>
            <w:tcW w:w="5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38"/>
        </w:trPr>
        <w:tc>
          <w:tcPr>
            <w:tcW w:w="7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Audit Fees </w:t>
            </w:r>
            <w:r>
              <w:rPr>
                <w:rFonts w:ascii="Times New Roman" w:cs="Times New Roman" w:eastAsia="Times New Roman" w:hAnsi="Times New Roman"/>
                <w:sz w:val="23"/>
                <w:szCs w:val="23"/>
                <w:color w:val="auto"/>
                <w:vertAlign w:val="superscript"/>
              </w:rPr>
              <w:t>(1)</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1,914</w:t>
            </w:r>
          </w:p>
        </w:tc>
        <w:tc>
          <w:tcPr>
            <w:tcW w:w="80" w:type="dxa"/>
            <w:vAlign w:val="bottom"/>
            <w:tcBorders>
              <w:bottom w:val="single" w:sz="8" w:color="CCEEFF"/>
            </w:tcBorders>
            <w:shd w:val="clear" w:color="auto" w:fill="CCEEFF"/>
          </w:tcPr>
          <w:p>
            <w:pPr>
              <w:spacing w:after="0"/>
              <w:rPr>
                <w:sz w:val="24"/>
                <w:szCs w:val="24"/>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1,328</w:t>
            </w:r>
          </w:p>
        </w:tc>
        <w:tc>
          <w:tcPr>
            <w:tcW w:w="0" w:type="dxa"/>
            <w:vAlign w:val="bottom"/>
          </w:tcPr>
          <w:p>
            <w:pPr>
              <w:spacing w:after="0"/>
              <w:rPr>
                <w:sz w:val="1"/>
                <w:szCs w:val="1"/>
                <w:color w:val="auto"/>
              </w:rPr>
            </w:pPr>
          </w:p>
        </w:tc>
      </w:tr>
      <w:tr>
        <w:trPr>
          <w:trHeight w:val="351"/>
        </w:trPr>
        <w:tc>
          <w:tcPr>
            <w:tcW w:w="7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Audit-Related Fees </w:t>
            </w:r>
            <w:r>
              <w:rPr>
                <w:rFonts w:ascii="Times New Roman" w:cs="Times New Roman" w:eastAsia="Times New Roman" w:hAnsi="Times New Roman"/>
                <w:sz w:val="23"/>
                <w:szCs w:val="23"/>
                <w:color w:val="auto"/>
                <w:vertAlign w:val="superscript"/>
              </w:rPr>
              <w:t>(2)</w:t>
            </w:r>
          </w:p>
        </w:tc>
        <w:tc>
          <w:tcPr>
            <w:tcW w:w="1420" w:type="dxa"/>
            <w:vAlign w:val="bottom"/>
          </w:tcPr>
          <w:p>
            <w:pPr>
              <w:spacing w:after="0"/>
              <w:rPr>
                <w:sz w:val="24"/>
                <w:szCs w:val="24"/>
                <w:color w:val="auto"/>
              </w:rPr>
            </w:pP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1,305</w:t>
            </w:r>
          </w:p>
        </w:tc>
        <w:tc>
          <w:tcPr>
            <w:tcW w:w="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1,889</w:t>
            </w:r>
          </w:p>
        </w:tc>
        <w:tc>
          <w:tcPr>
            <w:tcW w:w="0" w:type="dxa"/>
            <w:vAlign w:val="bottom"/>
          </w:tcPr>
          <w:p>
            <w:pPr>
              <w:spacing w:after="0"/>
              <w:rPr>
                <w:sz w:val="1"/>
                <w:szCs w:val="1"/>
                <w:color w:val="auto"/>
              </w:rPr>
            </w:pPr>
          </w:p>
        </w:tc>
      </w:tr>
      <w:tr>
        <w:trPr>
          <w:trHeight w:val="54"/>
        </w:trPr>
        <w:tc>
          <w:tcPr>
            <w:tcW w:w="7280" w:type="dxa"/>
            <w:vAlign w:val="bottom"/>
          </w:tcPr>
          <w:p>
            <w:pPr>
              <w:spacing w:after="0"/>
              <w:rPr>
                <w:sz w:val="4"/>
                <w:szCs w:val="4"/>
                <w:color w:val="auto"/>
              </w:rPr>
            </w:pPr>
          </w:p>
        </w:tc>
        <w:tc>
          <w:tcPr>
            <w:tcW w:w="1420" w:type="dxa"/>
            <w:vAlign w:val="bottom"/>
          </w:tcPr>
          <w:p>
            <w:pPr>
              <w:spacing w:after="0"/>
              <w:rPr>
                <w:sz w:val="4"/>
                <w:szCs w:val="4"/>
                <w:color w:val="auto"/>
              </w:rPr>
            </w:pPr>
          </w:p>
        </w:tc>
        <w:tc>
          <w:tcPr>
            <w:tcW w:w="520" w:type="dxa"/>
            <w:vAlign w:val="bottom"/>
            <w:vMerge w:val="continue"/>
          </w:tcPr>
          <w:p>
            <w:pPr>
              <w:spacing w:after="0"/>
              <w:rPr>
                <w:sz w:val="4"/>
                <w:szCs w:val="4"/>
                <w:color w:val="auto"/>
              </w:rPr>
            </w:pPr>
          </w:p>
        </w:tc>
        <w:tc>
          <w:tcPr>
            <w:tcW w:w="80" w:type="dxa"/>
            <w:vAlign w:val="bottom"/>
          </w:tcPr>
          <w:p>
            <w:pPr>
              <w:spacing w:after="0"/>
              <w:rPr>
                <w:sz w:val="4"/>
                <w:szCs w:val="4"/>
                <w:color w:val="auto"/>
              </w:rPr>
            </w:pPr>
          </w:p>
        </w:tc>
        <w:tc>
          <w:tcPr>
            <w:tcW w:w="1420" w:type="dxa"/>
            <w:vAlign w:val="bottom"/>
          </w:tcPr>
          <w:p>
            <w:pPr>
              <w:spacing w:after="0"/>
              <w:rPr>
                <w:sz w:val="4"/>
                <w:szCs w:val="4"/>
                <w:color w:val="auto"/>
              </w:rPr>
            </w:pPr>
          </w:p>
        </w:tc>
        <w:tc>
          <w:tcPr>
            <w:tcW w:w="5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30"/>
        </w:trPr>
        <w:tc>
          <w:tcPr>
            <w:tcW w:w="7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Tax Fees</w:t>
            </w:r>
          </w:p>
        </w:tc>
        <w:tc>
          <w:tcPr>
            <w:tcW w:w="142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7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All Other Fees</w:t>
            </w:r>
          </w:p>
        </w:tc>
        <w:tc>
          <w:tcPr>
            <w:tcW w:w="1420" w:type="dxa"/>
            <w:vAlign w:val="bottom"/>
          </w:tcPr>
          <w:p>
            <w:pPr>
              <w:spacing w:after="0"/>
              <w:rPr>
                <w:sz w:val="19"/>
                <w:szCs w:val="19"/>
                <w:color w:val="auto"/>
              </w:rPr>
            </w:pP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8"/>
        </w:trPr>
        <w:tc>
          <w:tcPr>
            <w:tcW w:w="72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3,219</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3,217</w:t>
            </w:r>
          </w:p>
        </w:tc>
        <w:tc>
          <w:tcPr>
            <w:tcW w:w="0" w:type="dxa"/>
            <w:vAlign w:val="bottom"/>
          </w:tcPr>
          <w:p>
            <w:pPr>
              <w:spacing w:after="0"/>
              <w:rPr>
                <w:sz w:val="1"/>
                <w:szCs w:val="1"/>
                <w:color w:val="auto"/>
              </w:rPr>
            </w:pPr>
          </w:p>
        </w:tc>
      </w:tr>
      <w:tr>
        <w:trPr>
          <w:trHeight w:val="20"/>
        </w:trPr>
        <w:tc>
          <w:tcPr>
            <w:tcW w:w="728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5" w:lineRule="exact"/>
        <w:rPr>
          <w:sz w:val="20"/>
          <w:szCs w:val="20"/>
          <w:color w:val="auto"/>
        </w:rPr>
      </w:pPr>
    </w:p>
    <w:p>
      <w:pPr>
        <w:ind w:left="340" w:right="380" w:hanging="332"/>
        <w:spacing w:after="0" w:line="261" w:lineRule="auto"/>
        <w:tabs>
          <w:tab w:leader="none" w:pos="332"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Audit Fees include fees for services rendered for the audit and quarterly reviews of our consolidated financial statements, including those filed with the SEC on Forms 10-K and 10-Q, respectively, as well as statutory and financial audits for our United States and foreign consolidated subsidiaries. Additionally, audit fees include other regulatory filings, and similar engagements, such as attest services, comfort letters, consents, and reviews of documents filed with or submitted to the SEC.</w:t>
      </w:r>
    </w:p>
    <w:p>
      <w:pPr>
        <w:spacing w:after="0" w:line="55"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Audit-Related Fees associated with period prior to the Business Combination.</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Audit Committee Pre-Approval</w:t>
      </w:r>
    </w:p>
    <w:p>
      <w:pPr>
        <w:spacing w:after="0" w:line="189" w:lineRule="exact"/>
        <w:rPr>
          <w:sz w:val="20"/>
          <w:szCs w:val="20"/>
          <w:color w:val="auto"/>
        </w:rPr>
      </w:pPr>
    </w:p>
    <w:p>
      <w:pPr>
        <w:ind w:right="200" w:firstLine="324"/>
        <w:spacing w:after="0" w:line="282" w:lineRule="auto"/>
        <w:rPr>
          <w:sz w:val="20"/>
          <w:szCs w:val="20"/>
          <w:color w:val="auto"/>
        </w:rPr>
      </w:pPr>
      <w:r>
        <w:rPr>
          <w:rFonts w:ascii="Times New Roman" w:cs="Times New Roman" w:eastAsia="Times New Roman" w:hAnsi="Times New Roman"/>
          <w:sz w:val="18"/>
          <w:szCs w:val="18"/>
          <w:color w:val="auto"/>
        </w:rPr>
        <w:t>Since our Business Combination, all services performed by Ernst &amp; Young LLP for the Company and its subsidiaries have been pre-approved by the audit committee.</w:t>
      </w:r>
    </w:p>
    <w:p>
      <w:pPr>
        <w:spacing w:after="0" w:line="121" w:lineRule="exact"/>
        <w:rPr>
          <w:sz w:val="20"/>
          <w:szCs w:val="20"/>
          <w:color w:val="auto"/>
        </w:rPr>
      </w:pPr>
    </w:p>
    <w:p>
      <w:pPr>
        <w:ind w:right="280" w:firstLine="324"/>
        <w:spacing w:after="0" w:line="266" w:lineRule="auto"/>
        <w:rPr>
          <w:sz w:val="20"/>
          <w:szCs w:val="20"/>
          <w:color w:val="auto"/>
        </w:rPr>
      </w:pPr>
      <w:r>
        <w:rPr>
          <w:rFonts w:ascii="Times New Roman" w:cs="Times New Roman" w:eastAsia="Times New Roman" w:hAnsi="Times New Roman"/>
          <w:sz w:val="18"/>
          <w:szCs w:val="18"/>
          <w:color w:val="auto"/>
        </w:rPr>
        <w:t>The audit committee has adopted a pre-approval policy, which requires that before the independent auditor is engaged for any services, the audit committee must approve these services, including the fees and terms. Services are reviewed taking into account the terms of the policy, and, for types of services not pre-approved in the policy, the rules of the SEC and the Public Company Accounting Oversight Board.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1240"/>
          </w:cols>
          <w:pgMar w:left="320" w:top="1440" w:right="339" w:bottom="1440" w:gutter="0" w:footer="0" w:header="0"/>
        </w:sectPr>
      </w:pPr>
    </w:p>
    <w:bookmarkStart w:id="48" w:name="page49"/>
    <w:bookmarkEnd w:id="48"/>
    <w:p>
      <w:pPr>
        <w:spacing w:after="0" w:line="19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AUDIT COMMITTEE REPORT</w:t>
      </w:r>
    </w:p>
    <w:p>
      <w:pPr>
        <w:spacing w:after="0" w:line="189"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The audit committee is responsible primarily for assisting the board of directors in fulfilling its legal and fiduciary obligations with respect to matters involving the accounting, auditing, financial reporting, internal control and legal compliance functions of the Company and its subsidiaries. The committee assists in the board of directors’ oversight of the integrity of the Company’s financial statements, the Company’s compliance with legal and regulatory requirements, the Company’s independent auditors’ qualifications and independence, and the performance of the Company’s independent auditors and the Company’s internal audit function.</w:t>
      </w:r>
    </w:p>
    <w:p>
      <w:pPr>
        <w:spacing w:after="0" w:line="156" w:lineRule="exact"/>
        <w:rPr>
          <w:sz w:val="20"/>
          <w:szCs w:val="20"/>
          <w:color w:val="auto"/>
        </w:rPr>
      </w:pPr>
    </w:p>
    <w:p>
      <w:pPr>
        <w:ind w:right="80" w:firstLine="324"/>
        <w:spacing w:after="0" w:line="256" w:lineRule="auto"/>
        <w:rPr>
          <w:sz w:val="20"/>
          <w:szCs w:val="20"/>
          <w:color w:val="auto"/>
        </w:rPr>
      </w:pPr>
      <w:r>
        <w:rPr>
          <w:rFonts w:ascii="Times New Roman" w:cs="Times New Roman" w:eastAsia="Times New Roman" w:hAnsi="Times New Roman"/>
          <w:sz w:val="18"/>
          <w:szCs w:val="18"/>
          <w:color w:val="auto"/>
        </w:rPr>
        <w:t>The Company’s management is responsible for the preparation and presentation of the Company’s financial statements, the effectiveness of internal control over financial reporting, and procedures that are reasonably designed to ensure compliance with accounting standards and applicable laws and regulations. The Company’s independent registered public accounting firm, Ernst &amp; Young LLP, is responsible for performing an independent audit of the Company’s financial statements in accordance with the standards of the Public Company Accounting Oversight Board (United States) (“PCAOB”). The audit committee does not itself prepare financial statements or perform audits, and its members are not auditors or certifiers of the Company’s financial statements or disclosures.</w:t>
      </w:r>
    </w:p>
    <w:p>
      <w:pPr>
        <w:spacing w:after="0" w:line="147" w:lineRule="exact"/>
        <w:rPr>
          <w:sz w:val="20"/>
          <w:szCs w:val="20"/>
          <w:color w:val="auto"/>
        </w:rPr>
      </w:pPr>
    </w:p>
    <w:p>
      <w:pPr>
        <w:ind w:right="600" w:firstLine="324"/>
        <w:spacing w:after="0" w:line="266" w:lineRule="auto"/>
        <w:rPr>
          <w:sz w:val="20"/>
          <w:szCs w:val="20"/>
          <w:color w:val="auto"/>
        </w:rPr>
      </w:pPr>
      <w:r>
        <w:rPr>
          <w:rFonts w:ascii="Times New Roman" w:cs="Times New Roman" w:eastAsia="Times New Roman" w:hAnsi="Times New Roman"/>
          <w:sz w:val="18"/>
          <w:szCs w:val="18"/>
          <w:color w:val="auto"/>
        </w:rPr>
        <w:t>The audit committee has reviewed and discussed the audited financial statements for the year ended December 31, 2021 with the Company’s management and Ernst &amp; Young LLP. The audit committee has discussed with the independent auditors the matters required to be discussed by the applicable requirements of the PCAOB and the Securities and Exchange Commission.</w:t>
      </w:r>
    </w:p>
    <w:p>
      <w:pPr>
        <w:spacing w:after="0" w:line="135" w:lineRule="exact"/>
        <w:rPr>
          <w:sz w:val="20"/>
          <w:szCs w:val="20"/>
          <w:color w:val="auto"/>
        </w:rPr>
      </w:pPr>
    </w:p>
    <w:p>
      <w:pPr>
        <w:ind w:right="140" w:firstLine="324"/>
        <w:spacing w:after="0" w:line="312" w:lineRule="auto"/>
        <w:rPr>
          <w:sz w:val="20"/>
          <w:szCs w:val="20"/>
          <w:color w:val="auto"/>
        </w:rPr>
      </w:pPr>
      <w:r>
        <w:rPr>
          <w:rFonts w:ascii="Times New Roman" w:cs="Times New Roman" w:eastAsia="Times New Roman" w:hAnsi="Times New Roman"/>
          <w:sz w:val="17"/>
          <w:szCs w:val="17"/>
          <w:color w:val="auto"/>
        </w:rPr>
        <w:t>The audit committee has received the written disclosures and the letter from Ernst &amp; Young LLP required by applicable requirements of the PCAOB regarding auditor communications with the audit committee concerning independence, and has discussed with Ernst &amp; Young LLP its independence.</w:t>
      </w:r>
    </w:p>
    <w:p>
      <w:pPr>
        <w:spacing w:after="0" w:line="113" w:lineRule="exact"/>
        <w:rPr>
          <w:sz w:val="20"/>
          <w:szCs w:val="20"/>
          <w:color w:val="auto"/>
        </w:rPr>
      </w:pPr>
    </w:p>
    <w:p>
      <w:pPr>
        <w:ind w:right="20" w:firstLine="324"/>
        <w:spacing w:after="0" w:line="282" w:lineRule="auto"/>
        <w:rPr>
          <w:sz w:val="20"/>
          <w:szCs w:val="20"/>
          <w:color w:val="auto"/>
        </w:rPr>
      </w:pPr>
      <w:r>
        <w:rPr>
          <w:rFonts w:ascii="Times New Roman" w:cs="Times New Roman" w:eastAsia="Times New Roman" w:hAnsi="Times New Roman"/>
          <w:sz w:val="18"/>
          <w:szCs w:val="18"/>
          <w:color w:val="auto"/>
        </w:rPr>
        <w:t>Based on such review and discussions, the audit committee recommended to the Company’s board of directors that the financial statements referred to above be included in the Annual Report on Form 10-K for the fiscal year ended December 31, 2021.</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Audit Committee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Jorma Ollila (Chair)</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Ivan G. Seidenberg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Jane C. Sherburne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45</w:t>
      </w:r>
    </w:p>
    <w:p>
      <w:pPr>
        <w:sectPr>
          <w:pgSz w:w="11900" w:h="16838" w:orient="portrait"/>
          <w:cols w:equalWidth="0" w:num="1">
            <w:col w:w="11180"/>
          </w:cols>
          <w:pgMar w:left="320" w:top="1440" w:right="399" w:bottom="1440" w:gutter="0" w:footer="0" w:header="0"/>
        </w:sectPr>
      </w:pPr>
    </w:p>
    <w:bookmarkStart w:id="49" w:name="page50"/>
    <w:bookmarkEnd w:id="49"/>
    <w:p>
      <w:pPr>
        <w:spacing w:after="0" w:line="1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ADDITIONAL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Procedures for Submitting Stockholder Proposals</w:t>
      </w:r>
    </w:p>
    <w:p>
      <w:pPr>
        <w:spacing w:after="0" w:line="189" w:lineRule="exact"/>
        <w:rPr>
          <w:sz w:val="20"/>
          <w:szCs w:val="20"/>
          <w:color w:val="auto"/>
        </w:rPr>
      </w:pPr>
    </w:p>
    <w:p>
      <w:pPr>
        <w:jc w:val="both"/>
        <w:ind w:right="120" w:firstLine="324"/>
        <w:spacing w:after="0" w:line="266" w:lineRule="auto"/>
        <w:rPr>
          <w:sz w:val="20"/>
          <w:szCs w:val="20"/>
          <w:color w:val="auto"/>
        </w:rPr>
      </w:pPr>
      <w:r>
        <w:rPr>
          <w:rFonts w:ascii="Times New Roman" w:cs="Times New Roman" w:eastAsia="Times New Roman" w:hAnsi="Times New Roman"/>
          <w:sz w:val="18"/>
          <w:szCs w:val="18"/>
          <w:color w:val="auto"/>
        </w:rPr>
        <w:t>Stockholder proposals intended to be presented at the 2023 Annual Meeting of Stockholders (the “2023 Annual Meeting”), pursuant to Exchange Act Rule 14a-8 must be delivered to the Corporate Secretary at our principal executive offices no later than December 13, 2022, in order to be included in the our proxy materials for that meeting. Such proposals must also comply with all applicable provisions of Exchange Act Rule 14a-8 and our bylaws.</w:t>
      </w:r>
    </w:p>
    <w:p>
      <w:pPr>
        <w:spacing w:after="0" w:line="149"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Under our bylaws, stockholder proposals submitted for consideration at any annual meeting of stockholders, but not submitted for inclusion in our proxy materials pursuant to Exchange Act Rule 14a-8, including nominations for candidates for election as directors, must be delivered to our Corporate Secretary at our principal executive offices not less than 90 days or more than 120 days prior to the anniversary of the immediately preceding annual meeting of stockholders. Accordingly, stockholder proposals and nominations under our bylaws must be delivered no earlier than January 24, 2023, and no later than February 23, 2023. However, if the annual meeting occurs more than 25 days before or after this anniversary date, proposals must be delivered no later than the close of business on the tenth day following the earlier of (i) the date that the meeting notice is mailed or (ii) the first public announcement of the meeting date. Director nominations for consideration at any special meeting of stockholders called for the purpose of electing directors must be delivered on or before the tenth day following the earlier of (i) the date that the meeting notice is mailed or (ii) the first public announcement of the meeting date.</w:t>
      </w:r>
    </w:p>
    <w:p>
      <w:pPr>
        <w:spacing w:after="0" w:line="148" w:lineRule="exact"/>
        <w:rPr>
          <w:sz w:val="20"/>
          <w:szCs w:val="20"/>
          <w:color w:val="auto"/>
        </w:rPr>
      </w:pPr>
    </w:p>
    <w:p>
      <w:pPr>
        <w:ind w:right="120" w:firstLine="324"/>
        <w:spacing w:after="0" w:line="282" w:lineRule="auto"/>
        <w:rPr>
          <w:sz w:val="20"/>
          <w:szCs w:val="20"/>
          <w:color w:val="auto"/>
        </w:rPr>
      </w:pPr>
      <w:r>
        <w:rPr>
          <w:rFonts w:ascii="Times New Roman" w:cs="Times New Roman" w:eastAsia="Times New Roman" w:hAnsi="Times New Roman"/>
          <w:sz w:val="18"/>
          <w:szCs w:val="18"/>
          <w:color w:val="auto"/>
        </w:rPr>
        <w:t>Stockholder proposals and nominations must include all required information concerning the stockholder and the proposal or nominee set forth in our bylaws.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ectPr>
          <w:pgSz w:w="11900" w:h="16838" w:orient="portrait"/>
          <w:cols w:equalWidth="0" w:num="1">
            <w:col w:w="11220"/>
          </w:cols>
          <w:pgMar w:left="320" w:top="1440" w:right="359" w:bottom="1440" w:gutter="0" w:footer="0" w:header="0"/>
        </w:sectPr>
      </w:pPr>
    </w:p>
    <w:bookmarkStart w:id="50" w:name="page51"/>
    <w:bookmarkEnd w:id="5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988060</wp:posOffset>
            </wp:positionH>
            <wp:positionV relativeFrom="page">
              <wp:posOffset>1023620</wp:posOffset>
            </wp:positionV>
            <wp:extent cx="5572125" cy="745807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clrChange>
                        <a:clrFrom>
                          <a:srgbClr val="FFFFFF"/>
                        </a:clrFrom>
                        <a:clrTo>
                          <a:srgbClr val="FFFFFF">
                            <a:alpha val="0"/>
                          </a:srgbClr>
                        </a:clrTo>
                      </a:clrChange>
                      <a:extLst>
                        <a:ext uri="{28A0092B-C50C-407E-A947-70E740481C1C}"/>
                      </a:extLst>
                    </a:blip>
                    <a:srcRect/>
                    <a:stretch>
                      <a:fillRect/>
                    </a:stretch>
                  </pic:blipFill>
                  <pic:spPr bwMode="auto">
                    <a:xfrm>
                      <a:off x="0" y="0"/>
                      <a:ext cx="5572125" cy="74580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1" w:name="page52"/>
    <w:bookmarkEnd w:id="5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988060</wp:posOffset>
            </wp:positionH>
            <wp:positionV relativeFrom="page">
              <wp:posOffset>1023620</wp:posOffset>
            </wp:positionV>
            <wp:extent cx="5572125" cy="745807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clrChange>
                        <a:clrFrom>
                          <a:srgbClr val="FFFFFF"/>
                        </a:clrFrom>
                        <a:clrTo>
                          <a:srgbClr val="FFFFFF">
                            <a:alpha val="0"/>
                          </a:srgbClr>
                        </a:clrTo>
                      </a:clrChange>
                      <a:extLst>
                        <a:ext uri="{28A0092B-C50C-407E-A947-70E740481C1C}"/>
                      </a:extLst>
                    </a:blip>
                    <a:srcRect/>
                    <a:stretch>
                      <a:fillRect/>
                    </a:stretch>
                  </pic:blipFill>
                  <pic:spPr bwMode="auto">
                    <a:xfrm>
                      <a:off x="0" y="0"/>
                      <a:ext cx="5572125" cy="745807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FDCC233"/>
    <w:multiLevelType w:val="hybridMultilevel"/>
    <w:lvl w:ilvl="0">
      <w:lvlJc w:val="left"/>
      <w:lvlText w:val="☐"/>
      <w:numFmt w:val="bullet"/>
      <w:start w:val="1"/>
    </w:lvl>
  </w:abstractNum>
  <w:abstractNum w:abstractNumId="1">
    <w:nsid w:val="1BEFD79F"/>
    <w:multiLevelType w:val="hybridMultilevel"/>
    <w:lvl w:ilvl="0">
      <w:lvlJc w:val="left"/>
      <w:lvlText w:val="☒"/>
      <w:numFmt w:val="bullet"/>
      <w:start w:val="1"/>
    </w:lvl>
  </w:abstractNum>
  <w:abstractNum w:abstractNumId="2">
    <w:nsid w:val="41A7C4C9"/>
    <w:multiLevelType w:val="hybridMultilevel"/>
    <w:lvl w:ilvl="0">
      <w:lvlJc w:val="left"/>
      <w:lvlText w:val="☐"/>
      <w:numFmt w:val="bullet"/>
      <w:start w:val="1"/>
    </w:lvl>
  </w:abstractNum>
  <w:abstractNum w:abstractNumId="3">
    <w:nsid w:val="6B68079A"/>
    <w:multiLevelType w:val="hybridMultilevel"/>
    <w:lvl w:ilvl="0">
      <w:lvlJc w:val="left"/>
      <w:lvlText w:val="%1."/>
      <w:numFmt w:val="decimal"/>
      <w:start w:val="1"/>
    </w:lvl>
  </w:abstractNum>
  <w:abstractNum w:abstractNumId="4">
    <w:nsid w:val="4E6AFB66"/>
    <w:multiLevelType w:val="hybridMultilevel"/>
    <w:lvl w:ilvl="0">
      <w:lvlJc w:val="left"/>
      <w:lvlText w:val="%1."/>
      <w:numFmt w:val="decimal"/>
      <w:start w:val="1"/>
    </w:lvl>
  </w:abstractNum>
  <w:abstractNum w:abstractNumId="5">
    <w:nsid w:val="25E45D32"/>
    <w:multiLevelType w:val="hybridMultilevel"/>
    <w:lvl w:ilvl="0">
      <w:lvlJc w:val="left"/>
      <w:lvlText w:val="%1."/>
      <w:numFmt w:val="decimal"/>
      <w:start w:val="1"/>
    </w:lvl>
  </w:abstractNum>
  <w:abstractNum w:abstractNumId="6">
    <w:nsid w:val="519B500D"/>
    <w:multiLevelType w:val="hybridMultilevel"/>
    <w:lvl w:ilvl="0">
      <w:lvlJc w:val="left"/>
      <w:lvlText w:val="•"/>
      <w:numFmt w:val="bullet"/>
      <w:start w:val="1"/>
    </w:lvl>
  </w:abstractNum>
  <w:abstractNum w:abstractNumId="7">
    <w:nsid w:val="431BD7B7"/>
    <w:multiLevelType w:val="hybridMultilevel"/>
    <w:lvl w:ilvl="0">
      <w:lvlJc w:val="left"/>
      <w:lvlText w:val="•"/>
      <w:numFmt w:val="bullet"/>
      <w:start w:val="1"/>
    </w:lvl>
  </w:abstractNum>
  <w:abstractNum w:abstractNumId="8">
    <w:nsid w:val="3F2DBA31"/>
    <w:multiLevelType w:val="hybridMultilevel"/>
    <w:lvl w:ilvl="0">
      <w:lvlJc w:val="left"/>
      <w:lvlText w:val="•"/>
      <w:numFmt w:val="bullet"/>
      <w:start w:val="1"/>
    </w:lvl>
  </w:abstractNum>
  <w:abstractNum w:abstractNumId="9">
    <w:nsid w:val="7C83E458"/>
    <w:multiLevelType w:val="hybridMultilevel"/>
    <w:lvl w:ilvl="0">
      <w:lvlJc w:val="left"/>
      <w:lvlText w:val="•"/>
      <w:numFmt w:val="bullet"/>
      <w:start w:val="1"/>
    </w:lvl>
  </w:abstractNum>
  <w:abstractNum w:abstractNumId="10">
    <w:nsid w:val="257130A3"/>
    <w:multiLevelType w:val="hybridMultilevel"/>
    <w:lvl w:ilvl="0">
      <w:lvlJc w:val="left"/>
      <w:lvlText w:val="•"/>
      <w:numFmt w:val="bullet"/>
      <w:start w:val="1"/>
    </w:lvl>
  </w:abstractNum>
  <w:abstractNum w:abstractNumId="11">
    <w:nsid w:val="62BBD95A"/>
    <w:multiLevelType w:val="hybridMultilevel"/>
    <w:lvl w:ilvl="0">
      <w:lvlJc w:val="left"/>
      <w:lvlText w:val="•"/>
      <w:numFmt w:val="bullet"/>
      <w:start w:val="1"/>
    </w:lvl>
  </w:abstractNum>
  <w:abstractNum w:abstractNumId="12">
    <w:nsid w:val="436C6125"/>
    <w:multiLevelType w:val="hybridMultilevel"/>
    <w:lvl w:ilvl="0">
      <w:lvlJc w:val="left"/>
      <w:lvlText w:val="(%1)"/>
      <w:numFmt w:val="decimal"/>
      <w:start w:val="1"/>
    </w:lvl>
  </w:abstractNum>
  <w:abstractNum w:abstractNumId="13">
    <w:nsid w:val="628C895D"/>
    <w:multiLevelType w:val="hybridMultilevel"/>
    <w:lvl w:ilvl="0">
      <w:lvlJc w:val="left"/>
      <w:lvlText w:val="•"/>
      <w:numFmt w:val="bullet"/>
      <w:start w:val="1"/>
    </w:lvl>
  </w:abstractNum>
  <w:abstractNum w:abstractNumId="14">
    <w:nsid w:val="333AB105"/>
    <w:multiLevelType w:val="hybridMultilevel"/>
    <w:lvl w:ilvl="0">
      <w:lvlJc w:val="left"/>
      <w:lvlText w:val="(%1)"/>
      <w:numFmt w:val="decimal"/>
      <w:start w:val="1"/>
    </w:lvl>
  </w:abstractNum>
  <w:abstractNum w:abstractNumId="15">
    <w:nsid w:val="721DA317"/>
    <w:multiLevelType w:val="hybridMultilevel"/>
    <w:lvl w:ilvl="0">
      <w:lvlJc w:val="left"/>
      <w:lvlText w:val="(%1)"/>
      <w:numFmt w:val="decimal"/>
      <w:start w:val="5"/>
    </w:lvl>
  </w:abstractNum>
  <w:abstractNum w:abstractNumId="16">
    <w:nsid w:val="2443A858"/>
    <w:multiLevelType w:val="hybridMultilevel"/>
    <w:lvl w:ilvl="0">
      <w:lvlJc w:val="left"/>
      <w:lvlText w:val="•"/>
      <w:numFmt w:val="bullet"/>
      <w:start w:val="1"/>
    </w:lvl>
  </w:abstractNum>
  <w:abstractNum w:abstractNumId="17">
    <w:nsid w:val="2D1D5AE9"/>
    <w:multiLevelType w:val="hybridMultilevel"/>
    <w:lvl w:ilvl="0">
      <w:lvlJc w:val="left"/>
      <w:lvlText w:val="(%1)"/>
      <w:numFmt w:val="decimal"/>
      <w:start w:val="1"/>
    </w:lvl>
  </w:abstractNum>
  <w:abstractNum w:abstractNumId="18">
    <w:nsid w:val="6763845E"/>
    <w:multiLevelType w:val="hybridMultilevel"/>
    <w:lvl w:ilvl="0">
      <w:lvlJc w:val="left"/>
      <w:lvlText w:val="(%1)"/>
      <w:numFmt w:val="decimal"/>
      <w:start w:val="1"/>
    </w:lvl>
  </w:abstractNum>
  <w:abstractNum w:abstractNumId="19">
    <w:nsid w:val="75A2A8D4"/>
    <w:multiLevelType w:val="hybridMultilevel"/>
    <w:lvl w:ilvl="0">
      <w:lvlJc w:val="left"/>
      <w:lvlText w:val="•"/>
      <w:numFmt w:val="bullet"/>
      <w:start w:val="1"/>
    </w:lvl>
  </w:abstractNum>
  <w:abstractNum w:abstractNumId="20">
    <w:nsid w:val="8EDBDAB"/>
    <w:multiLevelType w:val="hybridMultilevel"/>
    <w:lvl w:ilvl="0">
      <w:lvlJc w:val="left"/>
      <w:lvlText w:val="*"/>
      <w:numFmt w:val="bullet"/>
      <w:start w:val="1"/>
    </w:lvl>
  </w:abstractNum>
  <w:abstractNum w:abstractNumId="21">
    <w:nsid w:val="79838CB2"/>
    <w:multiLevelType w:val="hybridMultilevel"/>
    <w:lvl w:ilvl="0">
      <w:lvlJc w:val="left"/>
      <w:lvlText w:val="(%1)"/>
      <w:numFmt w:val="decimal"/>
      <w:start w:val="1"/>
    </w:lvl>
  </w:abstractNum>
  <w:abstractNum w:abstractNumId="22">
    <w:nsid w:val="4353D0CD"/>
    <w:multiLevelType w:val="hybridMultilevel"/>
    <w:lvl w:ilvl="0">
      <w:lvlJc w:val="left"/>
      <w:lvlText w:val="(%1)"/>
      <w:numFmt w:val="decimal"/>
      <w:start w:val="3"/>
    </w:lvl>
  </w:abstractNum>
  <w:abstractNum w:abstractNumId="23">
    <w:nsid w:val="B03E0C6"/>
    <w:multiLevelType w:val="hybridMultilevel"/>
    <w:lvl w:ilvl="0">
      <w:lvlJc w:val="left"/>
      <w:lvlText w:val="(%1)"/>
      <w:numFmt w:val="decimal"/>
      <w:start w:val="13"/>
    </w:lvl>
  </w:abstractNum>
  <w:abstractNum w:abstractNumId="24">
    <w:nsid w:val="189A769B"/>
    <w:multiLevelType w:val="hybridMultilevel"/>
    <w:lvl w:ilvl="0">
      <w:lvlJc w:val="left"/>
      <w:lvlText w:val="(%1)"/>
      <w:numFmt w:val="decimal"/>
      <w:start w:val="18"/>
    </w:lvl>
  </w:abstractNum>
  <w:abstractNum w:abstractNumId="25">
    <w:nsid w:val="54E49EB4"/>
    <w:multiLevelType w:val="hybridMultilevel"/>
    <w:lvl w:ilvl="0">
      <w:lvlJc w:val="left"/>
      <w:lvlText w:val="•"/>
      <w:numFmt w:val="bullet"/>
      <w:start w:val="1"/>
    </w:lvl>
  </w:abstractNum>
  <w:abstractNum w:abstractNumId="26">
    <w:nsid w:val="71F32454"/>
    <w:multiLevelType w:val="hybridMultilevel"/>
    <w:lvl w:ilvl="0">
      <w:lvlJc w:val="left"/>
      <w:lvlText w:val="(%1)"/>
      <w:numFmt w:val="decimal"/>
      <w:start w:val="1"/>
    </w:lvl>
  </w:abstractNum>
  <w:abstractNum w:abstractNumId="27">
    <w:nsid w:val="2CA8861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2022-04-13T08:36:38Z</dcterms:created>
  <dcterms:modified xsi:type="dcterms:W3CDTF">2022-04-13T08:36:38Z</dcterms:modified>
</cp:coreProperties>
</file>