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DANIEL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225"/>
          </w:cols>
          <w:pgMar w:left="460" w:top="225" w:right="479" w:bottom="9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040"/>
          </w:cols>
          <w:pgMar w:left="460" w:top="225" w:right="479" w:bottom="9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7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jc w:val="center"/>
              <w:ind w:left="5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5"/>
              <w:spacing w:after="0"/>
              <w:rPr>
                <w:sz w:val="20"/>
                <w:szCs w:val="20"/>
                <w:color w:val="auto"/>
              </w:rPr>
            </w:pPr>
            <w:r>
              <w:rPr>
                <w:rFonts w:ascii="Arial" w:cs="Arial" w:eastAsia="Arial" w:hAnsi="Arial"/>
                <w:sz w:val="17"/>
                <w:szCs w:val="17"/>
                <w:color w:val="0000FF"/>
                <w:w w:val="93"/>
              </w:rPr>
              <w:t>08/24/2022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Pr>
          <w:p>
            <w:pPr>
              <w:jc w:val="right"/>
              <w:ind w:right="67"/>
              <w:spacing w:after="0"/>
              <w:rPr>
                <w:sz w:val="20"/>
                <w:szCs w:val="20"/>
                <w:color w:val="auto"/>
              </w:rPr>
            </w:pPr>
            <w:r>
              <w:rPr>
                <w:rFonts w:ascii="Arial" w:cs="Arial" w:eastAsia="Arial" w:hAnsi="Arial"/>
                <w:sz w:val="17"/>
                <w:szCs w:val="17"/>
                <w:color w:val="0000FF"/>
              </w:rPr>
              <w:t>3,952</w:t>
            </w:r>
          </w:p>
        </w:tc>
        <w:tc>
          <w:tcPr>
            <w:tcW w:w="540" w:type="dxa"/>
            <w:vAlign w:val="bottom"/>
          </w:tcPr>
          <w:p>
            <w:pPr>
              <w:jc w:val="center"/>
              <w:ind w:left="2"/>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7.75</w:t>
            </w:r>
            <w:r>
              <w:rPr>
                <w:rFonts w:ascii="Arial" w:cs="Arial" w:eastAsia="Arial" w:hAnsi="Arial"/>
                <w:sz w:val="22"/>
                <w:szCs w:val="22"/>
                <w:color w:val="008000"/>
                <w:w w:val="95"/>
                <w:vertAlign w:val="superscript"/>
              </w:rPr>
              <w:t>(1)</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777,181</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5"/>
              <w:spacing w:after="0"/>
              <w:rPr>
                <w:sz w:val="20"/>
                <w:szCs w:val="20"/>
                <w:color w:val="auto"/>
              </w:rPr>
            </w:pPr>
            <w:r>
              <w:rPr>
                <w:rFonts w:ascii="Arial" w:cs="Arial" w:eastAsia="Arial" w:hAnsi="Arial"/>
                <w:sz w:val="17"/>
                <w:szCs w:val="17"/>
                <w:color w:val="0000FF"/>
                <w:w w:val="93"/>
              </w:rPr>
              <w:t>08/24/2022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Pr>
          <w:p>
            <w:pPr>
              <w:jc w:val="right"/>
              <w:ind w:right="67"/>
              <w:spacing w:after="0"/>
              <w:rPr>
                <w:sz w:val="20"/>
                <w:szCs w:val="20"/>
                <w:color w:val="auto"/>
              </w:rPr>
            </w:pPr>
            <w:r>
              <w:rPr>
                <w:rFonts w:ascii="Arial" w:cs="Arial" w:eastAsia="Arial" w:hAnsi="Arial"/>
                <w:sz w:val="17"/>
                <w:szCs w:val="17"/>
                <w:color w:val="0000FF"/>
              </w:rPr>
              <w:t>3,951</w:t>
            </w:r>
          </w:p>
        </w:tc>
        <w:tc>
          <w:tcPr>
            <w:tcW w:w="540" w:type="dxa"/>
            <w:vAlign w:val="bottom"/>
          </w:tcPr>
          <w:p>
            <w:pPr>
              <w:jc w:val="center"/>
              <w:ind w:left="2"/>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7.75</w:t>
            </w:r>
            <w:r>
              <w:rPr>
                <w:rFonts w:ascii="Arial" w:cs="Arial" w:eastAsia="Arial" w:hAnsi="Arial"/>
                <w:sz w:val="22"/>
                <w:szCs w:val="22"/>
                <w:color w:val="008000"/>
                <w:w w:val="95"/>
                <w:vertAlign w:val="superscript"/>
              </w:rPr>
              <w:t>(1)</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777,181</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5"/>
              <w:spacing w:after="0"/>
              <w:rPr>
                <w:sz w:val="20"/>
                <w:szCs w:val="20"/>
                <w:color w:val="auto"/>
              </w:rPr>
            </w:pPr>
            <w:r>
              <w:rPr>
                <w:rFonts w:ascii="Arial" w:cs="Arial" w:eastAsia="Arial" w:hAnsi="Arial"/>
                <w:sz w:val="17"/>
                <w:szCs w:val="17"/>
                <w:color w:val="0000FF"/>
                <w:w w:val="93"/>
              </w:rPr>
              <w:t>08/25/2022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Pr>
          <w:p>
            <w:pPr>
              <w:jc w:val="right"/>
              <w:ind w:right="67"/>
              <w:spacing w:after="0"/>
              <w:rPr>
                <w:sz w:val="20"/>
                <w:szCs w:val="20"/>
                <w:color w:val="auto"/>
              </w:rPr>
            </w:pPr>
            <w:r>
              <w:rPr>
                <w:rFonts w:ascii="Arial" w:cs="Arial" w:eastAsia="Arial" w:hAnsi="Arial"/>
                <w:sz w:val="17"/>
                <w:szCs w:val="17"/>
                <w:color w:val="0000FF"/>
              </w:rPr>
              <w:t>4,814</w:t>
            </w:r>
          </w:p>
        </w:tc>
        <w:tc>
          <w:tcPr>
            <w:tcW w:w="540" w:type="dxa"/>
            <w:vAlign w:val="bottom"/>
          </w:tcPr>
          <w:p>
            <w:pPr>
              <w:jc w:val="center"/>
              <w:ind w:left="2"/>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7.78</w:t>
            </w:r>
            <w:r>
              <w:rPr>
                <w:rFonts w:ascii="Arial" w:cs="Arial" w:eastAsia="Arial" w:hAnsi="Arial"/>
                <w:sz w:val="22"/>
                <w:szCs w:val="22"/>
                <w:color w:val="008000"/>
                <w:w w:val="95"/>
                <w:vertAlign w:val="superscript"/>
              </w:rPr>
              <w:t>(4)</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772,367</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center"/>
              <w:ind w:left="545"/>
              <w:spacing w:after="0"/>
              <w:rPr>
                <w:sz w:val="20"/>
                <w:szCs w:val="20"/>
                <w:color w:val="auto"/>
              </w:rPr>
            </w:pPr>
            <w:r>
              <w:rPr>
                <w:rFonts w:ascii="Arial" w:cs="Arial" w:eastAsia="Arial" w:hAnsi="Arial"/>
                <w:sz w:val="17"/>
                <w:szCs w:val="17"/>
                <w:color w:val="0000FF"/>
                <w:w w:val="93"/>
              </w:rPr>
              <w:t>08/25/2022</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Pr>
          <w:p>
            <w:pPr>
              <w:jc w:val="right"/>
              <w:ind w:right="67"/>
              <w:spacing w:after="0"/>
              <w:rPr>
                <w:sz w:val="20"/>
                <w:szCs w:val="20"/>
                <w:color w:val="auto"/>
              </w:rPr>
            </w:pPr>
            <w:r>
              <w:rPr>
                <w:rFonts w:ascii="Arial" w:cs="Arial" w:eastAsia="Arial" w:hAnsi="Arial"/>
                <w:sz w:val="17"/>
                <w:szCs w:val="17"/>
                <w:color w:val="0000FF"/>
              </w:rPr>
              <w:t>4,814</w:t>
            </w:r>
          </w:p>
        </w:tc>
        <w:tc>
          <w:tcPr>
            <w:tcW w:w="540" w:type="dxa"/>
            <w:vAlign w:val="bottom"/>
          </w:tcPr>
          <w:p>
            <w:pPr>
              <w:jc w:val="center"/>
              <w:ind w:left="2"/>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7.78</w:t>
            </w:r>
            <w:r>
              <w:rPr>
                <w:rFonts w:ascii="Arial" w:cs="Arial" w:eastAsia="Arial" w:hAnsi="Arial"/>
                <w:sz w:val="22"/>
                <w:szCs w:val="22"/>
                <w:color w:val="008000"/>
                <w:w w:val="95"/>
                <w:vertAlign w:val="superscript"/>
              </w:rPr>
              <w:t>(4)</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772,367</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65"/>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80,852</w:t>
            </w:r>
          </w:p>
        </w:tc>
        <w:tc>
          <w:tcPr>
            <w:tcW w:w="92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57,923</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133,603</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75"/>
        </w:trPr>
        <w:tc>
          <w:tcPr>
            <w:tcW w:w="2440" w:type="dxa"/>
            <w:vAlign w:val="bottom"/>
            <w:tcBorders>
              <w:bottom w:val="single" w:sz="8" w:color="808080"/>
            </w:tcBorders>
          </w:tcPr>
          <w:p>
            <w:pPr>
              <w:spacing w:after="0"/>
              <w:rPr>
                <w:sz w:val="23"/>
                <w:szCs w:val="23"/>
                <w:color w:val="auto"/>
              </w:rPr>
            </w:pPr>
          </w:p>
        </w:tc>
        <w:tc>
          <w:tcPr>
            <w:tcW w:w="174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54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92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9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329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3329940"/>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133,602</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ranging from $7.75 to $7.77, inclusive. The reporting person undertakes to provide to the</w:t>
      </w:r>
    </w:p>
    <w:p>
      <w:pPr>
        <w:spacing w:after="0" w:line="18" w:lineRule="exact"/>
        <w:rPr>
          <w:rFonts w:ascii="Arial" w:cs="Arial" w:eastAsia="Arial" w:hAnsi="Arial"/>
          <w:sz w:val="12"/>
          <w:szCs w:val="12"/>
          <w:color w:val="008000"/>
        </w:rPr>
      </w:pPr>
    </w:p>
    <w:p>
      <w:pPr>
        <w:ind w:left="40" w:right="220"/>
        <w:spacing w:after="0" w:line="250" w:lineRule="auto"/>
        <w:rPr>
          <w:rFonts w:ascii="Arial" w:cs="Arial" w:eastAsia="Arial" w:hAnsi="Arial"/>
          <w:sz w:val="12"/>
          <w:szCs w:val="12"/>
          <w:color w:val="008000"/>
        </w:rPr>
      </w:pPr>
      <w:r>
        <w:rPr>
          <w:rFonts w:ascii="Arial" w:cs="Arial" w:eastAsia="Arial" w:hAnsi="Arial"/>
          <w:sz w:val="13"/>
          <w:szCs w:val="13"/>
          <w:color w:val="008000"/>
        </w:rPr>
        <w:t>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2"/>
          <w:szCs w:val="12"/>
          <w:color w:val="008000"/>
        </w:rPr>
      </w:pPr>
    </w:p>
    <w:p>
      <w:pPr>
        <w:ind w:left="40" w:right="1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9" w:lineRule="exact"/>
        <w:rPr>
          <w:rFonts w:ascii="Arial" w:cs="Arial" w:eastAsia="Arial" w:hAnsi="Arial"/>
          <w:sz w:val="13"/>
          <w:szCs w:val="13"/>
          <w:color w:val="008000"/>
        </w:rPr>
      </w:pPr>
    </w:p>
    <w:p>
      <w:pPr>
        <w:jc w:val="both"/>
        <w:ind w:left="40" w:right="30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14"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ranging from $7.75 to $7.82, inclusive. The reporting person undertakes to provide to the</w:t>
      </w:r>
    </w:p>
    <w:p>
      <w:pPr>
        <w:spacing w:after="0" w:line="18" w:lineRule="exact"/>
        <w:rPr>
          <w:rFonts w:ascii="Arial" w:cs="Arial" w:eastAsia="Arial" w:hAnsi="Arial"/>
          <w:sz w:val="12"/>
          <w:szCs w:val="12"/>
          <w:color w:val="008000"/>
        </w:rPr>
      </w:pPr>
    </w:p>
    <w:p>
      <w:pPr>
        <w:ind w:left="40" w:right="220"/>
        <w:spacing w:after="0" w:line="250" w:lineRule="auto"/>
        <w:rPr>
          <w:rFonts w:ascii="Arial" w:cs="Arial" w:eastAsia="Arial" w:hAnsi="Arial"/>
          <w:sz w:val="12"/>
          <w:szCs w:val="12"/>
          <w:color w:val="008000"/>
        </w:rPr>
      </w:pPr>
      <w:r>
        <w:rPr>
          <w:rFonts w:ascii="Arial" w:cs="Arial" w:eastAsia="Arial" w:hAnsi="Arial"/>
          <w:sz w:val="13"/>
          <w:szCs w:val="13"/>
          <w:color w:val="008000"/>
        </w:rPr>
        <w:t>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2"/>
          <w:szCs w:val="12"/>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5" w:lineRule="exact"/>
        <w:rPr>
          <w:rFonts w:ascii="Arial" w:cs="Arial" w:eastAsia="Arial" w:hAnsi="Arial"/>
          <w:sz w:val="13"/>
          <w:szCs w:val="13"/>
          <w:color w:val="008000"/>
        </w:rPr>
      </w:pPr>
    </w:p>
    <w:p>
      <w:pPr>
        <w:ind w:left="40" w:right="3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the Trust. The children of the reporting person are beneficiaries of the Trust.</w:t>
      </w:r>
    </w:p>
    <w:p>
      <w:pPr>
        <w:spacing w:after="0" w:line="50"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8" w:lineRule="exact"/>
        <w:rPr>
          <w:rFonts w:ascii="Arial" w:cs="Arial" w:eastAsia="Arial" w:hAnsi="Arial"/>
          <w:sz w:val="12"/>
          <w:szCs w:val="12"/>
          <w:color w:val="008000"/>
        </w:rPr>
      </w:pPr>
    </w:p>
    <w:p>
      <w:pPr>
        <w:ind w:left="40" w:right="20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08/26/2022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187"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1"/>
          <w:szCs w:val="21"/>
          <w:b w:val="1"/>
          <w:bCs w:val="1"/>
          <w:u w:val="single" w:color="auto"/>
          <w:color w:val="auto"/>
        </w:rPr>
        <w:t>POWER OF ATTORNEY</w:t>
      </w:r>
    </w:p>
    <w:p>
      <w:pPr>
        <w:spacing w:after="0" w:line="212" w:lineRule="exact"/>
        <w:rPr>
          <w:sz w:val="20"/>
          <w:szCs w:val="20"/>
          <w:color w:val="auto"/>
        </w:rPr>
      </w:pPr>
    </w:p>
    <w:p>
      <w:pPr>
        <w:ind w:right="80" w:firstLine="640"/>
        <w:spacing w:after="0" w:line="233" w:lineRule="auto"/>
        <w:rPr>
          <w:sz w:val="20"/>
          <w:szCs w:val="20"/>
          <w:color w:val="auto"/>
        </w:rPr>
      </w:pPr>
      <w:r>
        <w:rPr>
          <w:rFonts w:ascii="Arial" w:cs="Arial" w:eastAsia="Arial" w:hAnsi="Arial"/>
          <w:sz w:val="21"/>
          <w:szCs w:val="21"/>
          <w:b w:val="1"/>
          <w:bCs w:val="1"/>
          <w:color w:val="auto"/>
        </w:rPr>
        <w:t>KNOW ALL BY THESE PRESENT</w:t>
      </w:r>
      <w:r>
        <w:rPr>
          <w:rFonts w:ascii="Arial" w:cs="Arial" w:eastAsia="Arial" w:hAnsi="Arial"/>
          <w:sz w:val="21"/>
          <w:szCs w:val="21"/>
          <w:color w:val="auto"/>
        </w:rPr>
        <w:t>, that the undersigned hereby constitutes and appoints Peter Weinberg, Gary</w:t>
      </w:r>
      <w:r>
        <w:rPr>
          <w:rFonts w:ascii="Arial" w:cs="Arial" w:eastAsia="Arial" w:hAnsi="Arial"/>
          <w:sz w:val="21"/>
          <w:szCs w:val="21"/>
          <w:b w:val="1"/>
          <w:bCs w:val="1"/>
          <w:color w:val="auto"/>
        </w:rPr>
        <w:t xml:space="preserve"> </w:t>
      </w:r>
      <w:r>
        <w:rPr>
          <w:rFonts w:ascii="Arial" w:cs="Arial" w:eastAsia="Arial" w:hAnsi="Arial"/>
          <w:sz w:val="21"/>
          <w:szCs w:val="21"/>
          <w:color w:val="auto"/>
        </w:rPr>
        <w:t>Barancik, Vladimir Shendelman, Mark Polemeni, Justin Kamen and Roseanne Ramanand or any of them, each acting alone, as the undersigned’s true and lawful attorney-in-fact to:</w:t>
      </w:r>
    </w:p>
    <w:p>
      <w:pPr>
        <w:spacing w:after="0" w:line="182" w:lineRule="exact"/>
        <w:rPr>
          <w:sz w:val="20"/>
          <w:szCs w:val="20"/>
          <w:color w:val="auto"/>
        </w:rPr>
      </w:pPr>
    </w:p>
    <w:p>
      <w:pPr>
        <w:jc w:val="both"/>
        <w:ind w:right="40" w:firstLine="646"/>
        <w:spacing w:after="0" w:line="226" w:lineRule="auto"/>
        <w:tabs>
          <w:tab w:leader="none" w:pos="1101" w:val="left"/>
        </w:tabs>
        <w:numPr>
          <w:ilvl w:val="0"/>
          <w:numId w:val="4"/>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an officer and/or director of Perella Weinberg Partners (f/k/a FinTech Acquisition Corp. IV) (the “</w:t>
      </w:r>
      <w:r>
        <w:rPr>
          <w:rFonts w:ascii="Arial" w:cs="Arial" w:eastAsia="Arial" w:hAnsi="Arial"/>
          <w:sz w:val="21"/>
          <w:szCs w:val="21"/>
          <w:u w:val="single" w:color="auto"/>
          <w:color w:val="auto"/>
        </w:rPr>
        <w:t>Company</w:t>
      </w:r>
      <w:r>
        <w:rPr>
          <w:rFonts w:ascii="Arial" w:cs="Arial" w:eastAsia="Arial" w:hAnsi="Arial"/>
          <w:sz w:val="21"/>
          <w:szCs w:val="21"/>
          <w:color w:val="auto"/>
        </w:rPr>
        <w:t>”), any and all Forms 3, 4 and 5 required to be filed by the undersigned in accordance with Section 16(a) of the Securities Exchange Act of 1934, as amended (the “</w:t>
      </w:r>
      <w:r>
        <w:rPr>
          <w:rFonts w:ascii="Arial" w:cs="Arial" w:eastAsia="Arial" w:hAnsi="Arial"/>
          <w:sz w:val="21"/>
          <w:szCs w:val="21"/>
          <w:u w:val="single" w:color="auto"/>
          <w:color w:val="auto"/>
        </w:rPr>
        <w:t>Act</w:t>
      </w:r>
      <w:r>
        <w:rPr>
          <w:rFonts w:ascii="Arial" w:cs="Arial" w:eastAsia="Arial" w:hAnsi="Arial"/>
          <w:sz w:val="21"/>
          <w:szCs w:val="21"/>
          <w:color w:val="auto"/>
        </w:rPr>
        <w:t>”) and the rules thereunder;</w:t>
      </w:r>
    </w:p>
    <w:p>
      <w:pPr>
        <w:spacing w:after="0" w:line="183" w:lineRule="exact"/>
        <w:rPr>
          <w:rFonts w:ascii="Arial" w:cs="Arial" w:eastAsia="Arial" w:hAnsi="Arial"/>
          <w:sz w:val="21"/>
          <w:szCs w:val="21"/>
          <w:color w:val="auto"/>
        </w:rPr>
      </w:pPr>
    </w:p>
    <w:p>
      <w:pPr>
        <w:ind w:right="260" w:firstLine="646"/>
        <w:spacing w:after="0" w:line="263" w:lineRule="auto"/>
        <w:tabs>
          <w:tab w:leader="none" w:pos="1101"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and any stock exchange or similar authority; and</w:t>
      </w:r>
    </w:p>
    <w:p>
      <w:pPr>
        <w:spacing w:after="0" w:line="161" w:lineRule="exact"/>
        <w:rPr>
          <w:rFonts w:ascii="Arial" w:cs="Arial" w:eastAsia="Arial" w:hAnsi="Arial"/>
          <w:sz w:val="19"/>
          <w:szCs w:val="19"/>
          <w:color w:val="auto"/>
        </w:rPr>
      </w:pPr>
    </w:p>
    <w:p>
      <w:pPr>
        <w:ind w:right="40" w:firstLine="646"/>
        <w:spacing w:after="0" w:line="253" w:lineRule="auto"/>
        <w:tabs>
          <w:tab w:leader="none" w:pos="1101"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right="80" w:firstLine="640"/>
        <w:spacing w:after="0" w:line="21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183"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6" w:lineRule="exact"/>
        <w:rPr>
          <w:sz w:val="20"/>
          <w:szCs w:val="20"/>
          <w:color w:val="auto"/>
        </w:rPr>
      </w:pPr>
    </w:p>
    <w:p>
      <w:pPr>
        <w:ind w:right="280" w:firstLine="640"/>
        <w:spacing w:after="0" w:line="248"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undersigned has caused this Power of Attorney to be executed as of this 26th day of</w:t>
      </w:r>
      <w:r>
        <w:rPr>
          <w:rFonts w:ascii="Arial" w:cs="Arial" w:eastAsia="Arial" w:hAnsi="Arial"/>
          <w:sz w:val="21"/>
          <w:szCs w:val="21"/>
          <w:b w:val="1"/>
          <w:bCs w:val="1"/>
          <w:color w:val="auto"/>
        </w:rPr>
        <w:t xml:space="preserve"> </w:t>
      </w:r>
      <w:r>
        <w:rPr>
          <w:rFonts w:ascii="Arial" w:cs="Arial" w:eastAsia="Arial" w:hAnsi="Arial"/>
          <w:sz w:val="21"/>
          <w:szCs w:val="21"/>
          <w:color w:val="auto"/>
        </w:rPr>
        <w:t>August,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40"/>
        <w:spacing w:after="0"/>
        <w:tabs>
          <w:tab w:leader="none" w:pos="56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_/s/ Daniel Cohen___________________</w:t>
      </w:r>
    </w:p>
    <w:p>
      <w:pPr>
        <w:spacing w:after="0" w:line="38"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21"/>
          <w:szCs w:val="21"/>
          <w:color w:val="auto"/>
        </w:rPr>
        <w:t>Print:</w:t>
        <w:tab/>
        <w:t>Daniel Cohen</w:t>
      </w:r>
    </w:p>
    <w:sectPr>
      <w:pgSz w:w="11900" w:h="16838" w:orient="portrait"/>
      <w:cols w:equalWidth="0" w:num="1">
        <w:col w:w="10920"/>
      </w:cols>
      <w:pgMar w:left="460" w:top="99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2022-08-26T19:14:08Z</dcterms:created>
  <dcterms:modified xsi:type="dcterms:W3CDTF">2022-08-26T19:14:08Z</dcterms:modified>
</cp:coreProperties>
</file>