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855345</wp:posOffset>
            </wp:positionH>
            <wp:positionV relativeFrom="page">
              <wp:posOffset>153035</wp:posOffset>
            </wp:positionV>
            <wp:extent cx="583819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page">
              <wp:posOffset>855345</wp:posOffset>
            </wp:positionH>
            <wp:positionV relativeFrom="page">
              <wp:posOffset>189230</wp:posOffset>
            </wp:positionV>
            <wp:extent cx="58381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38190" cy="6985"/>
                    </a:xfrm>
                    <a:prstGeom prst="rect">
                      <a:avLst/>
                    </a:prstGeom>
                    <a:noFill/>
                  </pic:spPr>
                </pic:pic>
              </a:graphicData>
            </a:graphic>
          </wp:anchor>
        </w:drawing>
        <w:t>UNITED STATES</w:t>
      </w:r>
    </w:p>
    <w:p>
      <w:pPr>
        <w:spacing w:after="0" w:line="18" w:lineRule="exact"/>
        <w:rPr>
          <w:sz w:val="24"/>
          <w:szCs w:val="24"/>
          <w:color w:val="auto"/>
        </w:rPr>
      </w:pPr>
    </w:p>
    <w:p>
      <w:pPr>
        <w:jc w:val="center"/>
        <w:ind w:right="-80"/>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80"/>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2308225</wp:posOffset>
            </wp:positionH>
            <wp:positionV relativeFrom="paragraph">
              <wp:posOffset>120015</wp:posOffset>
            </wp:positionV>
            <wp:extent cx="12306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41" w:lineRule="exact"/>
        <w:rPr>
          <w:sz w:val="24"/>
          <w:szCs w:val="24"/>
          <w:color w:val="auto"/>
        </w:rPr>
      </w:pPr>
    </w:p>
    <w:p>
      <w:pPr>
        <w:jc w:val="center"/>
        <w:ind w:right="-80"/>
        <w:spacing w:after="0"/>
        <w:rPr>
          <w:sz w:val="20"/>
          <w:szCs w:val="20"/>
          <w:color w:val="auto"/>
        </w:rPr>
      </w:pPr>
      <w:r>
        <w:rPr>
          <w:rFonts w:ascii="Arial" w:cs="Arial" w:eastAsia="Arial" w:hAnsi="Arial"/>
          <w:sz w:val="23"/>
          <w:szCs w:val="23"/>
          <w:b w:val="1"/>
          <w:bCs w:val="1"/>
          <w:color w:val="auto"/>
        </w:rPr>
        <w:t>SCHEDULE 14A</w:t>
      </w:r>
    </w:p>
    <w:p>
      <w:pPr>
        <w:spacing w:after="0" w:line="23" w:lineRule="exact"/>
        <w:rPr>
          <w:sz w:val="24"/>
          <w:szCs w:val="24"/>
          <w:color w:val="auto"/>
        </w:rPr>
      </w:pPr>
    </w:p>
    <w:p>
      <w:pPr>
        <w:ind w:left="4080"/>
        <w:spacing w:after="0"/>
        <w:rPr>
          <w:sz w:val="20"/>
          <w:szCs w:val="20"/>
          <w:color w:val="auto"/>
        </w:rPr>
      </w:pPr>
      <w:r>
        <w:rPr>
          <w:rFonts w:ascii="Arial" w:cs="Arial" w:eastAsia="Arial" w:hAnsi="Arial"/>
          <w:sz w:val="15"/>
          <w:szCs w:val="15"/>
          <w:b w:val="1"/>
          <w:bCs w:val="1"/>
          <w:color w:val="auto"/>
        </w:rPr>
        <w:t>(Rule 14A-101)</w:t>
      </w:r>
    </w:p>
    <w:p>
      <w:pPr>
        <w:spacing w:after="0" w:line="69" w:lineRule="exact"/>
        <w:rPr>
          <w:sz w:val="24"/>
          <w:szCs w:val="24"/>
          <w:color w:val="auto"/>
        </w:rPr>
      </w:pPr>
    </w:p>
    <w:p>
      <w:pPr>
        <w:ind w:left="2860"/>
        <w:spacing w:after="0"/>
        <w:rPr>
          <w:sz w:val="20"/>
          <w:szCs w:val="20"/>
          <w:color w:val="auto"/>
        </w:rPr>
      </w:pPr>
      <w:r>
        <w:rPr>
          <w:rFonts w:ascii="Arial" w:cs="Arial" w:eastAsia="Arial" w:hAnsi="Arial"/>
          <w:sz w:val="15"/>
          <w:szCs w:val="15"/>
          <w:b w:val="1"/>
          <w:bCs w:val="1"/>
          <w:color w:val="auto"/>
        </w:rPr>
        <w:t>Proxy Statement Pursuant to Section 14(a) of the</w:t>
      </w:r>
    </w:p>
    <w:p>
      <w:pPr>
        <w:spacing w:after="0" w:line="11" w:lineRule="exact"/>
        <w:rPr>
          <w:sz w:val="24"/>
          <w:szCs w:val="24"/>
          <w:color w:val="auto"/>
        </w:rPr>
      </w:pPr>
    </w:p>
    <w:p>
      <w:pPr>
        <w:jc w:val="center"/>
        <w:ind w:right="-80"/>
        <w:spacing w:after="0"/>
        <w:rPr>
          <w:sz w:val="20"/>
          <w:szCs w:val="20"/>
          <w:color w:val="auto"/>
        </w:rPr>
      </w:pPr>
      <w:r>
        <w:rPr>
          <w:rFonts w:ascii="Arial" w:cs="Arial" w:eastAsia="Arial" w:hAnsi="Arial"/>
          <w:sz w:val="15"/>
          <w:szCs w:val="15"/>
          <w:b w:val="1"/>
          <w:bCs w:val="1"/>
          <w:color w:val="auto"/>
        </w:rPr>
        <w:t>Securities Exchange Act of 1934</w:t>
      </w:r>
    </w:p>
    <w:p>
      <w:pPr>
        <w:jc w:val="center"/>
        <w:ind w:right="-80"/>
        <w:spacing w:after="0"/>
        <w:rPr>
          <w:sz w:val="20"/>
          <w:szCs w:val="20"/>
          <w:color w:val="auto"/>
        </w:rPr>
      </w:pPr>
      <w:r>
        <w:rPr>
          <w:rFonts w:ascii="Arial" w:cs="Arial" w:eastAsia="Arial" w:hAnsi="Arial"/>
          <w:sz w:val="15"/>
          <w:szCs w:val="15"/>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2308225</wp:posOffset>
            </wp:positionH>
            <wp:positionV relativeFrom="paragraph">
              <wp:posOffset>127000</wp:posOffset>
            </wp:positionV>
            <wp:extent cx="12306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57" w:lineRule="exact"/>
        <w:rPr>
          <w:sz w:val="24"/>
          <w:szCs w:val="24"/>
          <w:color w:val="auto"/>
        </w:rPr>
      </w:pPr>
    </w:p>
    <w:p>
      <w:pPr>
        <w:spacing w:after="0" w:line="150" w:lineRule="exact"/>
        <w:tabs>
          <w:tab w:leader="none" w:pos="2060" w:val="left"/>
        </w:tabs>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Filed by a Party other than the Registrant </w:t>
      </w:r>
      <w:r>
        <w:rPr>
          <w:rFonts w:ascii="MS PGothic" w:cs="MS PGothic" w:eastAsia="MS PGothic" w:hAnsi="MS PGothic"/>
          <w:sz w:val="12"/>
          <w:szCs w:val="12"/>
          <w:color w:val="auto"/>
        </w:rPr>
        <w:t>☐</w:t>
      </w:r>
    </w:p>
    <w:p>
      <w:pPr>
        <w:spacing w:after="0" w:line="120"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w:t>
      </w:r>
    </w:p>
    <w:p>
      <w:pPr>
        <w:spacing w:after="0" w:line="110" w:lineRule="exact"/>
        <w:rPr>
          <w:sz w:val="24"/>
          <w:szCs w:val="24"/>
          <w:color w:val="auto"/>
        </w:rPr>
      </w:pPr>
    </w:p>
    <w:p>
      <w:pPr>
        <w:ind w:left="460" w:hanging="453"/>
        <w:spacing w:after="0"/>
        <w:tabs>
          <w:tab w:leader="none" w:pos="46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Preliminary Proxy Statement</w:t>
      </w:r>
    </w:p>
    <w:p>
      <w:pPr>
        <w:spacing w:after="0" w:line="82" w:lineRule="exact"/>
        <w:rPr>
          <w:rFonts w:ascii="MS PGothic" w:cs="MS PGothic" w:eastAsia="MS PGothic" w:hAnsi="MS PGothic"/>
          <w:sz w:val="13"/>
          <w:szCs w:val="13"/>
          <w:color w:val="auto"/>
        </w:rPr>
      </w:pPr>
    </w:p>
    <w:p>
      <w:pPr>
        <w:ind w:left="460" w:hanging="453"/>
        <w:spacing w:after="0"/>
        <w:tabs>
          <w:tab w:leader="none" w:pos="46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Confidential, for Use of the Commission Only (as permitted by Rule 14a-6(e)(2))</w:t>
      </w:r>
    </w:p>
    <w:p>
      <w:pPr>
        <w:spacing w:after="0" w:line="114" w:lineRule="exact"/>
        <w:rPr>
          <w:rFonts w:ascii="MS PGothic" w:cs="MS PGothic" w:eastAsia="MS PGothic" w:hAnsi="MS PGothic"/>
          <w:sz w:val="13"/>
          <w:szCs w:val="13"/>
          <w:color w:val="auto"/>
        </w:rPr>
      </w:pPr>
    </w:p>
    <w:p>
      <w:pPr>
        <w:ind w:left="460" w:hanging="453"/>
        <w:spacing w:after="0"/>
        <w:tabs>
          <w:tab w:leader="none" w:pos="46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Definitive Proxy Statement</w:t>
      </w:r>
    </w:p>
    <w:p>
      <w:pPr>
        <w:spacing w:after="0" w:line="98" w:lineRule="exact"/>
        <w:rPr>
          <w:rFonts w:ascii="MS PGothic" w:cs="MS PGothic" w:eastAsia="MS PGothic" w:hAnsi="MS PGothic"/>
          <w:sz w:val="13"/>
          <w:szCs w:val="13"/>
          <w:color w:val="auto"/>
        </w:rPr>
      </w:pPr>
    </w:p>
    <w:p>
      <w:pPr>
        <w:ind w:left="460" w:hanging="453"/>
        <w:spacing w:after="0"/>
        <w:tabs>
          <w:tab w:leader="none" w:pos="46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Definitive Additional Materials</w:t>
      </w:r>
    </w:p>
    <w:p>
      <w:pPr>
        <w:spacing w:after="0" w:line="98" w:lineRule="exact"/>
        <w:rPr>
          <w:sz w:val="24"/>
          <w:szCs w:val="24"/>
          <w:color w:val="auto"/>
        </w:rPr>
      </w:pPr>
    </w:p>
    <w:p>
      <w:pPr>
        <w:ind w:left="460" w:hanging="453"/>
        <w:spacing w:after="0"/>
        <w:tabs>
          <w:tab w:leader="none" w:pos="46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§240.14a-12</w:t>
      </w:r>
    </w:p>
    <w:p>
      <w:pPr>
        <w:spacing w:after="0" w:line="129" w:lineRule="exact"/>
        <w:rPr>
          <w:sz w:val="24"/>
          <w:szCs w:val="24"/>
          <w:color w:val="auto"/>
        </w:rPr>
      </w:pPr>
    </w:p>
    <w:p>
      <w:pPr>
        <w:jc w:val="center"/>
        <w:ind w:right="-80"/>
        <w:spacing w:after="0"/>
        <w:rPr>
          <w:sz w:val="20"/>
          <w:szCs w:val="20"/>
          <w:color w:val="auto"/>
        </w:rPr>
      </w:pPr>
      <w:r>
        <w:rPr>
          <w:rFonts w:ascii="Arial" w:cs="Arial" w:eastAsia="Arial" w:hAnsi="Arial"/>
          <w:sz w:val="30"/>
          <w:szCs w:val="30"/>
          <w:b w:val="1"/>
          <w:bCs w:val="1"/>
          <w:color w:val="auto"/>
        </w:rPr>
        <w:t>FINTECH ACQUISITION CORP. IV</w:t>
      </w:r>
    </w:p>
    <w:p>
      <w:pPr>
        <w:spacing w:after="0" w:line="41" w:lineRule="exact"/>
        <w:rPr>
          <w:sz w:val="24"/>
          <w:szCs w:val="24"/>
          <w:color w:val="auto"/>
        </w:rPr>
      </w:pPr>
    </w:p>
    <w:p>
      <w:pPr>
        <w:jc w:val="center"/>
        <w:ind w:right="-80"/>
        <w:spacing w:after="0"/>
        <w:rPr>
          <w:sz w:val="20"/>
          <w:szCs w:val="20"/>
          <w:color w:val="auto"/>
        </w:rPr>
      </w:pPr>
      <w:r>
        <w:rPr>
          <w:rFonts w:ascii="Arial" w:cs="Arial" w:eastAsia="Arial" w:hAnsi="Arial"/>
          <w:sz w:val="13"/>
          <w:szCs w:val="13"/>
          <w:b w:val="1"/>
          <w:bCs w:val="1"/>
          <w:color w:val="auto"/>
        </w:rPr>
        <w:t>(Name of Registrant as Specified In Its Charter)</w:t>
      </w:r>
    </w:p>
    <w:p>
      <w:pPr>
        <w:spacing w:after="0" w:line="159" w:lineRule="exact"/>
        <w:rPr>
          <w:sz w:val="24"/>
          <w:szCs w:val="24"/>
          <w:color w:val="auto"/>
        </w:rPr>
      </w:pPr>
    </w:p>
    <w:p>
      <w:pPr>
        <w:ind w:left="2560"/>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185" w:lineRule="exact"/>
        <w:rPr>
          <w:sz w:val="24"/>
          <w:szCs w:val="24"/>
          <w:color w:val="auto"/>
        </w:rPr>
      </w:pPr>
    </w:p>
    <w:p>
      <w:pPr>
        <w:spacing w:after="0"/>
        <w:rPr>
          <w:sz w:val="20"/>
          <w:szCs w:val="20"/>
          <w:color w:val="auto"/>
        </w:rPr>
      </w:pPr>
      <w:r>
        <w:rPr>
          <w:rFonts w:ascii="Arial" w:cs="Arial" w:eastAsia="Arial" w:hAnsi="Arial"/>
          <w:sz w:val="13"/>
          <w:szCs w:val="13"/>
          <w:color w:val="auto"/>
        </w:rPr>
        <w:t>Payment of Filing Fee (Check the appropriate box):</w:t>
      </w:r>
    </w:p>
    <w:p>
      <w:pPr>
        <w:spacing w:after="0" w:line="76" w:lineRule="exact"/>
        <w:rPr>
          <w:sz w:val="24"/>
          <w:szCs w:val="24"/>
          <w:color w:val="auto"/>
        </w:rPr>
      </w:pPr>
    </w:p>
    <w:p>
      <w:pPr>
        <w:ind w:left="480" w:hanging="473"/>
        <w:spacing w:after="0"/>
        <w:tabs>
          <w:tab w:leader="none" w:pos="48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98" w:lineRule="exact"/>
        <w:rPr>
          <w:sz w:val="24"/>
          <w:szCs w:val="24"/>
          <w:color w:val="auto"/>
        </w:rPr>
      </w:pPr>
    </w:p>
    <w:p>
      <w:pPr>
        <w:ind w:left="480" w:hanging="473"/>
        <w:spacing w:after="0"/>
        <w:tabs>
          <w:tab w:leader="none" w:pos="480"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Fee computed on table below per Exchange Act Rules 14a-6(i)(1) and 0-11.</w:t>
      </w:r>
    </w:p>
    <w:p>
      <w:pPr>
        <w:spacing w:after="0" w:line="188" w:lineRule="exact"/>
        <w:rPr>
          <w:rFonts w:ascii="MS PGothic" w:cs="MS PGothic" w:eastAsia="MS PGothic" w:hAnsi="MS PGothic"/>
          <w:sz w:val="13"/>
          <w:szCs w:val="13"/>
          <w:color w:val="auto"/>
        </w:rPr>
      </w:pPr>
    </w:p>
    <w:p>
      <w:pPr>
        <w:ind w:left="940" w:hanging="460"/>
        <w:spacing w:after="0"/>
        <w:tabs>
          <w:tab w:leader="none" w:pos="940" w:val="left"/>
        </w:tabs>
        <w:numPr>
          <w:ilvl w:val="1"/>
          <w:numId w:val="4"/>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177" w:lineRule="exact"/>
        <w:rPr>
          <w:rFonts w:ascii="Arial" w:cs="Arial" w:eastAsia="Arial" w:hAnsi="Arial"/>
          <w:sz w:val="13"/>
          <w:szCs w:val="13"/>
          <w:color w:val="auto"/>
        </w:rPr>
      </w:pPr>
    </w:p>
    <w:p>
      <w:pPr>
        <w:ind w:left="940" w:hanging="460"/>
        <w:spacing w:after="0"/>
        <w:tabs>
          <w:tab w:leader="none" w:pos="940" w:val="left"/>
        </w:tabs>
        <w:numPr>
          <w:ilvl w:val="1"/>
          <w:numId w:val="4"/>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177" w:lineRule="exact"/>
        <w:rPr>
          <w:rFonts w:ascii="Arial" w:cs="Arial" w:eastAsia="Arial" w:hAnsi="Arial"/>
          <w:sz w:val="13"/>
          <w:szCs w:val="13"/>
          <w:color w:val="auto"/>
        </w:rPr>
      </w:pPr>
    </w:p>
    <w:p>
      <w:pPr>
        <w:ind w:left="940" w:right="39" w:hanging="460"/>
        <w:spacing w:after="0" w:line="231" w:lineRule="auto"/>
        <w:tabs>
          <w:tab w:leader="none" w:pos="940" w:val="left"/>
        </w:tabs>
        <w:numPr>
          <w:ilvl w:val="1"/>
          <w:numId w:val="4"/>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spacing w:after="0" w:line="174" w:lineRule="exact"/>
        <w:rPr>
          <w:rFonts w:ascii="Arial" w:cs="Arial" w:eastAsia="Arial" w:hAnsi="Arial"/>
          <w:sz w:val="13"/>
          <w:szCs w:val="13"/>
          <w:color w:val="auto"/>
        </w:rPr>
      </w:pPr>
    </w:p>
    <w:p>
      <w:pPr>
        <w:ind w:left="940" w:hanging="460"/>
        <w:spacing w:after="0"/>
        <w:tabs>
          <w:tab w:leader="none" w:pos="940" w:val="left"/>
        </w:tabs>
        <w:numPr>
          <w:ilvl w:val="1"/>
          <w:numId w:val="4"/>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177" w:lineRule="exact"/>
        <w:rPr>
          <w:rFonts w:ascii="Arial" w:cs="Arial" w:eastAsia="Arial" w:hAnsi="Arial"/>
          <w:sz w:val="13"/>
          <w:szCs w:val="13"/>
          <w:color w:val="auto"/>
        </w:rPr>
      </w:pPr>
    </w:p>
    <w:p>
      <w:pPr>
        <w:ind w:left="940" w:hanging="460"/>
        <w:spacing w:after="0"/>
        <w:tabs>
          <w:tab w:leader="none" w:pos="940" w:val="left"/>
        </w:tabs>
        <w:numPr>
          <w:ilvl w:val="1"/>
          <w:numId w:val="4"/>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357" w:lineRule="exact"/>
        <w:rPr>
          <w:rFonts w:ascii="Arial" w:cs="Arial" w:eastAsia="Arial" w:hAnsi="Arial"/>
          <w:sz w:val="13"/>
          <w:szCs w:val="13"/>
          <w:color w:val="auto"/>
        </w:rPr>
      </w:pPr>
    </w:p>
    <w:p>
      <w:pPr>
        <w:ind w:left="480" w:hanging="473"/>
        <w:spacing w:after="0"/>
        <w:tabs>
          <w:tab w:leader="none" w:pos="480"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Fee paid previously with preliminary materials.</w:t>
      </w:r>
    </w:p>
    <w:p>
      <w:pPr>
        <w:spacing w:after="0" w:line="98" w:lineRule="exact"/>
        <w:rPr>
          <w:rFonts w:ascii="MS PGothic" w:cs="MS PGothic" w:eastAsia="MS PGothic" w:hAnsi="MS PGothic"/>
          <w:sz w:val="13"/>
          <w:szCs w:val="13"/>
          <w:color w:val="auto"/>
        </w:rPr>
      </w:pPr>
    </w:p>
    <w:p>
      <w:pPr>
        <w:ind w:left="480" w:right="539" w:hanging="473"/>
        <w:spacing w:after="0" w:line="231" w:lineRule="auto"/>
        <w:tabs>
          <w:tab w:leader="none" w:pos="480"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2" w:lineRule="exact"/>
        <w:rPr>
          <w:rFonts w:ascii="MS PGothic" w:cs="MS PGothic" w:eastAsia="MS PGothic" w:hAnsi="MS PGothic"/>
          <w:sz w:val="13"/>
          <w:szCs w:val="13"/>
          <w:color w:val="auto"/>
        </w:rPr>
      </w:pPr>
    </w:p>
    <w:p>
      <w:pPr>
        <w:ind w:left="940" w:hanging="460"/>
        <w:spacing w:after="0"/>
        <w:tabs>
          <w:tab w:leader="none" w:pos="940" w:val="left"/>
        </w:tabs>
        <w:numPr>
          <w:ilvl w:val="1"/>
          <w:numId w:val="4"/>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312" w:lineRule="exact"/>
        <w:rPr>
          <w:rFonts w:ascii="Arial" w:cs="Arial" w:eastAsia="Arial" w:hAnsi="Arial"/>
          <w:sz w:val="13"/>
          <w:szCs w:val="13"/>
          <w:color w:val="auto"/>
        </w:rPr>
      </w:pPr>
    </w:p>
    <w:p>
      <w:pPr>
        <w:ind w:left="940" w:hanging="460"/>
        <w:spacing w:after="0"/>
        <w:tabs>
          <w:tab w:leader="none" w:pos="940" w:val="left"/>
        </w:tabs>
        <w:numPr>
          <w:ilvl w:val="1"/>
          <w:numId w:val="4"/>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312" w:lineRule="exact"/>
        <w:rPr>
          <w:rFonts w:ascii="Arial" w:cs="Arial" w:eastAsia="Arial" w:hAnsi="Arial"/>
          <w:sz w:val="13"/>
          <w:szCs w:val="13"/>
          <w:color w:val="auto"/>
        </w:rPr>
      </w:pPr>
    </w:p>
    <w:p>
      <w:pPr>
        <w:ind w:left="940" w:hanging="460"/>
        <w:spacing w:after="0"/>
        <w:tabs>
          <w:tab w:leader="none" w:pos="940" w:val="left"/>
        </w:tabs>
        <w:numPr>
          <w:ilvl w:val="1"/>
          <w:numId w:val="4"/>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312" w:lineRule="exact"/>
        <w:rPr>
          <w:rFonts w:ascii="Arial" w:cs="Arial" w:eastAsia="Arial" w:hAnsi="Arial"/>
          <w:sz w:val="13"/>
          <w:szCs w:val="13"/>
          <w:color w:val="auto"/>
        </w:rPr>
      </w:pPr>
    </w:p>
    <w:p>
      <w:pPr>
        <w:ind w:left="940" w:hanging="460"/>
        <w:spacing w:after="0"/>
        <w:tabs>
          <w:tab w:leader="none" w:pos="940" w:val="left"/>
        </w:tabs>
        <w:numPr>
          <w:ilvl w:val="1"/>
          <w:numId w:val="4"/>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591185</wp:posOffset>
            </wp:positionH>
            <wp:positionV relativeFrom="paragraph">
              <wp:posOffset>-2403475</wp:posOffset>
            </wp:positionV>
            <wp:extent cx="52520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52085" cy="6985"/>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-2195830</wp:posOffset>
            </wp:positionV>
            <wp:extent cx="52520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52085" cy="6985"/>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-1902460</wp:posOffset>
            </wp:positionV>
            <wp:extent cx="52520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52085" cy="6985"/>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-1695450</wp:posOffset>
            </wp:positionV>
            <wp:extent cx="525208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52085" cy="6985"/>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-1487805</wp:posOffset>
            </wp:positionV>
            <wp:extent cx="525208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52085" cy="6985"/>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-693420</wp:posOffset>
            </wp:positionV>
            <wp:extent cx="525208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52085" cy="6985"/>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-400050</wp:posOffset>
            </wp:positionV>
            <wp:extent cx="525208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52085" cy="6985"/>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-106680</wp:posOffset>
            </wp:positionV>
            <wp:extent cx="525208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52085" cy="6985"/>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186055</wp:posOffset>
            </wp:positionV>
            <wp:extent cx="525208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5208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321945</wp:posOffset>
            </wp:positionV>
            <wp:extent cx="583819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357505</wp:posOffset>
            </wp:positionV>
            <wp:extent cx="583819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ectPr>
          <w:pgSz w:w="11900" w:h="16838" w:orient="portrait"/>
          <w:cols w:equalWidth="0" w:num="1">
            <w:col w:w="9119"/>
          </w:cols>
          <w:pgMar w:left="1340" w:top="370" w:right="1440"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Important Information</w:t>
      </w:r>
    </w:p>
    <w:p>
      <w:pPr>
        <w:spacing w:after="0" w:line="102" w:lineRule="exact"/>
        <w:rPr>
          <w:sz w:val="20"/>
          <w:szCs w:val="20"/>
          <w:color w:val="auto"/>
        </w:rPr>
      </w:pPr>
    </w:p>
    <w:p>
      <w:pPr>
        <w:ind w:right="140"/>
        <w:spacing w:after="0" w:line="258" w:lineRule="auto"/>
        <w:rPr>
          <w:sz w:val="20"/>
          <w:szCs w:val="20"/>
          <w:color w:val="auto"/>
        </w:rPr>
      </w:pPr>
      <w:r>
        <w:rPr>
          <w:rFonts w:ascii="Arial" w:cs="Arial" w:eastAsia="Arial" w:hAnsi="Arial"/>
          <w:sz w:val="15"/>
          <w:szCs w:val="15"/>
          <w:color w:val="auto"/>
        </w:rPr>
        <w:t>This communication is being made in respect of the proposed business combination contemplated by that certain Business Combination Agreement, dated as of December 29, 2020, by and among FinTech Acquisition Corp. IV (“FTIV”), Perella Weinberg Partners (“PWP”) and the other parties thereto. On May 26, 2021, PWP provided the following written materials in a presentation to certain existing and potential stockholders. The materials are filed herewith pursuant to Rule 14a-12.</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Forward Looking Statements</w:t>
      </w:r>
    </w:p>
    <w:p>
      <w:pPr>
        <w:spacing w:after="0" w:line="98" w:lineRule="exact"/>
        <w:rPr>
          <w:sz w:val="20"/>
          <w:szCs w:val="20"/>
          <w:color w:val="auto"/>
        </w:rPr>
      </w:pPr>
    </w:p>
    <w:p>
      <w:pPr>
        <w:ind w:right="20"/>
        <w:spacing w:after="0" w:line="293" w:lineRule="auto"/>
        <w:rPr>
          <w:sz w:val="20"/>
          <w:szCs w:val="20"/>
          <w:color w:val="auto"/>
        </w:rPr>
      </w:pPr>
      <w:r>
        <w:rPr>
          <w:rFonts w:ascii="Arial" w:cs="Arial" w:eastAsia="Arial" w:hAnsi="Arial"/>
          <w:sz w:val="13"/>
          <w:szCs w:val="13"/>
          <w:color w:val="auto"/>
        </w:rPr>
        <w:t>Certain statements made in this communication are “forward-looking statements” within the meaning of the safe harbor provisions of the United States Private Securities Litigation Reform Act of 1995. Statements regarding the potential combination and expectations regarding the combined business are forward-looking statements. In addition, words such as “estimates,” “projects,” “expects,” “anticipates,” “forecasts,” “plans,” “intends,” “believes,” “seeks,” “may,” “will,” “would,” “should,”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Factors that may cause such differences include, among others, the following: (1) the inability of the parties to complete the potential business combination or to complete the contemplated transactions; (2) satisfaction or waiver (if applicable) of the conditions to the potential business combination, including with respect to the approval of the stockholders of FTIV; (3) the ability to maintain the listing of the combined company’s securities on NASDAQ; (4) the inability to complete the private placement; (5) the risk that the proposed transaction disrupts current plans and operations of PWP as a result of the announcement and consummation of the transactions described herein; (6) the ability to recognize the anticipated benefits of the proposed business combination, which may be affected by, among other things, competition, the ability of the combined company to grow and manage growth profitably, maintain relationships with customers and suppliers and retain its management and key employees; (7) costs related to the proposed business combination; (8) changes in applicable laws or regulations and delays in obtaining, adverse conditions contained in, or the inability to obtain necessary regulatory approvals required to complete the potential transaction;</w:t>
      </w:r>
    </w:p>
    <w:p>
      <w:pPr>
        <w:spacing w:after="0" w:line="156" w:lineRule="exact"/>
        <w:rPr>
          <w:sz w:val="20"/>
          <w:szCs w:val="20"/>
          <w:color w:val="auto"/>
        </w:rPr>
      </w:pPr>
    </w:p>
    <w:p>
      <w:pPr>
        <w:ind w:right="220" w:firstLine="7"/>
        <w:spacing w:after="0" w:line="289" w:lineRule="auto"/>
        <w:tabs>
          <w:tab w:leader="none" w:pos="213"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possibility that PWP may be adversely affected by other economic, business, and/or competitive factors; (10) the outcome of any legal proceedings that may be instituted against PWP or any of its respective directors or officers, following the announcement of the potential transaction;</w:t>
      </w:r>
    </w:p>
    <w:p>
      <w:pPr>
        <w:ind w:firstLine="7"/>
        <w:spacing w:after="0" w:line="272" w:lineRule="auto"/>
        <w:tabs>
          <w:tab w:leader="none" w:pos="282"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failure to realize anticipated pro forma results and underlying assumptions, including with respect to estimated stockholder redemptions and purchase price and other adjustments; (12) changes in general economic conditions, including as a result of the COVID-19 pandemic; and (13) other risks and uncertainties indicated from time to time in the preliminary proxy statement of FTIV filed with the SEC on February 5, 2021, as amended on March 29, 2021, May 5, 2021, and May 25, 2021 and as it may be further amended, including those under “Risk Factors” therein, and other documents filed or to be filed with the SEC by FTIV. Forward-looking statements speak only as of the date they are made, and PWP and FTIV do not undertake any obligation, and expressly disclaim any obligation, to update, alter or otherwise revise any forward-looking statements, whether as a result of new information, future events or otherwise, except as required by law. Readers should carefully review the statements set forth in the reports, which FTIV has filed or will file from time to time with the SEC.</w:t>
      </w:r>
    </w:p>
    <w:p>
      <w:pPr>
        <w:sectPr>
          <w:pgSz w:w="11900" w:h="16838" w:orient="portrait"/>
          <w:cols w:equalWidth="0" w:num="1">
            <w:col w:w="9200"/>
          </w:cols>
          <w:pgMar w:left="1340" w:top="249" w:right="135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Additional Information about the Proposed Transaction and Where to Find It</w:t>
      </w:r>
    </w:p>
    <w:p>
      <w:pPr>
        <w:spacing w:after="0" w:line="98" w:lineRule="exact"/>
        <w:rPr>
          <w:sz w:val="20"/>
          <w:szCs w:val="20"/>
          <w:color w:val="auto"/>
        </w:rPr>
      </w:pPr>
    </w:p>
    <w:p>
      <w:pPr>
        <w:spacing w:after="0" w:line="296" w:lineRule="auto"/>
        <w:rPr>
          <w:sz w:val="20"/>
          <w:szCs w:val="20"/>
          <w:color w:val="auto"/>
        </w:rPr>
      </w:pPr>
      <w:r>
        <w:rPr>
          <w:rFonts w:ascii="Arial" w:cs="Arial" w:eastAsia="Arial" w:hAnsi="Arial"/>
          <w:sz w:val="13"/>
          <w:szCs w:val="13"/>
          <w:color w:val="auto"/>
        </w:rPr>
        <w:t>FTIV has filed with the SEC a preliminary proxy statement and amendments thereto in connection with the business combination and will mail a definitive proxy statement and other relevant documents to its stockholders. The preliminary proxy statement, as amended, is not yet final and will be further amended. The definitive proxy statement will contain important information about the business combination and the other matters to be voted upon at a special meeting of the stockholders to be held to approve the business combination and other matters, and is not intended to provide the basis for any investment decision or any other decision in respect of such matters. FTIV’s stockholders and other interested persons are advised to read the preliminary proxy statement, the amendments thereto, and the definitive proxy statement in connection with FTIV’s solicitation of proxies for such special meeting, as these materials will contain important information about FTIV, PWP and the business combination. The definitive proxy statement will be mailed to the stockholders of FTIV as of a record date to be established for voting on the business combination and the other matters to be voted upon at the special meeting. FTIV’s stockholders will also be able to obtain copies of the proxy statement, as well as other filings containing information about FTIV, without charge, once available, at the SEC’s website at http://www.sec.gov, or by directing a request to: info@ftspac.com.</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Participants in Solicitation</w:t>
      </w:r>
    </w:p>
    <w:p>
      <w:pPr>
        <w:spacing w:after="0" w:line="98"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color w:val="auto"/>
        </w:rPr>
        <w:t>FTIV, PWP and certain of their respective directors and officers, as applicable, may be deemed participants in the solicitation of proxies of FTIV’s stockholders in connection with the business combination. FTIV’s stockholders and other interested persons may obtain, without charge, more detailed information regarding the directors and officers of FTIV in FTIV’s annual report on Form 10-K for the year ended December 31, 2020, which was filed with the SEC on March 15, 2021 and amended on May 4, 2021.</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Information regarding the persons who may, under SEC rules, be deemed participants in the solicitation of proxies of FTIV’s stockholders in connection</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with the business combination and other matters to be voted upon at the special meeting, including certain of PWP’s officers, is set forth in the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preliminary proxy statement for the business combination that FTIV filed with the SEC on February 5, 2021, as amended on March 29, 2021, May 5,</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2021, and May 25, 2021 and as it may be further amended. Additional information regarding the interests of participants in the solicitation of proxies in</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connection with the business combination is included in the proxy statement that FTIV filed with the SEC on February 5, 2021, as amended on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March 29, 2021, May 5, 2021, and May 25, 2021 and as it may be further amended. This communication does not constitute a solicitation of a proxy, an</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offer to purchase or a solicitation of an offer to sell any securities.</w:t>
      </w:r>
    </w:p>
    <w:p>
      <w:pPr>
        <w:sectPr>
          <w:pgSz w:w="11900" w:h="16838" w:orient="portrait"/>
          <w:cols w:equalWidth="0" w:num="1">
            <w:col w:w="9200"/>
          </w:cols>
          <w:pgMar w:left="1340" w:top="253" w:right="135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219950" cy="4514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9950" cy="45148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2)"/>
      <w:numFmt w:val="decimal"/>
      <w:start w:val="1"/>
    </w:lvl>
  </w:abstractNum>
  <w:abstractNum w:abstractNumId="4">
    <w:nsid w:val="3D1B58BA"/>
    <w:multiLevelType w:val="hybridMultilevel"/>
    <w:lvl w:ilvl="0">
      <w:lvlJc w:val="left"/>
      <w:lvlText w:val="(%1)"/>
      <w:numFmt w:val="decimal"/>
      <w:start w:val="9"/>
    </w:lvl>
  </w:abstractNum>
  <w:abstractNum w:abstractNumId="5">
    <w:nsid w:val="507ED7A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2021-05-27T05:27:17Z</dcterms:created>
  <dcterms:modified xsi:type="dcterms:W3CDTF">2021-05-27T05:27:17Z</dcterms:modified>
</cp:coreProperties>
</file>