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Sherburne Jane Cecile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05/28/2025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5,652</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46,159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5,652 unvested shares subject to awards of restricted stock units, which vest on the date of Perella Weinberg Partners' next general annual stockholder meeting following the grant date, subject to continued board service through such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Mark Polemeni,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05/30/2025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8784"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2025-05-30T14:38:41Z</dcterms:created>
  <dcterms:modified xsi:type="dcterms:W3CDTF">2025-05-30T14:38:41Z</dcterms:modified>
</cp:coreProperties>
</file>