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13"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p>
        </w:tc>
      </w:tr>
    </w:tbl>
    <w:p>
      <w:pPr>
        <w:pStyle w:val="TextBody"/>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spacing w:before="60" w:after="283"/>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4, 2023</w:t>
      </w:r>
    </w:p>
    <w:p>
      <w:pPr>
        <w:pStyle w:val="TextBody"/>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001-39558</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p>
        </w:tc>
      </w:tr>
    </w:tbl>
    <w:p>
      <w:pPr>
        <w:pStyle w:val="TextBody"/>
        <w:spacing w:lineRule="auto" w:line="240" w:before="0" w:after="0"/>
        <w:jc w:val="center"/>
        <w:rPr>
          <w:rFonts w:ascii="Times New Roman;sans-serif" w:hAnsi="Times New Roman;sans-serif"/>
          <w:b/>
          <w:color w:val="000000"/>
          <w:sz w:val="44"/>
        </w:rPr>
      </w:pPr>
      <w:r>
        <w:rPr>
          <w:rFonts w:ascii="Times New Roman;sans-serif" w:hAnsi="Times New Roman;sans-serif"/>
          <w:b/>
          <w:color w:val="000000"/>
          <w:sz w:val="44"/>
        </w:rPr>
        <w:t>PERELLA WEINBERG PARTNERS</w:t>
      </w:r>
    </w:p>
    <w:p>
      <w:pPr>
        <w:pStyle w:val="TextBody"/>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p>
        </w:tc>
      </w:tr>
    </w:tbl>
    <w:p>
      <w:pPr>
        <w:pStyle w:val="TextBody"/>
        <w:spacing w:before="0" w:after="0"/>
        <w:rPr/>
      </w:pPr>
      <w:r>
        <w:rPr/>
      </w:r>
    </w:p>
    <w:tbl>
      <w:tblPr>
        <w:tblW w:w="6030" w:type="dxa"/>
        <w:jc w:val="left"/>
        <w:tblInd w:w="0" w:type="dxa"/>
        <w:tblCellMar>
          <w:top w:w="28" w:type="dxa"/>
          <w:left w:w="28" w:type="dxa"/>
          <w:bottom w:w="28" w:type="dxa"/>
          <w:right w:w="28" w:type="dxa"/>
        </w:tblCellMar>
      </w:tblPr>
      <w:tblGrid>
        <w:gridCol w:w="1365"/>
        <w:gridCol w:w="1200"/>
        <w:gridCol w:w="1215"/>
        <w:gridCol w:w="657"/>
        <w:gridCol w:w="657"/>
        <w:gridCol w:w="936"/>
      </w:tblGrid>
      <w:tr>
        <w:trPr/>
        <w:tc>
          <w:tcPr>
            <w:tcW w:w="1365"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84-1770732</w:t>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 State or other jurisdiction of incorporation or organization)</w:t>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767 Fifth Avenue</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2250" w:type="dxa"/>
            <w:gridSpan w:val="3"/>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10153</w:t>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spacing w:before="60" w:after="283"/>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(212) 287-3200</w:t>
      </w:r>
    </w:p>
    <w:p>
      <w:pPr>
        <w:pStyle w:val="TextBody"/>
        <w:spacing w:before="0" w:after="0"/>
        <w:jc w:val="center"/>
        <w:rPr/>
      </w:pPr>
      <w:r>
        <w:rPr/>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spacing w:lineRule="auto" w:line="333" w:before="0" w:after="60"/>
        <w:rPr>
          <w:color w:val="000000"/>
        </w:rPr>
      </w:pPr>
      <w:r>
        <w:rPr>
          <w:color w:val="000000"/>
        </w:rPr>
        <w:t> </w:t>
      </w:r>
    </w:p>
    <w:tbl>
      <w:tblPr>
        <w:tblW w:w="7751" w:type="dxa"/>
        <w:jc w:val="left"/>
        <w:tblInd w:w="0" w:type="dxa"/>
        <w:tblCellMar>
          <w:top w:w="28" w:type="dxa"/>
          <w:left w:w="28" w:type="dxa"/>
          <w:bottom w:w="28" w:type="dxa"/>
          <w:right w:w="28" w:type="dxa"/>
        </w:tblCellMar>
      </w:tblPr>
      <w:tblGrid>
        <w:gridCol w:w="124"/>
        <w:gridCol w:w="109"/>
        <w:gridCol w:w="109"/>
        <w:gridCol w:w="2167"/>
        <w:gridCol w:w="2167"/>
        <w:gridCol w:w="307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307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4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CellMar>
          <w:top w:w="28" w:type="dxa"/>
          <w:left w:w="28" w:type="dxa"/>
          <w:bottom w:w="28" w:type="dxa"/>
          <w:right w:w="28" w:type="dxa"/>
        </w:tblCellMar>
      </w:tblPr>
      <w:tblGrid>
        <w:gridCol w:w="124"/>
        <w:gridCol w:w="109"/>
        <w:gridCol w:w="109"/>
        <w:gridCol w:w="2175"/>
        <w:gridCol w:w="2175"/>
        <w:gridCol w:w="3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3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CellMar>
          <w:top w:w="28" w:type="dxa"/>
          <w:left w:w="28" w:type="dxa"/>
          <w:bottom w:w="28" w:type="dxa"/>
          <w:right w:w="28" w:type="dxa"/>
        </w:tblCellMar>
      </w:tblPr>
      <w:tblGrid>
        <w:gridCol w:w="124"/>
        <w:gridCol w:w="109"/>
        <w:gridCol w:w="109"/>
        <w:gridCol w:w="2689"/>
        <w:gridCol w:w="2689"/>
        <w:gridCol w:w="380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380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CellMar>
          <w:top w:w="28" w:type="dxa"/>
          <w:left w:w="28" w:type="dxa"/>
          <w:bottom w:w="28" w:type="dxa"/>
          <w:right w:w="28" w:type="dxa"/>
        </w:tblCellMar>
      </w:tblPr>
      <w:tblGrid>
        <w:gridCol w:w="124"/>
        <w:gridCol w:w="109"/>
        <w:gridCol w:w="109"/>
        <w:gridCol w:w="2671"/>
        <w:gridCol w:w="2671"/>
        <w:gridCol w:w="377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377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 </w:t>
            </w:r>
          </w:p>
        </w:tc>
      </w:tr>
    </w:tbl>
    <w:p>
      <w:pPr>
        <w:pStyle w:val="TextBody"/>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p>
      <w:pPr>
        <w:pStyle w:val="TextBody"/>
        <w:spacing w:before="0" w:after="0"/>
        <w:jc w:val="center"/>
        <w:rPr/>
      </w:pPr>
      <w:r>
        <w:rPr/>
      </w:r>
    </w:p>
    <w:tbl>
      <w:tblPr>
        <w:tblW w:w="9592" w:type="dxa"/>
        <w:jc w:val="left"/>
        <w:tblInd w:w="0" w:type="dxa"/>
        <w:tblCellMar>
          <w:top w:w="28" w:type="dxa"/>
          <w:left w:w="28" w:type="dxa"/>
          <w:bottom w:w="28" w:type="dxa"/>
          <w:right w:w="28" w:type="dxa"/>
        </w:tblCellMar>
      </w:tblPr>
      <w:tblGrid>
        <w:gridCol w:w="1410"/>
        <w:gridCol w:w="1241"/>
        <w:gridCol w:w="1249"/>
        <w:gridCol w:w="109"/>
        <w:gridCol w:w="109"/>
        <w:gridCol w:w="109"/>
        <w:gridCol w:w="519"/>
        <w:gridCol w:w="519"/>
        <w:gridCol w:w="521"/>
        <w:gridCol w:w="109"/>
        <w:gridCol w:w="109"/>
        <w:gridCol w:w="109"/>
        <w:gridCol w:w="1019"/>
        <w:gridCol w:w="1019"/>
        <w:gridCol w:w="1441"/>
      </w:tblGrid>
      <w:tr>
        <w:trPr/>
        <w:tc>
          <w:tcPr>
            <w:tcW w:w="1410"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9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$0.0001 per share</w:t>
            </w:r>
          </w:p>
        </w:tc>
        <w:tc>
          <w:tcPr>
            <w:tcW w:w="327"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PWP </w:t>
            </w:r>
          </w:p>
        </w:tc>
        <w:tc>
          <w:tcPr>
            <w:tcW w:w="327"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4333"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770"/>
        <w:gridCol w:w="770"/>
        <w:gridCol w:w="771"/>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20" w:after="283"/>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33" w:before="20" w:after="283"/>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4, 2023, Perella Weinberg Partners (the “Company”) issued a press release announcing its financial results for the fiscal quarter ended March 31, 2023.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lineRule="auto" w:line="333" w:before="0" w:after="0"/>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8006" w:type="dxa"/>
        <w:jc w:val="left"/>
        <w:tblInd w:w="0" w:type="dxa"/>
        <w:tblCellMar>
          <w:top w:w="28" w:type="dxa"/>
          <w:left w:w="28" w:type="dxa"/>
          <w:bottom w:w="28" w:type="dxa"/>
          <w:right w:w="28" w:type="dxa"/>
        </w:tblCellMar>
      </w:tblPr>
      <w:tblGrid>
        <w:gridCol w:w="391"/>
        <w:gridCol w:w="344"/>
        <w:gridCol w:w="345"/>
        <w:gridCol w:w="109"/>
        <w:gridCol w:w="109"/>
        <w:gridCol w:w="109"/>
        <w:gridCol w:w="1928"/>
        <w:gridCol w:w="1928"/>
        <w:gridCol w:w="2743"/>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2743"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53"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53" w:after="30"/>
              <w:jc w:val="left"/>
              <w:rPr/>
            </w:pPr>
            <w:hyperlink w:anchor="q12023ex991-earningsrelease.htm">
              <w:r>
                <w:rPr>
                  <w:rStyle w:val="InternetLink"/>
                  <w:rFonts w:ascii="Times New Roman;sans-serif" w:hAnsi="Times New Roman;sans-serif"/>
                  <w:b w:val="false"/>
                  <w:color w:val="0000FF"/>
                  <w:sz w:val="20"/>
                  <w:u w:val="single"/>
                </w:rPr>
                <w:t>99.1</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5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w:anchor="q12023ex991-earningsrelease.htm">
              <w:r>
                <w:rPr>
                  <w:rStyle w:val="InternetLink"/>
                </w:rPr>
                <w:t xml:space="preserve">Press Release Issued by the Company dated </w:t>
              </w:r>
            </w:hyperlink>
            <w:hyperlink w:anchor="q12023ex991-earningsrelease.htm">
              <w:r>
                <w:rPr>
                  <w:rStyle w:val="InternetLink"/>
                </w:rPr>
                <w:t>May 4</w:t>
              </w:r>
            </w:hyperlink>
            <w:hyperlink w:anchor="q12023ex991-earningsrelease.htm">
              <w:r>
                <w:rPr>
                  <w:rStyle w:val="InternetLink"/>
                </w:rPr>
                <w:t>, 2023</w:t>
              </w:r>
            </w:hyperlink>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333"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lineRule="auto" w:line="333" w:before="0" w:after="100"/>
        <w:rPr>
          <w:color w:val="000000"/>
        </w:rPr>
      </w:pPr>
      <w:r>
        <w:rPr>
          <w:color w:val="000000"/>
        </w:rPr>
        <w:t> </w:t>
      </w:r>
    </w:p>
    <w:tbl>
      <w:tblPr>
        <w:tblW w:w="5506" w:type="dxa"/>
        <w:jc w:val="left"/>
        <w:tblInd w:w="0" w:type="dxa"/>
        <w:tblCellMar>
          <w:top w:w="28" w:type="dxa"/>
          <w:left w:w="28" w:type="dxa"/>
          <w:bottom w:w="28" w:type="dxa"/>
          <w:right w:w="28" w:type="dxa"/>
        </w:tblCellMar>
      </w:tblPr>
      <w:tblGrid>
        <w:gridCol w:w="591"/>
        <w:gridCol w:w="520"/>
        <w:gridCol w:w="523"/>
        <w:gridCol w:w="109"/>
        <w:gridCol w:w="109"/>
        <w:gridCol w:w="109"/>
        <w:gridCol w:w="482"/>
        <w:gridCol w:w="482"/>
        <w:gridCol w:w="482"/>
        <w:gridCol w:w="611"/>
        <w:gridCol w:w="611"/>
        <w:gridCol w:w="877"/>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PERELLA WEINBERG PARTNERS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Gary Barancik</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Gary Barancik</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both"/>
        <w:rPr/>
      </w:pPr>
      <w:r>
        <w:rPr/>
        <w:drawing>
          <wp:inline distT="0" distB="63500" distL="0" distR="0">
            <wp:extent cx="1371600" cy="6762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3716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40" w:before="0" w:after="200"/>
        <w:jc w:val="right"/>
        <w:rPr>
          <w:rFonts w:ascii="Arial;sans-serif" w:hAnsi="Arial;sans-serif"/>
          <w:b/>
          <w:color w:val="000000"/>
          <w:sz w:val="18"/>
        </w:rPr>
      </w:pPr>
      <w:r>
        <w:rPr>
          <w:rFonts w:ascii="Arial;sans-serif" w:hAnsi="Arial;sans-serif"/>
          <w:b/>
          <w:color w:val="000000"/>
          <w:sz w:val="18"/>
        </w:rPr>
        <w:t>Exhibit 99.1</w:t>
      </w:r>
    </w:p>
    <w:p>
      <w:pPr>
        <w:pStyle w:val="TextBody"/>
        <w:spacing w:before="0" w:after="200"/>
        <w:rPr/>
      </w:pPr>
      <w:r>
        <w:rPr/>
      </w:r>
    </w:p>
    <w:tbl>
      <w:tblPr>
        <w:tblW w:w="9821" w:type="dxa"/>
        <w:jc w:val="left"/>
        <w:tblInd w:w="0" w:type="dxa"/>
        <w:tblCellMar>
          <w:top w:w="28" w:type="dxa"/>
          <w:left w:w="28" w:type="dxa"/>
          <w:bottom w:w="28" w:type="dxa"/>
          <w:right w:w="28" w:type="dxa"/>
        </w:tblCellMar>
      </w:tblPr>
      <w:tblGrid>
        <w:gridCol w:w="124"/>
        <w:gridCol w:w="109"/>
        <w:gridCol w:w="109"/>
        <w:gridCol w:w="2774"/>
        <w:gridCol w:w="2774"/>
        <w:gridCol w:w="393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4" w:type="dxa"/>
            <w:tcBorders/>
            <w:shd w:fill="auto" w:val="clear"/>
            <w:vAlign w:val="center"/>
          </w:tcPr>
          <w:p>
            <w:pPr>
              <w:pStyle w:val="TableContents"/>
              <w:spacing w:before="0" w:after="283"/>
              <w:rPr>
                <w:sz w:val="4"/>
                <w:szCs w:val="4"/>
              </w:rPr>
            </w:pPr>
            <w:r>
              <w:rPr>
                <w:sz w:val="4"/>
                <w:szCs w:val="4"/>
              </w:rPr>
            </w:r>
          </w:p>
        </w:tc>
        <w:tc>
          <w:tcPr>
            <w:tcW w:w="2774" w:type="dxa"/>
            <w:tcBorders/>
            <w:shd w:fill="auto" w:val="clear"/>
            <w:vAlign w:val="center"/>
          </w:tcPr>
          <w:p>
            <w:pPr>
              <w:pStyle w:val="TableContents"/>
              <w:spacing w:before="0" w:after="283"/>
              <w:rPr>
                <w:sz w:val="4"/>
                <w:szCs w:val="4"/>
              </w:rPr>
            </w:pPr>
            <w:r>
              <w:rPr>
                <w:sz w:val="4"/>
                <w:szCs w:val="4"/>
              </w:rPr>
            </w:r>
          </w:p>
        </w:tc>
        <w:tc>
          <w:tcPr>
            <w:tcW w:w="393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left w:val="single" w:sz="8" w:space="0" w:color="503C64"/>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479" w:type="dxa"/>
            <w:gridSpan w:val="3"/>
            <w:tcBorders/>
            <w:shd w:fill="auto" w:val="clear"/>
            <w:tcMar>
              <w:top w:w="0" w:type="dxa"/>
              <w:left w:w="0" w:type="dxa"/>
              <w:bottom w:w="0" w:type="dxa"/>
              <w:right w:w="0" w:type="dxa"/>
            </w:tcMar>
            <w:vAlign w:val="center"/>
          </w:tcPr>
          <w:p>
            <w:pPr>
              <w:pStyle w:val="TableContents"/>
              <w:spacing w:lineRule="auto" w:line="360" w:before="0" w:after="0"/>
              <w:jc w:val="both"/>
              <w:rPr>
                <w:rFonts w:ascii="Arial;sans-serif" w:hAnsi="Arial;sans-serif"/>
                <w:b/>
                <w:color w:val="000000"/>
                <w:sz w:val="32"/>
              </w:rPr>
            </w:pPr>
            <w:r>
              <w:rPr>
                <w:rFonts w:ascii="Arial;sans-serif" w:hAnsi="Arial;sans-serif"/>
                <w:b/>
                <w:color w:val="000000"/>
                <w:sz w:val="32"/>
              </w:rPr>
              <w:t>Perella Weinberg Partners Reports First Quarter 2023 Results</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947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200"/>
        <w:rPr>
          <w:rFonts w:ascii="Arial;sans-serif" w:hAnsi="Arial;sans-serif"/>
          <w:b/>
          <w:color w:val="503C64"/>
          <w:sz w:val="22"/>
        </w:rPr>
      </w:pPr>
      <w:r>
        <w:rPr>
          <w:rFonts w:ascii="Arial;sans-serif" w:hAnsi="Arial;sans-serif"/>
          <w:b/>
          <w:color w:val="503C64"/>
          <w:sz w:val="22"/>
        </w:rPr>
        <w:t>Financial Overview - First Quarter</w:t>
      </w:r>
    </w:p>
    <w:p>
      <w:pPr>
        <w:pStyle w:val="TextBody"/>
        <w:spacing w:lineRule="auto" w:line="288" w:before="0" w:after="200"/>
        <w:ind w:left="0" w:right="0" w:hanging="360"/>
        <w:jc w:val="both"/>
        <w:rPr/>
      </w:pPr>
      <w:r>
        <w:rPr>
          <w:color w:val="000000"/>
        </w:rPr>
        <w:t>•</w:t>
      </w:r>
      <w:r>
        <w:rPr>
          <w:rFonts w:ascii="Arial;sans-serif" w:hAnsi="Arial;sans-serif"/>
          <w:b w:val="false"/>
          <w:color w:val="000000"/>
          <w:sz w:val="22"/>
        </w:rPr>
        <w:t>Revenues of $131 Million, Down 13% From a Year Ago</w:t>
      </w:r>
    </w:p>
    <w:p>
      <w:pPr>
        <w:pStyle w:val="TextBody"/>
        <w:spacing w:lineRule="auto" w:line="288" w:before="0" w:after="200"/>
        <w:ind w:left="0" w:right="0" w:hanging="360"/>
        <w:rPr/>
      </w:pPr>
      <w:r>
        <w:rPr>
          <w:color w:val="000000"/>
        </w:rPr>
        <w:t>•</w:t>
      </w:r>
      <w:r>
        <w:rPr>
          <w:rFonts w:ascii="Arial;sans-serif" w:hAnsi="Arial;sans-serif"/>
          <w:b w:val="false"/>
          <w:color w:val="000000"/>
          <w:sz w:val="22"/>
        </w:rPr>
        <w:t>Adjusted Operating Income Margin of 9%, GAAP Operating Loss Margin of (17.3)%</w:t>
      </w:r>
    </w:p>
    <w:p>
      <w:pPr>
        <w:pStyle w:val="TextBody"/>
        <w:spacing w:lineRule="auto" w:line="288" w:before="0" w:after="200"/>
        <w:ind w:left="0" w:right="0" w:hanging="360"/>
        <w:rPr/>
      </w:pPr>
      <w:r>
        <w:rPr>
          <w:color w:val="000000"/>
        </w:rPr>
        <w:t>•</w:t>
      </w:r>
      <w:r>
        <w:rPr>
          <w:rFonts w:ascii="Arial;sans-serif" w:hAnsi="Arial;sans-serif"/>
          <w:b w:val="false"/>
          <w:color w:val="000000"/>
          <w:sz w:val="22"/>
        </w:rPr>
        <w:t xml:space="preserve">Adjusted EPS of $0.09; GAAP Diluted EPS of $(0.37) </w:t>
      </w:r>
    </w:p>
    <w:p>
      <w:pPr>
        <w:pStyle w:val="TextBody"/>
        <w:spacing w:before="0" w:after="200"/>
        <w:rPr/>
      </w:pPr>
      <w:r>
        <w:rPr/>
      </w:r>
    </w:p>
    <w:p>
      <w:pPr>
        <w:pStyle w:val="TextBody"/>
        <w:spacing w:lineRule="auto" w:line="288" w:before="0" w:after="200"/>
        <w:rPr>
          <w:rFonts w:ascii="Arial;sans-serif" w:hAnsi="Arial;sans-serif"/>
          <w:b/>
          <w:color w:val="503C64"/>
          <w:sz w:val="22"/>
        </w:rPr>
      </w:pPr>
      <w:r>
        <w:rPr>
          <w:rFonts w:ascii="Arial;sans-serif" w:hAnsi="Arial;sans-serif"/>
          <w:b/>
          <w:color w:val="503C64"/>
          <w:sz w:val="22"/>
        </w:rPr>
        <w:t>Talent Investment</w:t>
      </w:r>
    </w:p>
    <w:p>
      <w:pPr>
        <w:pStyle w:val="TextBody"/>
        <w:spacing w:lineRule="auto" w:line="288" w:before="0" w:after="200"/>
        <w:ind w:left="0" w:right="0" w:hanging="360"/>
        <w:rPr/>
      </w:pPr>
      <w:r>
        <w:rPr>
          <w:color w:val="000000"/>
        </w:rPr>
        <w:t>•</w:t>
      </w:r>
      <w:r>
        <w:rPr>
          <w:rFonts w:ascii="Arial;sans-serif" w:hAnsi="Arial;sans-serif"/>
          <w:b w:val="false"/>
          <w:color w:val="000000"/>
          <w:sz w:val="22"/>
        </w:rPr>
        <w:t>Continue to Add Senior Bankers to Expand Client Coverage Footprint</w:t>
      </w:r>
    </w:p>
    <w:p>
      <w:pPr>
        <w:pStyle w:val="TextBody"/>
        <w:spacing w:lineRule="auto" w:line="288" w:before="0" w:after="200"/>
        <w:ind w:left="0" w:right="0" w:hanging="360"/>
        <w:rPr/>
      </w:pPr>
      <w:r>
        <w:rPr>
          <w:color w:val="000000"/>
        </w:rPr>
        <w:t>•</w:t>
      </w:r>
      <w:r>
        <w:rPr>
          <w:rFonts w:ascii="Arial;sans-serif" w:hAnsi="Arial;sans-serif"/>
          <w:b w:val="false"/>
          <w:color w:val="000000"/>
          <w:sz w:val="22"/>
        </w:rPr>
        <w:t>Three Partners and Two Managing Directors Expected to Join Firm Within the Next Six Months</w:t>
      </w:r>
    </w:p>
    <w:p>
      <w:pPr>
        <w:pStyle w:val="TextBody"/>
        <w:spacing w:lineRule="auto" w:line="288" w:before="0" w:after="200"/>
        <w:ind w:left="0" w:right="0" w:hanging="360"/>
        <w:rPr/>
      </w:pPr>
      <w:r>
        <w:rPr>
          <w:color w:val="000000"/>
        </w:rPr>
        <w:t>•</w:t>
      </w:r>
      <w:r>
        <w:rPr>
          <w:rFonts w:ascii="Arial;sans-serif" w:hAnsi="Arial;sans-serif"/>
          <w:b w:val="false"/>
          <w:color w:val="000000"/>
          <w:sz w:val="22"/>
        </w:rPr>
        <w:t>Year-to-date have Promoted Two Partners and Six Managing Directors</w:t>
      </w:r>
    </w:p>
    <w:p>
      <w:pPr>
        <w:pStyle w:val="TextBody"/>
        <w:spacing w:before="0" w:after="200"/>
        <w:rPr/>
      </w:pPr>
      <w:r>
        <w:rPr/>
      </w:r>
    </w:p>
    <w:p>
      <w:pPr>
        <w:pStyle w:val="TextBody"/>
        <w:spacing w:lineRule="auto" w:line="288" w:before="0" w:after="200"/>
        <w:rPr>
          <w:rFonts w:ascii="Arial;sans-serif" w:hAnsi="Arial;sans-serif"/>
          <w:b/>
          <w:color w:val="503C64"/>
          <w:sz w:val="22"/>
        </w:rPr>
      </w:pPr>
      <w:r>
        <w:rPr>
          <w:rFonts w:ascii="Arial;sans-serif" w:hAnsi="Arial;sans-serif"/>
          <w:b/>
          <w:color w:val="503C64"/>
          <w:sz w:val="22"/>
        </w:rPr>
        <w:t>Capital Management</w:t>
      </w:r>
    </w:p>
    <w:p>
      <w:pPr>
        <w:pStyle w:val="TextBody"/>
        <w:spacing w:lineRule="auto" w:line="288" w:before="0" w:after="200"/>
        <w:ind w:left="0" w:right="0" w:hanging="360"/>
        <w:jc w:val="both"/>
        <w:rPr/>
      </w:pPr>
      <w:r>
        <w:rPr>
          <w:color w:val="000000"/>
        </w:rPr>
        <w:t>•</w:t>
      </w:r>
      <w:r>
        <w:rPr>
          <w:rFonts w:ascii="Arial;sans-serif" w:hAnsi="Arial;sans-serif"/>
          <w:b w:val="false"/>
          <w:color w:val="000000"/>
          <w:sz w:val="22"/>
        </w:rPr>
        <w:t>Strong Balance Sheet with $130 Million of Cash and Short-Term Investments and No Debt</w:t>
      </w:r>
    </w:p>
    <w:p>
      <w:pPr>
        <w:pStyle w:val="TextBody"/>
        <w:spacing w:lineRule="auto" w:line="288" w:before="0" w:after="200"/>
        <w:ind w:left="0" w:right="0" w:hanging="360"/>
        <w:jc w:val="both"/>
        <w:rPr/>
      </w:pPr>
      <w:r>
        <w:rPr>
          <w:color w:val="000000"/>
        </w:rPr>
        <w:t>•</w:t>
      </w:r>
      <w:r>
        <w:rPr>
          <w:rFonts w:ascii="Arial;sans-serif" w:hAnsi="Arial;sans-serif"/>
          <w:b w:val="false"/>
          <w:color w:val="000000"/>
          <w:sz w:val="22"/>
        </w:rPr>
        <w:t>Repurchased 2.6 Million Shares and Equivalents, Including 1.5 Million Shares in Open Market</w:t>
      </w:r>
    </w:p>
    <w:p>
      <w:pPr>
        <w:pStyle w:val="TextBody"/>
        <w:spacing w:lineRule="auto" w:line="288" w:before="0" w:after="200"/>
        <w:ind w:left="0" w:right="0" w:hanging="360"/>
        <w:jc w:val="both"/>
        <w:rPr/>
      </w:pPr>
      <w:r>
        <w:rPr>
          <w:color w:val="000000"/>
        </w:rPr>
        <w:t>•</w:t>
      </w:r>
      <w:r>
        <w:rPr>
          <w:rFonts w:ascii="Arial;sans-serif" w:hAnsi="Arial;sans-serif"/>
          <w:b w:val="false"/>
          <w:color w:val="000000"/>
          <w:sz w:val="22"/>
        </w:rPr>
        <w:t>Declared Quarterly Dividend of $0.07 Per Share</w:t>
      </w:r>
    </w:p>
    <w:p>
      <w:pPr>
        <w:pStyle w:val="TextBody"/>
        <w:spacing w:before="0" w:after="200"/>
        <w:jc w:val="both"/>
        <w:rPr/>
      </w:pPr>
      <w:r>
        <w:rPr/>
      </w:r>
    </w:p>
    <w:tbl>
      <w:tblPr>
        <w:tblW w:w="10205" w:type="dxa"/>
        <w:jc w:val="left"/>
        <w:tblInd w:w="0" w:type="dxa"/>
        <w:tblCellMar>
          <w:top w:w="28" w:type="dxa"/>
          <w:left w:w="28" w:type="dxa"/>
          <w:bottom w:w="28" w:type="dxa"/>
          <w:right w:w="28" w:type="dxa"/>
        </w:tblCellMar>
      </w:tblPr>
      <w:tblGrid>
        <w:gridCol w:w="124"/>
        <w:gridCol w:w="109"/>
        <w:gridCol w:w="109"/>
        <w:gridCol w:w="2883"/>
        <w:gridCol w:w="2883"/>
        <w:gridCol w:w="40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40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left w:val="single" w:sz="8" w:space="0" w:color="503C64"/>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360" w:before="0" w:after="283"/>
              <w:jc w:val="both"/>
              <w:rPr>
                <w:color w:val="000000"/>
              </w:rPr>
            </w:pPr>
            <w:r>
              <w:rPr>
                <w:color w:val="000000"/>
              </w:rPr>
              <w:t>“</w:t>
            </w:r>
            <w:r>
              <w:rPr>
                <w:rFonts w:ascii="Arial;sans-serif" w:hAnsi="Arial;sans-serif"/>
                <w:b w:val="false"/>
                <w:color w:val="000000"/>
                <w:sz w:val="22"/>
              </w:rPr>
              <w:t>Throughout this more challenging market environment we remained focused on our mission to scale the Firm while providing world-class strategic and financial advice to our clients. We continue to invest in talent to drive revenue growth by broadening our industry reach and expanding our product capabilities,” stated Andrew Bednar, Chief Executive Officer.</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986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0" w:after="200"/>
        <w:rPr/>
      </w:pPr>
      <w:r>
        <w:rPr/>
      </w:r>
    </w:p>
    <w:p>
      <w:pPr>
        <w:pStyle w:val="TextBody"/>
        <w:spacing w:lineRule="auto" w:line="360" w:before="200" w:after="200"/>
        <w:rPr/>
      </w:pPr>
      <w:r>
        <w:rPr>
          <w:rFonts w:ascii="Arial;sans-serif" w:hAnsi="Arial;sans-serif"/>
          <w:b/>
          <w:color w:val="000000"/>
          <w:sz w:val="22"/>
        </w:rPr>
        <w:t>NEW YORK, NY, May 4, 2023</w:t>
      </w:r>
      <w:r>
        <w:rPr>
          <w:color w:val="000000"/>
        </w:rPr>
        <w:t xml:space="preserve"> – </w:t>
      </w:r>
      <w:r>
        <w:rPr>
          <w:rFonts w:ascii="Arial;sans-serif" w:hAnsi="Arial;sans-serif"/>
          <w:b w:val="false"/>
          <w:color w:val="000000"/>
          <w:sz w:val="22"/>
        </w:rPr>
        <w:t xml:space="preserve">Perella Weinberg Partners (the “Firm” or “PWP”) (NASDAQ:PWP) today reported financial results for the first quarter ended March 31,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r>
        <w:br w:type="page"/>
      </w:r>
    </w:p>
    <w:p>
      <w:pPr>
        <w:pStyle w:val="TextBody"/>
        <w:spacing w:lineRule="auto" w:line="240" w:before="0" w:after="0"/>
        <w:jc w:val="both"/>
        <w:rPr/>
      </w:pPr>
      <w:r>
        <w:rPr/>
        <w:drawing>
          <wp:inline distT="0" distB="63500" distL="0" distR="0">
            <wp:extent cx="1371600" cy="6762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716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75030"/>
                <wp:effectExtent l="0" t="0" r="0" b="0"/>
                <wp:wrapNone/>
                <wp:docPr id="6" name="Frame4"/>
                <a:graphic xmlns:a="http://schemas.openxmlformats.org/drawingml/2006/main">
                  <a:graphicData uri="http://schemas.microsoft.com/office/word/2010/wordprocessingShape">
                    <wps:wsp>
                      <wps:cNvSpPr txBox="1"/>
                      <wps:spPr>
                        <a:xfrm>
                          <a:off x="0" y="0"/>
                          <a:ext cx="6480175" cy="875030"/>
                        </a:xfrm>
                        <a:prstGeom prst="rect"/>
                      </wps:spPr>
                      <wps:txb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Selected Financial Data (Unaudited)</w:t>
      </w:r>
    </w:p>
    <w:p>
      <w:pPr>
        <w:pStyle w:val="TextBody"/>
        <w:spacing w:before="0" w:after="0"/>
        <w:jc w:val="center"/>
        <w:rPr/>
      </w:pPr>
      <w:r>
        <w:rPr/>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1356"/>
        <w:gridCol w:w="1038"/>
        <w:gridCol w:w="1044"/>
        <w:gridCol w:w="109"/>
        <w:gridCol w:w="109"/>
        <w:gridCol w:w="109"/>
        <w:gridCol w:w="211"/>
        <w:gridCol w:w="856"/>
        <w:gridCol w:w="286"/>
        <w:gridCol w:w="109"/>
        <w:gridCol w:w="109"/>
        <w:gridCol w:w="109"/>
        <w:gridCol w:w="211"/>
        <w:gridCol w:w="856"/>
        <w:gridCol w:w="286"/>
        <w:gridCol w:w="109"/>
        <w:gridCol w:w="109"/>
        <w:gridCol w:w="109"/>
        <w:gridCol w:w="211"/>
        <w:gridCol w:w="856"/>
        <w:gridCol w:w="286"/>
        <w:gridCol w:w="109"/>
        <w:gridCol w:w="109"/>
        <w:gridCol w:w="109"/>
        <w:gridCol w:w="211"/>
        <w:gridCol w:w="856"/>
        <w:gridCol w:w="333"/>
      </w:tblGrid>
      <w:tr>
        <w:trPr/>
        <w:tc>
          <w:tcPr>
            <w:tcW w:w="1356"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r>
      <w:tr>
        <w:trPr/>
        <w:tc>
          <w:tcPr>
            <w:tcW w:w="3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3" w:type="dxa"/>
            <w:gridSpan w:val="9"/>
            <w:tcBorders>
              <w:bottom w:val="single" w:sz="8" w:space="0" w:color="B6B6B6"/>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503C64"/>
                <w:sz w:val="20"/>
              </w:rPr>
            </w:pPr>
            <w:r>
              <w:rPr>
                <w:rFonts w:ascii="Arial;sans-serif" w:hAnsi="Arial;sans-serif"/>
                <w:b/>
                <w:color w:val="503C64"/>
                <w:sz w:val="20"/>
              </w:rPr>
              <w:t>U.S. GAAP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0" w:type="dxa"/>
            <w:gridSpan w:val="9"/>
            <w:tcBorders>
              <w:bottom w:val="single" w:sz="8" w:space="0" w:color="B6B6B6"/>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503C64"/>
                <w:sz w:val="20"/>
              </w:rPr>
            </w:pPr>
            <w:r>
              <w:rPr>
                <w:rFonts w:ascii="Arial;sans-serif" w:hAnsi="Arial;sans-serif"/>
                <w:b/>
                <w:color w:val="503C64"/>
                <w:sz w:val="20"/>
              </w:rPr>
              <w:t>Adjusted</w:t>
            </w:r>
          </w:p>
        </w:tc>
      </w:tr>
      <w:tr>
        <w:trPr/>
        <w:tc>
          <w:tcPr>
            <w:tcW w:w="3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0" w:type="dxa"/>
            <w:gridSpan w:val="21"/>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20"/>
              </w:rPr>
            </w:pPr>
            <w:r>
              <w:rPr>
                <w:rFonts w:ascii="Arial;sans-serif" w:hAnsi="Arial;sans-serif"/>
                <w:b/>
                <w:color w:val="503C64"/>
                <w:sz w:val="20"/>
              </w:rPr>
              <w:t>Three Months Ended March 31,</w:t>
            </w:r>
          </w:p>
        </w:tc>
      </w:tr>
      <w:tr>
        <w:trPr/>
        <w:tc>
          <w:tcPr>
            <w:tcW w:w="3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20"/>
              </w:rPr>
            </w:pPr>
            <w:r>
              <w:rPr>
                <w:rFonts w:ascii="Arial;sans-serif" w:hAnsi="Arial;sans-serif"/>
                <w:b/>
                <w:color w:val="503C64"/>
                <w:sz w:val="20"/>
              </w:rPr>
              <w:t>2023</w:t>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B6B6B6"/>
              <w:bottom w:val="single" w:sz="8" w:space="0" w:color="B6B6B6"/>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503C64"/>
                <w:sz w:val="20"/>
              </w:rPr>
            </w:pPr>
            <w:r>
              <w:rPr>
                <w:rFonts w:ascii="Arial;sans-serif" w:hAnsi="Arial;sans-serif"/>
                <w:b/>
                <w:color w:val="503C64"/>
                <w:sz w:val="20"/>
              </w:rPr>
              <w:t>2022</w:t>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B6B6B6"/>
              <w:bottom w:val="single" w:sz="8" w:space="0" w:color="B6B6B6"/>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503C64"/>
                <w:sz w:val="20"/>
              </w:rPr>
            </w:pPr>
            <w:r>
              <w:rPr>
                <w:rFonts w:ascii="Arial;sans-serif" w:hAnsi="Arial;sans-serif"/>
                <w:b/>
                <w:color w:val="503C64"/>
                <w:sz w:val="20"/>
              </w:rPr>
              <w:t>2023</w:t>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top w:val="single" w:sz="8" w:space="0" w:color="B6B6B6"/>
              <w:bottom w:val="single" w:sz="8" w:space="0" w:color="B6B6B6"/>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503C64"/>
                <w:sz w:val="20"/>
              </w:rPr>
            </w:pPr>
            <w:r>
              <w:rPr>
                <w:rFonts w:ascii="Arial;sans-serif" w:hAnsi="Arial;sans-serif"/>
                <w:b/>
                <w:color w:val="503C64"/>
                <w:sz w:val="20"/>
              </w:rPr>
              <w:t>2022</w:t>
            </w:r>
          </w:p>
        </w:tc>
      </w:tr>
      <w:tr>
        <w:trPr/>
        <w:tc>
          <w:tcPr>
            <w:tcW w:w="3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0" w:type="dxa"/>
            <w:gridSpan w:val="21"/>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16"/>
              </w:rPr>
            </w:pPr>
            <w:r>
              <w:rPr>
                <w:rFonts w:ascii="Arial;sans-serif" w:hAnsi="Arial;sans-serif"/>
                <w:b/>
                <w:color w:val="503C64"/>
                <w:sz w:val="16"/>
              </w:rPr>
              <w:t>(Dollars in Thousands, Except Per Share Amounts)</w:t>
            </w:r>
          </w:p>
        </w:tc>
      </w:tr>
      <w:tr>
        <w:trPr/>
        <w:tc>
          <w:tcPr>
            <w:tcW w:w="3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131,426 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151,876 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131,426 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151,876 </w:t>
            </w:r>
          </w:p>
        </w:tc>
        <w:tc>
          <w:tcPr>
            <w:tcW w:w="3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(22,690)</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(10,359)</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11,506 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22,507 </w:t>
            </w:r>
          </w:p>
        </w:tc>
        <w:tc>
          <w:tcPr>
            <w:tcW w:w="3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Perella Weinberg Partners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(5,123)</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8,894 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(27,420)</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9,891 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20,507 </w:t>
            </w:r>
          </w:p>
        </w:tc>
        <w:tc>
          <w:tcPr>
            <w:tcW w:w="3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diluted EPS / Adjusted EPS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(0.37)</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0.19 </w:t>
            </w:r>
          </w:p>
        </w:tc>
        <w:tc>
          <w:tcPr>
            <w:tcW w:w="3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ratio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3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 margin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4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if-converted effective tax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before="0" w:after="0"/>
        <w:jc w:val="center"/>
        <w:rPr/>
      </w:pPr>
      <w:r>
        <w:rPr/>
      </w:r>
    </w:p>
    <w:p>
      <w:pPr>
        <w:pStyle w:val="TextBody"/>
        <w:jc w:val="center"/>
        <w:rPr/>
      </w:pPr>
      <w:r>
        <w:rPr/>
      </w:r>
      <w:r>
        <w:br w:type="page"/>
      </w:r>
    </w:p>
    <w:p>
      <w:pPr>
        <w:pStyle w:val="TextBody"/>
        <w:spacing w:lineRule="auto" w:line="240" w:before="0" w:after="0"/>
        <w:jc w:val="both"/>
        <w:rPr/>
      </w:pPr>
      <w:r>
        <w:rPr/>
        <w:drawing>
          <wp:inline distT="0" distB="63500" distL="0" distR="0">
            <wp:extent cx="1371600" cy="6762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3716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75030"/>
                <wp:effectExtent l="0" t="0" r="0" b="0"/>
                <wp:wrapNone/>
                <wp:docPr id="8" name="Frame5"/>
                <a:graphic xmlns:a="http://schemas.openxmlformats.org/drawingml/2006/main">
                  <a:graphicData uri="http://schemas.microsoft.com/office/word/2010/wordprocessingShape">
                    <wps:wsp>
                      <wps:cNvSpPr txBox="1"/>
                      <wps:spPr>
                        <a:xfrm>
                          <a:off x="0" y="0"/>
                          <a:ext cx="6480175" cy="875030"/>
                        </a:xfrm>
                        <a:prstGeom prst="rect"/>
                      </wps:spPr>
                      <wps:txb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503C64"/>
          <w:sz w:val="22"/>
        </w:rPr>
      </w:pPr>
      <w:r>
        <w:rPr>
          <w:rFonts w:ascii="Arial;sans-serif" w:hAnsi="Arial;sans-serif"/>
          <w:b/>
          <w:color w:val="503C64"/>
          <w:sz w:val="22"/>
        </w:rPr>
        <w:t>Revenues</w:t>
      </w:r>
    </w:p>
    <w:p>
      <w:pPr>
        <w:pStyle w:val="TextBody"/>
        <w:spacing w:before="0" w:after="0"/>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For the first quarter of 2023, revenues were $131.4 million, a decrease of 13% from $151.9 million for the first quarter of 2022. Mergers and acquisition activity was largely flat year-over-year, while financing and capital solutions revenues decreased due to a large restructuring fee event in the first quarter of 2022. In the quarter, the geographic composition of revenue shifted to be even more weighted towards U.S. business activity versus the prior year. Relative to the first quarter of 2022, the first quarter of 2023 saw a decrease in average fee size per client as well as fewer transactions with outsized fee events, despite a modest increase in the number of advisory transaction completions.</w:t>
      </w:r>
    </w:p>
    <w:p>
      <w:pPr>
        <w:pStyle w:val="TextBody"/>
        <w:spacing w:before="0" w:after="0"/>
        <w:rPr/>
      </w:pPr>
      <w:r>
        <w:rPr/>
      </w:r>
    </w:p>
    <w:p>
      <w:pPr>
        <w:pStyle w:val="TextBody"/>
        <w:spacing w:lineRule="auto" w:line="288" w:before="0" w:after="0"/>
        <w:rPr>
          <w:rFonts w:ascii="Arial;sans-serif" w:hAnsi="Arial;sans-serif"/>
          <w:b/>
          <w:color w:val="503C64"/>
          <w:sz w:val="22"/>
        </w:rPr>
      </w:pPr>
      <w:r>
        <w:rPr>
          <w:rFonts w:ascii="Arial;sans-serif" w:hAnsi="Arial;sans-serif"/>
          <w:b/>
          <w:color w:val="503C64"/>
          <w:sz w:val="22"/>
        </w:rPr>
        <w:t>Expenses</w:t>
      </w:r>
    </w:p>
    <w:tbl>
      <w:tblPr>
        <w:tblW w:w="9629" w:type="dxa"/>
        <w:jc w:val="center"/>
        <w:tblInd w:w="0" w:type="dxa"/>
        <w:tblCellMar>
          <w:top w:w="28" w:type="dxa"/>
          <w:left w:w="28" w:type="dxa"/>
          <w:bottom w:w="28" w:type="dxa"/>
          <w:right w:w="28" w:type="dxa"/>
        </w:tblCellMar>
      </w:tblPr>
      <w:tblGrid>
        <w:gridCol w:w="1112"/>
        <w:gridCol w:w="979"/>
        <w:gridCol w:w="983"/>
        <w:gridCol w:w="109"/>
        <w:gridCol w:w="109"/>
        <w:gridCol w:w="109"/>
        <w:gridCol w:w="211"/>
        <w:gridCol w:w="856"/>
        <w:gridCol w:w="286"/>
        <w:gridCol w:w="109"/>
        <w:gridCol w:w="109"/>
        <w:gridCol w:w="109"/>
        <w:gridCol w:w="211"/>
        <w:gridCol w:w="856"/>
        <w:gridCol w:w="286"/>
        <w:gridCol w:w="109"/>
        <w:gridCol w:w="109"/>
        <w:gridCol w:w="109"/>
        <w:gridCol w:w="211"/>
        <w:gridCol w:w="751"/>
        <w:gridCol w:w="286"/>
        <w:gridCol w:w="109"/>
        <w:gridCol w:w="109"/>
        <w:gridCol w:w="109"/>
        <w:gridCol w:w="211"/>
        <w:gridCol w:w="751"/>
        <w:gridCol w:w="331"/>
      </w:tblGrid>
      <w:tr>
        <w:trPr/>
        <w:tc>
          <w:tcPr>
            <w:tcW w:w="1112"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3" w:type="dxa"/>
            <w:gridSpan w:val="9"/>
            <w:tcBorders>
              <w:bottom w:val="single" w:sz="8" w:space="0" w:color="B6B6B6"/>
            </w:tcBorders>
            <w:shd w:fill="auto" w:val="clear"/>
            <w:tcMar>
              <w:top w:w="0" w:type="dxa"/>
              <w:left w:w="0" w:type="dxa"/>
              <w:bottom w:w="30" w:type="dxa"/>
              <w:right w:w="0" w:type="dxa"/>
            </w:tcMar>
            <w:vAlign w:val="center"/>
          </w:tcPr>
          <w:p>
            <w:pPr>
              <w:pStyle w:val="TableContents"/>
              <w:spacing w:lineRule="auto" w:line="240" w:before="0" w:after="0"/>
              <w:jc w:val="center"/>
              <w:rPr>
                <w:rFonts w:ascii="Arial;sans-serif" w:hAnsi="Arial;sans-serif"/>
                <w:b/>
                <w:color w:val="503C64"/>
                <w:sz w:val="20"/>
              </w:rPr>
            </w:pPr>
            <w:r>
              <w:rPr>
                <w:rFonts w:ascii="Arial;sans-serif" w:hAnsi="Arial;sans-serif"/>
                <w:b/>
                <w:color w:val="503C64"/>
                <w:sz w:val="20"/>
              </w:rPr>
              <w:t>U.S. GAAP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8" w:type="dxa"/>
            <w:gridSpan w:val="9"/>
            <w:tcBorders>
              <w:bottom w:val="single" w:sz="8" w:space="0" w:color="B6B6B6"/>
            </w:tcBorders>
            <w:shd w:fill="FFFFFF"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503C64"/>
                <w:sz w:val="20"/>
              </w:rPr>
            </w:pPr>
            <w:r>
              <w:rPr>
                <w:rFonts w:ascii="Arial;sans-serif" w:hAnsi="Arial;sans-serif"/>
                <w:b/>
                <w:color w:val="503C64"/>
                <w:sz w:val="20"/>
              </w:rPr>
              <w:t>Adjusted</w:t>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8" w:type="dxa"/>
            <w:gridSpan w:val="21"/>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20"/>
              </w:rPr>
            </w:pPr>
            <w:r>
              <w:rPr>
                <w:rFonts w:ascii="Arial;sans-serif" w:hAnsi="Arial;sans-serif"/>
                <w:b/>
                <w:color w:val="503C64"/>
                <w:sz w:val="20"/>
              </w:rPr>
              <w:t>Three Months Ended March 31,</w:t>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20"/>
              </w:rPr>
            </w:pPr>
            <w:r>
              <w:rPr>
                <w:rFonts w:ascii="Arial;sans-serif" w:hAnsi="Arial;sans-serif"/>
                <w:b/>
                <w:color w:val="503C64"/>
                <w:sz w:val="20"/>
              </w:rPr>
              <w:t>2023</w:t>
            </w:r>
          </w:p>
        </w:tc>
        <w:tc>
          <w:tcPr>
            <w:tcW w:w="327" w:type="dxa"/>
            <w:gridSpan w:val="3"/>
            <w:tcBorders>
              <w:top w:val="single" w:sz="8" w:space="0" w:color="B6B6B6"/>
              <w:bottom w:val="single" w:sz="8" w:space="0" w:color="B6B6B6"/>
            </w:tcBorders>
            <w:shd w:fill="auto" w:val="clear"/>
            <w:tcMar>
              <w:left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B6B6B6"/>
              <w:bottom w:val="single" w:sz="8" w:space="0" w:color="B6B6B6"/>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503C64"/>
                <w:sz w:val="20"/>
              </w:rPr>
            </w:pPr>
            <w:r>
              <w:rPr>
                <w:rFonts w:ascii="Arial;sans-serif" w:hAnsi="Arial;sans-serif"/>
                <w:b/>
                <w:color w:val="503C64"/>
                <w:sz w:val="20"/>
              </w:rPr>
              <w:t>2022</w:t>
            </w:r>
          </w:p>
        </w:tc>
        <w:tc>
          <w:tcPr>
            <w:tcW w:w="327" w:type="dxa"/>
            <w:gridSpan w:val="3"/>
            <w:tcBorders>
              <w:top w:val="single" w:sz="8" w:space="0" w:color="B6B6B6"/>
              <w:bottom w:val="single" w:sz="8" w:space="0" w:color="B6B6B6"/>
            </w:tcBorders>
            <w:shd w:fill="auto" w:val="clear"/>
            <w:tcMar>
              <w:left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B6B6B6"/>
              <w:bottom w:val="single" w:sz="8" w:space="0" w:color="B6B6B6"/>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503C64"/>
                <w:sz w:val="20"/>
              </w:rPr>
            </w:pPr>
            <w:r>
              <w:rPr>
                <w:rFonts w:ascii="Arial;sans-serif" w:hAnsi="Arial;sans-serif"/>
                <w:b/>
                <w:color w:val="503C64"/>
                <w:sz w:val="20"/>
              </w:rPr>
              <w:t>2023</w:t>
            </w:r>
          </w:p>
        </w:tc>
        <w:tc>
          <w:tcPr>
            <w:tcW w:w="327" w:type="dxa"/>
            <w:gridSpan w:val="3"/>
            <w:tcBorders>
              <w:top w:val="single" w:sz="8" w:space="0" w:color="B6B6B6"/>
              <w:bottom w:val="single" w:sz="8" w:space="0" w:color="B6B6B6"/>
            </w:tcBorders>
            <w:shd w:fill="auto" w:val="clear"/>
            <w:tcMar>
              <w:left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8" w:space="0" w:color="B6B6B6"/>
              <w:bottom w:val="single" w:sz="8" w:space="0" w:color="B6B6B6"/>
            </w:tcBorders>
            <w:shd w:fill="auto"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color w:val="503C64"/>
                <w:sz w:val="20"/>
              </w:rPr>
            </w:pPr>
            <w:r>
              <w:rPr>
                <w:rFonts w:ascii="Arial;sans-serif" w:hAnsi="Arial;sans-serif"/>
                <w:b/>
                <w:color w:val="503C64"/>
                <w:sz w:val="20"/>
              </w:rPr>
              <w:t>2022</w:t>
            </w:r>
          </w:p>
        </w:tc>
      </w:tr>
      <w:tr>
        <w:trPr/>
        <w:tc>
          <w:tcPr>
            <w:tcW w:w="3074"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28" w:type="dxa"/>
            <w:gridSpan w:val="21"/>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16"/>
              </w:rPr>
            </w:pPr>
            <w:r>
              <w:rPr>
                <w:rFonts w:ascii="Arial;sans-serif" w:hAnsi="Arial;sans-serif"/>
                <w:b/>
                <w:color w:val="503C64"/>
                <w:sz w:val="16"/>
              </w:rPr>
              <w:t>(Dollars in Thousands)</w:t>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Total compensation and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117,634 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128,135 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85,408 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97,201 </w:t>
            </w:r>
          </w:p>
        </w:tc>
        <w:tc>
          <w:tcPr>
            <w:tcW w:w="3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i/>
                <w:color w:val="000000"/>
                <w:sz w:val="20"/>
              </w:rPr>
              <w:t>% of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90 </w:t>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84 </w:t>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65 </w:t>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64 </w:t>
            </w:r>
          </w:p>
        </w:tc>
        <w:tc>
          <w:tcPr>
            <w:tcW w:w="33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Non-compensation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36,482 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34,100 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34,512 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32,168 </w:t>
            </w:r>
          </w:p>
        </w:tc>
        <w:tc>
          <w:tcPr>
            <w:tcW w:w="3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i/>
                <w:color w:val="000000"/>
                <w:sz w:val="20"/>
              </w:rPr>
              <w:t>% of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28 </w:t>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22 </w:t>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26 </w:t>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21 </w:t>
            </w:r>
          </w:p>
        </w:tc>
        <w:tc>
          <w:tcPr>
            <w:tcW w:w="33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t>
            </w:r>
          </w:p>
        </w:tc>
      </w:tr>
    </w:tbl>
    <w:p>
      <w:pPr>
        <w:pStyle w:val="TextBody"/>
        <w:spacing w:before="0" w:after="0"/>
        <w:jc w:val="center"/>
        <w:rPr/>
      </w:pPr>
      <w:r>
        <w:rPr/>
      </w:r>
    </w:p>
    <w:p>
      <w:pPr>
        <w:pStyle w:val="TextBody"/>
        <w:spacing w:before="0" w:after="0"/>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 xml:space="preserve">GAAP total compensation and benefits were $117.6 million for the first quarter of 2023, compared to $128.1 million for the first quarter of 2022. Adjusted total compensation and benefits were $85.4 million for the first quarter of 2023 as compared to $97.2 million for the same period a year ago. The decrease in both GAAP total compensation and benefits and adjusted total compensation and benefits was due to a smaller bonus accrual on an absolute dollar basis associated with lower revenues, despite a higher compensation margin. On both a GAAP and adjusted basis, the smaller bonus accrual amounts were partially offset by the accelerated vesting of certain awards based on plan terms, with a large percentage tied to retirement eligible individuals whose expense was fully recognized at the time of grant. </w:t>
      </w:r>
    </w:p>
    <w:p>
      <w:pPr>
        <w:pStyle w:val="TextBody"/>
        <w:spacing w:before="0" w:after="0"/>
        <w:jc w:val="both"/>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GAAP non-compensation expenses were $36.5 million for the first quarter of 2023, compared with $34.1 million for the first quarter of 2022. Adjusted non-compensation expenses were $34.5 million for the first quarter of 2023, compared with $32.2 million for the same period a year ago. The increase experienced in both GAAP non-compensation expenses and adjusted non-compensation expenses was largely driven by an increase in travel and related expenses, higher rent and occupancy costs primarily related to overlapping rent in New York and London due to headquarters renovations, and an increase in technology spend, partially offset by a moderation in professional fees and a reduction in co-advisory fees versus the prior year period.</w:t>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lineRule="auto" w:line="240" w:before="0" w:after="0"/>
        <w:jc w:val="both"/>
        <w:rPr/>
      </w:pPr>
      <w:r>
        <w:rPr/>
        <w:drawing>
          <wp:inline distT="0" distB="63500" distL="0" distR="0">
            <wp:extent cx="1371600" cy="67627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3716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75030"/>
                <wp:effectExtent l="0" t="0" r="0" b="0"/>
                <wp:wrapNone/>
                <wp:docPr id="10" name="Frame6"/>
                <a:graphic xmlns:a="http://schemas.openxmlformats.org/drawingml/2006/main">
                  <a:graphicData uri="http://schemas.microsoft.com/office/word/2010/wordprocessingShape">
                    <wps:wsp>
                      <wps:cNvSpPr txBox="1"/>
                      <wps:spPr>
                        <a:xfrm>
                          <a:off x="0" y="0"/>
                          <a:ext cx="6480175" cy="875030"/>
                        </a:xfrm>
                        <a:prstGeom prst="rect"/>
                      </wps:spPr>
                      <wps:txb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lineRule="auto" w:line="288" w:before="0" w:after="0"/>
        <w:jc w:val="both"/>
        <w:rPr>
          <w:rFonts w:ascii="Arial;sans-serif" w:hAnsi="Arial;sans-serif"/>
          <w:b/>
          <w:color w:val="503C64"/>
          <w:sz w:val="22"/>
        </w:rPr>
      </w:pPr>
      <w:r>
        <w:rPr>
          <w:rFonts w:ascii="Arial;sans-serif" w:hAnsi="Arial;sans-serif"/>
          <w:b/>
          <w:color w:val="503C64"/>
          <w:sz w:val="22"/>
        </w:rPr>
        <w:t>Provision for Income Taxes</w:t>
      </w:r>
    </w:p>
    <w:p>
      <w:pPr>
        <w:pStyle w:val="TextBody"/>
        <w:spacing w:before="0" w:after="0"/>
        <w:jc w:val="both"/>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Perella Weinberg Partners currently owns 49.24% of the operating partnership (PWP Holdings LP) and is subject to U.S. federal and state corporate income tax. Income earned by the operating partnership is subject to certain state and foreign income taxes.</w:t>
      </w:r>
    </w:p>
    <w:p>
      <w:pPr>
        <w:pStyle w:val="TextBody"/>
        <w:spacing w:before="0" w:after="0"/>
        <w:jc w:val="both"/>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 xml:space="preserve">For purposes of calculating adjusted if-converted net income, we have presented our results as if all partnership units had been converted to shares of Class A Common Stock, and as if all of our adjusted income for the period was subjected to U.S. corporate income tax. For the three months ended March 31, 2023, the effective tax rate for adjusted if-converted net income was 31%. </w:t>
      </w:r>
    </w:p>
    <w:p>
      <w:pPr>
        <w:pStyle w:val="TextBody"/>
        <w:spacing w:before="0" w:after="0"/>
        <w:jc w:val="both"/>
        <w:rPr/>
      </w:pPr>
      <w:r>
        <w:rPr/>
      </w:r>
    </w:p>
    <w:p>
      <w:pPr>
        <w:pStyle w:val="TextBody"/>
        <w:spacing w:lineRule="auto" w:line="288" w:before="0" w:after="0"/>
        <w:jc w:val="both"/>
        <w:rPr>
          <w:rFonts w:ascii="Arial;sans-serif" w:hAnsi="Arial;sans-serif"/>
          <w:b/>
          <w:color w:val="503C64"/>
          <w:sz w:val="22"/>
        </w:rPr>
      </w:pPr>
      <w:r>
        <w:rPr>
          <w:rFonts w:ascii="Arial;sans-serif" w:hAnsi="Arial;sans-serif"/>
          <w:b/>
          <w:color w:val="503C64"/>
          <w:sz w:val="22"/>
        </w:rPr>
        <w:t>Balance Sheet and Capital Management</w:t>
      </w:r>
    </w:p>
    <w:p>
      <w:pPr>
        <w:pStyle w:val="TextBody"/>
        <w:spacing w:before="0" w:after="0"/>
        <w:jc w:val="both"/>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As of March 31, 2023, PWP had $129.9 million of cash and short-term investments in U.S. Treasury securities. The Firm has no outstanding indebtedness and has an undrawn revolving credit facility.</w:t>
      </w:r>
    </w:p>
    <w:p>
      <w:pPr>
        <w:pStyle w:val="TextBody"/>
        <w:spacing w:before="0" w:after="0"/>
        <w:jc w:val="both"/>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During the three months ended March 31, 2023, PWP returned $32.8 million through the repurchase of 1,457,304 shares at an average price per share of $10.12 in open market transactions pursuant to PWP’s Class A common stock repurchase program, the net settlement of 1,121,494 share equivalents to satisfy tax withholding obligations at an average price per share of $10.13 and the payment of $6.6 million in pro rata distributions to limited partners which allowed PWP to pay its dividends on Class A common stock of $3.5 million.</w:t>
      </w:r>
    </w:p>
    <w:p>
      <w:pPr>
        <w:pStyle w:val="TextBody"/>
        <w:spacing w:before="0" w:after="0"/>
        <w:jc w:val="both"/>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The Board of Directors has declared a quarterly dividend of $0.07 per share of Class A common stock. The dividend will be paid on June 9, 2023 to Class A common stockholders of record on May 26, 2023.</w:t>
      </w:r>
    </w:p>
    <w:p>
      <w:pPr>
        <w:pStyle w:val="TextBody"/>
        <w:spacing w:before="0" w:after="0"/>
        <w:jc w:val="both"/>
        <w:rPr/>
      </w:pPr>
      <w:r>
        <w:rPr/>
      </w:r>
    </w:p>
    <w:p>
      <w:pPr>
        <w:pStyle w:val="TextBody"/>
        <w:jc w:val="both"/>
        <w:rPr/>
      </w:pPr>
      <w:r>
        <w:rPr/>
      </w:r>
      <w:r>
        <w:br w:type="page"/>
      </w:r>
    </w:p>
    <w:p>
      <w:pPr>
        <w:pStyle w:val="TextBody"/>
        <w:spacing w:lineRule="auto" w:line="240" w:before="0" w:after="0"/>
        <w:jc w:val="both"/>
        <w:rPr/>
      </w:pPr>
      <w:r>
        <w:rPr/>
        <w:drawing>
          <wp:inline distT="0" distB="63500" distL="0" distR="0">
            <wp:extent cx="1371600" cy="67627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3716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75030"/>
                <wp:effectExtent l="0" t="0" r="0" b="0"/>
                <wp:wrapNone/>
                <wp:docPr id="12" name="Frame7"/>
                <a:graphic xmlns:a="http://schemas.openxmlformats.org/drawingml/2006/main">
                  <a:graphicData uri="http://schemas.microsoft.com/office/word/2010/wordprocessingShape">
                    <wps:wsp>
                      <wps:cNvSpPr txBox="1"/>
                      <wps:spPr>
                        <a:xfrm>
                          <a:off x="0" y="0"/>
                          <a:ext cx="6480175" cy="875030"/>
                        </a:xfrm>
                        <a:prstGeom prst="rect"/>
                      </wps:spPr>
                      <wps:txb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lineRule="auto" w:line="288" w:before="0" w:after="0"/>
        <w:jc w:val="both"/>
        <w:rPr>
          <w:rFonts w:ascii="Arial;sans-serif" w:hAnsi="Arial;sans-serif"/>
          <w:b/>
          <w:color w:val="503C64"/>
          <w:sz w:val="22"/>
        </w:rPr>
      </w:pPr>
      <w:r>
        <w:rPr>
          <w:rFonts w:ascii="Arial;sans-serif" w:hAnsi="Arial;sans-serif"/>
          <w:b/>
          <w:color w:val="503C64"/>
          <w:sz w:val="22"/>
        </w:rPr>
        <w:t>Conference Call and Webcast</w:t>
      </w:r>
    </w:p>
    <w:p>
      <w:pPr>
        <w:pStyle w:val="TextBody"/>
        <w:spacing w:before="0" w:after="0"/>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Management will host a webcast and conference call on Thursday, May 4, 2023 at 9:00 am ET to discuss PWP’s financial results for the first quarter ended March 31, 2023.</w:t>
      </w:r>
    </w:p>
    <w:p>
      <w:pPr>
        <w:pStyle w:val="TextBody"/>
        <w:spacing w:before="0" w:after="0"/>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The conference call will be made available in the Investors section of PWP’s website at https://investors.pwpartners.com/.</w:t>
      </w:r>
    </w:p>
    <w:p>
      <w:pPr>
        <w:pStyle w:val="TextBody"/>
        <w:spacing w:before="0" w:after="0"/>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The conference call can also be accessed by the following dial-in information:</w:t>
      </w:r>
    </w:p>
    <w:p>
      <w:pPr>
        <w:pStyle w:val="TextBody"/>
        <w:spacing w:before="0" w:after="0"/>
        <w:rPr/>
      </w:pPr>
      <w:r>
        <w:rPr/>
      </w:r>
    </w:p>
    <w:p>
      <w:pPr>
        <w:pStyle w:val="TextBody"/>
        <w:spacing w:lineRule="auto" w:line="360" w:before="0" w:after="0"/>
        <w:ind w:left="0" w:right="0" w:hanging="424"/>
        <w:rPr/>
      </w:pPr>
      <w:r>
        <w:rPr>
          <w:color w:val="000000"/>
        </w:rPr>
        <w:t>•</w:t>
      </w:r>
      <w:r>
        <w:rPr>
          <w:rFonts w:ascii="Arial;sans-serif" w:hAnsi="Arial;sans-serif"/>
          <w:b w:val="false"/>
          <w:color w:val="000000"/>
          <w:sz w:val="22"/>
        </w:rPr>
        <w:t>Domestic: (800) 225-9448</w:t>
      </w:r>
    </w:p>
    <w:p>
      <w:pPr>
        <w:pStyle w:val="TextBody"/>
        <w:spacing w:lineRule="auto" w:line="360" w:before="0" w:after="0"/>
        <w:ind w:left="0" w:right="0" w:hanging="424"/>
        <w:rPr/>
      </w:pPr>
      <w:r>
        <w:rPr>
          <w:color w:val="000000"/>
        </w:rPr>
        <w:t>•</w:t>
      </w:r>
      <w:r>
        <w:rPr>
          <w:rFonts w:ascii="Arial;sans-serif" w:hAnsi="Arial;sans-serif"/>
          <w:b w:val="false"/>
          <w:color w:val="000000"/>
          <w:sz w:val="22"/>
        </w:rPr>
        <w:t>International: (203) 518-9708</w:t>
      </w:r>
    </w:p>
    <w:p>
      <w:pPr>
        <w:pStyle w:val="TextBody"/>
        <w:spacing w:lineRule="auto" w:line="360" w:before="0" w:after="0"/>
        <w:ind w:left="0" w:right="0" w:hanging="424"/>
        <w:rPr/>
      </w:pPr>
      <w:r>
        <w:rPr>
          <w:color w:val="000000"/>
        </w:rPr>
        <w:t>•</w:t>
      </w:r>
      <w:r>
        <w:rPr>
          <w:rFonts w:ascii="Arial;sans-serif" w:hAnsi="Arial;sans-serif"/>
          <w:b w:val="false"/>
          <w:color w:val="000000"/>
          <w:sz w:val="22"/>
        </w:rPr>
        <w:t>Conference ID: PWPQ123</w:t>
      </w:r>
    </w:p>
    <w:p>
      <w:pPr>
        <w:pStyle w:val="TextBody"/>
        <w:spacing w:before="0" w:after="0"/>
        <w:rPr/>
      </w:pPr>
      <w:r>
        <w:rPr/>
      </w:r>
    </w:p>
    <w:p>
      <w:pPr>
        <w:pStyle w:val="TextBody"/>
        <w:spacing w:lineRule="auto" w:line="288" w:before="0" w:after="0"/>
        <w:jc w:val="both"/>
        <w:rPr>
          <w:rFonts w:ascii="Arial;sans-serif" w:hAnsi="Arial;sans-serif"/>
          <w:b/>
          <w:color w:val="503C64"/>
          <w:sz w:val="22"/>
        </w:rPr>
      </w:pPr>
      <w:r>
        <w:rPr>
          <w:rFonts w:ascii="Arial;sans-serif" w:hAnsi="Arial;sans-serif"/>
          <w:b/>
          <w:color w:val="503C64"/>
          <w:sz w:val="22"/>
        </w:rPr>
        <w:t>Replay</w:t>
      </w:r>
    </w:p>
    <w:p>
      <w:pPr>
        <w:pStyle w:val="TextBody"/>
        <w:spacing w:before="0" w:after="0"/>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A replay of the call will also be available two hours after the live call through May 11, 2023. To access the replay, dial (800) 839-3011 (Domestic) or (402) 220-7231 (International). The replay can also be accessed on the investors section of PWP’s website at https://investors.pwpartners.com/.</w:t>
      </w:r>
    </w:p>
    <w:p>
      <w:pPr>
        <w:pStyle w:val="TextBody"/>
        <w:spacing w:before="0" w:after="0"/>
        <w:jc w:val="both"/>
        <w:rPr/>
      </w:pPr>
      <w:r>
        <w:rPr/>
      </w:r>
    </w:p>
    <w:p>
      <w:pPr>
        <w:pStyle w:val="TextBody"/>
        <w:spacing w:lineRule="auto" w:line="288" w:before="0" w:after="0"/>
        <w:jc w:val="both"/>
        <w:rPr>
          <w:rFonts w:ascii="Arial;sans-serif" w:hAnsi="Arial;sans-serif"/>
          <w:b/>
          <w:color w:val="503C64"/>
          <w:sz w:val="22"/>
        </w:rPr>
      </w:pPr>
      <w:r>
        <w:rPr>
          <w:rFonts w:ascii="Arial;sans-serif" w:hAnsi="Arial;sans-serif"/>
          <w:b/>
          <w:color w:val="503C64"/>
          <w:sz w:val="22"/>
        </w:rPr>
        <w:t>About PWP</w:t>
      </w:r>
    </w:p>
    <w:p>
      <w:pPr>
        <w:pStyle w:val="TextBody"/>
        <w:spacing w:before="0" w:after="0"/>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Perella Weinberg Partners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more than 650 employees, PWP currently maintains offices in New York, Houston, London, Calgary, Chicago, Denver, Los Angeles, Paris, Munich, and San Francisco. The financial information of PWP herein refers to the business operations of PWP Holdings LP and Subsidiaries.</w:t>
      </w:r>
    </w:p>
    <w:p>
      <w:pPr>
        <w:pStyle w:val="TextBody"/>
        <w:spacing w:before="0" w:after="0"/>
        <w:jc w:val="both"/>
        <w:rPr/>
      </w:pPr>
      <w:r>
        <w:rPr/>
      </w:r>
    </w:p>
    <w:p>
      <w:pPr>
        <w:pStyle w:val="TextBody"/>
        <w:spacing w:lineRule="auto" w:line="288" w:before="0" w:after="0"/>
        <w:jc w:val="both"/>
        <w:rPr>
          <w:rFonts w:ascii="Arial;sans-serif" w:hAnsi="Arial;sans-serif"/>
          <w:b/>
          <w:color w:val="503C64"/>
          <w:sz w:val="22"/>
        </w:rPr>
      </w:pPr>
      <w:r>
        <w:rPr>
          <w:rFonts w:ascii="Arial;sans-serif" w:hAnsi="Arial;sans-serif"/>
          <w:b/>
          <w:color w:val="503C64"/>
          <w:sz w:val="22"/>
        </w:rPr>
        <w:t>Additional Information</w:t>
      </w:r>
    </w:p>
    <w:p>
      <w:pPr>
        <w:pStyle w:val="TextBody"/>
        <w:spacing w:before="0" w:after="0"/>
        <w:jc w:val="both"/>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 xml:space="preserve">For additional information that management believes to be useful for investors, please refer to the latest presentation posted on the Investors section of PWP’s website at https://investors.pwpartners.com/. </w:t>
      </w:r>
    </w:p>
    <w:p>
      <w:pPr>
        <w:pStyle w:val="TextBody"/>
        <w:spacing w:before="0" w:after="0"/>
        <w:jc w:val="both"/>
        <w:rPr/>
      </w:pPr>
      <w:r>
        <w:rPr/>
      </w:r>
    </w:p>
    <w:p>
      <w:pPr>
        <w:pStyle w:val="TextBody"/>
        <w:spacing w:lineRule="auto" w:line="288" w:before="0" w:after="0"/>
        <w:jc w:val="both"/>
        <w:rPr>
          <w:rFonts w:ascii="Arial;sans-serif" w:hAnsi="Arial;sans-serif"/>
          <w:b/>
          <w:color w:val="503C64"/>
          <w:sz w:val="22"/>
        </w:rPr>
      </w:pPr>
      <w:r>
        <w:rPr>
          <w:rFonts w:ascii="Arial;sans-serif" w:hAnsi="Arial;sans-serif"/>
          <w:b/>
          <w:color w:val="503C64"/>
          <w:sz w:val="22"/>
        </w:rPr>
        <w:t>Contacts</w:t>
      </w:r>
    </w:p>
    <w:p>
      <w:pPr>
        <w:pStyle w:val="TextBody"/>
        <w:spacing w:before="0" w:after="0"/>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For Perella Weinberg Partners Investor Relations: investors@pwpartners.com</w:t>
      </w:r>
    </w:p>
    <w:p>
      <w:pPr>
        <w:pStyle w:val="TextBody"/>
        <w:spacing w:lineRule="auto" w:line="360"/>
        <w:rPr>
          <w:rFonts w:ascii="Arial;sans-serif" w:hAnsi="Arial;sans-serif"/>
          <w:b w:val="false"/>
          <w:color w:val="000000"/>
          <w:sz w:val="22"/>
        </w:rPr>
      </w:pPr>
      <w:r>
        <w:rPr>
          <w:rFonts w:ascii="Arial;sans-serif" w:hAnsi="Arial;sans-serif"/>
          <w:b w:val="false"/>
          <w:color w:val="000000"/>
          <w:sz w:val="22"/>
        </w:rPr>
        <w:t>For Perella Weinberg Partners Media: media@pwpartners.com</w:t>
      </w:r>
      <w:r>
        <w:br w:type="page"/>
      </w:r>
    </w:p>
    <w:p>
      <w:pPr>
        <w:pStyle w:val="TextBody"/>
        <w:spacing w:lineRule="auto" w:line="240" w:before="0" w:after="0"/>
        <w:jc w:val="both"/>
        <w:rPr/>
      </w:pPr>
      <w:r>
        <w:rPr/>
        <w:drawing>
          <wp:inline distT="0" distB="63500" distL="0" distR="0">
            <wp:extent cx="1371600" cy="67627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3716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75030"/>
                <wp:effectExtent l="0" t="0" r="0" b="0"/>
                <wp:wrapNone/>
                <wp:docPr id="14" name="Frame8"/>
                <a:graphic xmlns:a="http://schemas.openxmlformats.org/drawingml/2006/main">
                  <a:graphicData uri="http://schemas.microsoft.com/office/word/2010/wordprocessingShape">
                    <wps:wsp>
                      <wps:cNvSpPr txBox="1"/>
                      <wps:spPr>
                        <a:xfrm>
                          <a:off x="0" y="0"/>
                          <a:ext cx="6480175" cy="875030"/>
                        </a:xfrm>
                        <a:prstGeom prst="rect"/>
                      </wps:spPr>
                      <wps:txb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lineRule="auto" w:line="288" w:before="0" w:after="0"/>
        <w:jc w:val="both"/>
        <w:rPr>
          <w:rFonts w:ascii="Arial;sans-serif" w:hAnsi="Arial;sans-serif"/>
          <w:b/>
          <w:color w:val="503C64"/>
          <w:sz w:val="22"/>
        </w:rPr>
      </w:pPr>
      <w:r>
        <w:rPr>
          <w:rFonts w:ascii="Arial;sans-serif" w:hAnsi="Arial;sans-serif"/>
          <w:b/>
          <w:color w:val="503C64"/>
          <w:sz w:val="22"/>
        </w:rPr>
        <w:t>Non-GAAP Financial Measures</w:t>
      </w:r>
    </w:p>
    <w:p>
      <w:pPr>
        <w:pStyle w:val="TextBody"/>
        <w:spacing w:before="0" w:after="0"/>
        <w:jc w:val="both"/>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pStyle w:val="TextBody"/>
        <w:spacing w:before="0" w:after="0"/>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pStyle w:val="TextBody"/>
        <w:spacing w:before="0" w:after="0"/>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pStyle w:val="TextBody"/>
        <w:spacing w:before="0" w:after="0"/>
        <w:jc w:val="both"/>
        <w:rPr/>
      </w:pPr>
      <w:r>
        <w:rPr/>
      </w:r>
    </w:p>
    <w:p>
      <w:pPr>
        <w:pStyle w:val="TextBody"/>
        <w:spacing w:lineRule="auto" w:line="288" w:before="0" w:after="0"/>
        <w:rPr>
          <w:rFonts w:ascii="Arial;sans-serif" w:hAnsi="Arial;sans-serif"/>
          <w:b/>
          <w:color w:val="503C64"/>
          <w:sz w:val="22"/>
        </w:rPr>
      </w:pPr>
      <w:r>
        <w:rPr>
          <w:rFonts w:ascii="Arial;sans-serif" w:hAnsi="Arial;sans-serif"/>
          <w:b/>
          <w:color w:val="503C64"/>
          <w:sz w:val="22"/>
        </w:rPr>
        <w:t>Cautionary Statement Regarding Forward Looking Statements</w:t>
      </w:r>
    </w:p>
    <w:p>
      <w:pPr>
        <w:pStyle w:val="TextBody"/>
        <w:spacing w:before="0" w:after="0"/>
        <w:rPr/>
      </w:pPr>
      <w:r>
        <w:rPr/>
      </w:r>
    </w:p>
    <w:p>
      <w:pPr>
        <w:pStyle w:val="TextBody"/>
        <w:spacing w:lineRule="auto" w:line="360" w:before="0" w:after="0"/>
        <w:jc w:val="both"/>
        <w:rPr>
          <w:rFonts w:ascii="Arial;sans-serif" w:hAnsi="Arial;sans-serif"/>
          <w:b w:val="false"/>
          <w:color w:val="000000"/>
          <w:sz w:val="22"/>
        </w:rPr>
      </w:pPr>
      <w:r>
        <w:rPr>
          <w:rFonts w:ascii="Arial;sans-serif" w:hAnsi="Arial;sans-serif"/>
          <w:b w:val="false"/>
          <w:color w:val="000000"/>
          <w:sz w:val="22"/>
        </w:rPr>
        <w:t xml:space="preserve">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w:t>
      </w:r>
    </w:p>
    <w:p>
      <w:pPr>
        <w:pStyle w:val="TextBody"/>
        <w:jc w:val="both"/>
        <w:rPr/>
      </w:pPr>
      <w:r>
        <w:rPr/>
      </w:r>
      <w:r>
        <w:br w:type="page"/>
      </w:r>
    </w:p>
    <w:p>
      <w:pPr>
        <w:pStyle w:val="TextBody"/>
        <w:spacing w:lineRule="auto" w:line="240" w:before="0" w:after="0"/>
        <w:jc w:val="both"/>
        <w:rPr/>
      </w:pPr>
      <w:r>
        <w:rPr/>
        <w:drawing>
          <wp:inline distT="0" distB="63500" distL="0" distR="0">
            <wp:extent cx="1371600" cy="676275"/>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13716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75030"/>
                <wp:effectExtent l="0" t="0" r="0" b="0"/>
                <wp:wrapNone/>
                <wp:docPr id="16" name="Frame9"/>
                <a:graphic xmlns:a="http://schemas.openxmlformats.org/drawingml/2006/main">
                  <a:graphicData uri="http://schemas.microsoft.com/office/word/2010/wordprocessingShape">
                    <wps:wsp>
                      <wps:cNvSpPr txBox="1"/>
                      <wps:spPr>
                        <a:xfrm>
                          <a:off x="0" y="0"/>
                          <a:ext cx="6480175" cy="875030"/>
                        </a:xfrm>
                        <a:prstGeom prst="rect"/>
                      </wps:spPr>
                      <wps:txb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lineRule="auto" w:line="360" w:before="0" w:after="0"/>
        <w:jc w:val="both"/>
        <w:rPr/>
      </w:pPr>
      <w:r>
        <w:rPr>
          <w:rFonts w:ascii="Arial;sans-serif" w:hAnsi="Arial;sans-serif"/>
          <w:b w:val="false"/>
          <w:color w:val="000000"/>
          <w:sz w:val="22"/>
        </w:rPr>
        <w:t xml:space="preserve">Important factors, among others, that may affect actual results or outcomes include (but are not limited to): global economic, business and market conditions; the Company’s dependence on and ability to retain employees; the Company’s ability to successfully identify, recruit and develop talent; conditions impacting the corporate advisory industry; the Firm’s dependence on its fee-paying clients and fluctuating revenues from its non-exclusive, engagement-by-engagement business model; the high volatility of the Company’s revenues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assumptions relating to the Company’s operations, financial results, financial condition, business prospects, growth strategy and liquidity; extensive regulation of the corporate advisory industry and U.S. and foreign regulatory developments relating to, among other things, financial institutions and markets, government oversight, fiscal and tax policy and laws (including the treatment of carried interest); and other risks and uncertainties described under </w:t>
      </w:r>
      <w:r>
        <w:rPr>
          <w:color w:val="000000"/>
        </w:rPr>
        <w:t>“</w:t>
      </w:r>
      <w:r>
        <w:rPr>
          <w:rFonts w:ascii="Arial;sans-serif" w:hAnsi="Arial;sans-serif"/>
          <w:b w:val="false"/>
          <w:i/>
          <w:color w:val="000000"/>
          <w:sz w:val="22"/>
        </w:rPr>
        <w:t>Part I—Item 1A. Risk Factors”</w:t>
      </w:r>
      <w:r>
        <w:rPr>
          <w:color w:val="000000"/>
        </w:rPr>
        <w:t xml:space="preserve"> </w:t>
      </w:r>
      <w:r>
        <w:rPr>
          <w:rFonts w:ascii="Arial;sans-serif" w:hAnsi="Arial;sans-serif"/>
          <w:b w:val="false"/>
          <w:color w:val="000000"/>
          <w:sz w:val="22"/>
        </w:rPr>
        <w:t>in our Annual Report on Form 10-K.</w:t>
      </w:r>
    </w:p>
    <w:p>
      <w:pPr>
        <w:pStyle w:val="TextBody"/>
        <w:spacing w:before="0" w:after="0"/>
        <w:rPr/>
      </w:pPr>
      <w:r>
        <w:rPr/>
      </w:r>
    </w:p>
    <w:p>
      <w:pPr>
        <w:pStyle w:val="TextBody"/>
        <w:spacing w:lineRule="auto" w:line="360" w:before="0" w:after="120"/>
        <w:jc w:val="both"/>
        <w:rPr>
          <w:rFonts w:ascii="Arial;sans-serif" w:hAnsi="Arial;sans-serif"/>
          <w:b w:val="false"/>
          <w:color w:val="000000"/>
          <w:sz w:val="22"/>
        </w:rPr>
      </w:pPr>
      <w:r>
        <w:rPr>
          <w:rFonts w:ascii="Arial;sans-serif" w:hAnsi="Arial;sans-serif"/>
          <w:b w:val="false"/>
          <w:color w:val="000000"/>
          <w:sz w:val="22"/>
        </w:rPr>
        <w:t>The forward-looking statements in this press release and oral statements made from time to time by representatives of PWP are based on current expectations and beliefs concerning future developments and their potential effects on the Company. There can be no assurance that future developments affecting the Company will be those that the Company has anticipated. These risks and uncertainties include, but are not limited to, those factors described in the section entitled “Risk Factors” in our Annual Report on Form 10-K filed with the SEC on February 28, 2023 and the other documents filed by the Firm from time to time with the SEC. The Company undertakes no obligation to update or revise any forward-looking statements, whether as a result of new information, future events or otherwise, except as may be required under applicable securities laws.</w:t>
      </w:r>
    </w:p>
    <w:p>
      <w:pPr>
        <w:pStyle w:val="TextBody"/>
        <w:spacing w:before="0" w:after="0"/>
        <w:jc w:val="both"/>
        <w:rPr/>
      </w:pPr>
      <w:r>
        <w:rPr/>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both"/>
        <w:rPr/>
      </w:pPr>
      <w:r>
        <w:rPr/>
        <w:drawing>
          <wp:inline distT="0" distB="63500" distL="0" distR="0">
            <wp:extent cx="1371600" cy="67627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3716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75030"/>
                <wp:effectExtent l="0" t="0" r="0" b="0"/>
                <wp:wrapNone/>
                <wp:docPr id="18" name="Frame10"/>
                <a:graphic xmlns:a="http://schemas.openxmlformats.org/drawingml/2006/main">
                  <a:graphicData uri="http://schemas.microsoft.com/office/word/2010/wordprocessingShape">
                    <wps:wsp>
                      <wps:cNvSpPr txBox="1"/>
                      <wps:spPr>
                        <a:xfrm>
                          <a:off x="0" y="0"/>
                          <a:ext cx="6480175" cy="875030"/>
                        </a:xfrm>
                        <a:prstGeom prst="rect"/>
                      </wps:spPr>
                      <wps:txb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Consolidated Statements of Operations (Unaudited)</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(Dollars in Thousands, Except Per Share Amounts)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271"/>
        <w:gridCol w:w="1979"/>
        <w:gridCol w:w="2005"/>
        <w:gridCol w:w="109"/>
        <w:gridCol w:w="109"/>
        <w:gridCol w:w="109"/>
        <w:gridCol w:w="109"/>
        <w:gridCol w:w="109"/>
        <w:gridCol w:w="146"/>
        <w:gridCol w:w="146"/>
        <w:gridCol w:w="285"/>
        <w:gridCol w:w="1115"/>
        <w:gridCol w:w="146"/>
        <w:gridCol w:w="109"/>
        <w:gridCol w:w="109"/>
        <w:gridCol w:w="109"/>
        <w:gridCol w:w="219"/>
        <w:gridCol w:w="862"/>
        <w:gridCol w:w="159"/>
      </w:tblGrid>
      <w:tr>
        <w:trPr/>
        <w:tc>
          <w:tcPr>
            <w:tcW w:w="2271" w:type="dxa"/>
            <w:tcBorders/>
            <w:shd w:fill="auto" w:val="clear"/>
            <w:vAlign w:val="center"/>
          </w:tcPr>
          <w:p>
            <w:pPr>
              <w:pStyle w:val="TableContents"/>
              <w:spacing w:before="0" w:after="283"/>
              <w:rPr>
                <w:sz w:val="4"/>
                <w:szCs w:val="4"/>
              </w:rPr>
            </w:pPr>
            <w:r>
              <w:rPr>
                <w:sz w:val="4"/>
                <w:szCs w:val="4"/>
              </w:rPr>
            </w:r>
          </w:p>
        </w:tc>
        <w:tc>
          <w:tcPr>
            <w:tcW w:w="1979"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38"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503C64"/>
                <w:sz w:val="18"/>
              </w:rPr>
            </w:pPr>
            <w:r>
              <w:rPr>
                <w:rFonts w:ascii="Arial;sans-serif" w:hAnsi="Arial;sans-serif"/>
                <w:b/>
                <w:color w:val="503C64"/>
                <w:sz w:val="18"/>
              </w:rPr>
              <w:t>Three Months Ended</w:t>
              <w:br/>
              <w:t>March 31,</w:t>
            </w:r>
          </w:p>
        </w:tc>
        <w:tc>
          <w:tcPr>
            <w:tcW w:w="1567" w:type="dxa"/>
            <w:gridSpan w:val="6"/>
            <w:tcBorders/>
            <w:shd w:fill="auto" w:val="clear"/>
          </w:tcPr>
          <w:p>
            <w:pPr>
              <w:pStyle w:val="TableContents"/>
              <w:spacing w:before="0" w:after="283"/>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6"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18"/>
              </w:rPr>
            </w:pPr>
            <w:r>
              <w:rPr>
                <w:rFonts w:ascii="Arial;sans-serif" w:hAnsi="Arial;sans-serif"/>
                <w:b/>
                <w:color w:val="503C64"/>
                <w:sz w:val="18"/>
              </w:rPr>
              <w:t>2023</w:t>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18"/>
              </w:rPr>
            </w:pPr>
            <w:r>
              <w:rPr>
                <w:rFonts w:ascii="Arial;sans-serif" w:hAnsi="Arial;sans-serif"/>
                <w:b/>
                <w:color w:val="503C64"/>
                <w:sz w:val="18"/>
              </w:rPr>
              <w:t>2022</w:t>
            </w:r>
          </w:p>
        </w:tc>
      </w:tr>
      <w:tr>
        <w:trPr/>
        <w:tc>
          <w:tcPr>
            <w:tcW w:w="6255" w:type="dxa"/>
            <w:gridSpan w:val="3"/>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131,426 </w:t>
            </w:r>
          </w:p>
        </w:tc>
        <w:tc>
          <w:tcPr>
            <w:tcW w:w="146"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CCEEFF"/>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151,876 </w:t>
            </w:r>
          </w:p>
        </w:tc>
        <w:tc>
          <w:tcPr>
            <w:tcW w:w="159"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69,963 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87,245 </w:t>
            </w:r>
          </w:p>
        </w:tc>
        <w:tc>
          <w:tcPr>
            <w:tcW w:w="159"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Equity-based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47,671 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40,890 </w:t>
            </w:r>
          </w:p>
        </w:tc>
        <w:tc>
          <w:tcPr>
            <w:tcW w:w="159" w:type="dxa"/>
            <w:tcBorders/>
            <w:shd w:fill="auto"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compensation and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117,634 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128,135 </w:t>
            </w:r>
          </w:p>
        </w:tc>
        <w:tc>
          <w:tcPr>
            <w:tcW w:w="159"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7,553 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10,303 </w:t>
            </w:r>
          </w:p>
        </w:tc>
        <w:tc>
          <w:tcPr>
            <w:tcW w:w="159"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infrastructure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8,512 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7,556 </w:t>
            </w:r>
          </w:p>
        </w:tc>
        <w:tc>
          <w:tcPr>
            <w:tcW w:w="159"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 and occupancy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7,414 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5,729 </w:t>
            </w:r>
          </w:p>
        </w:tc>
        <w:tc>
          <w:tcPr>
            <w:tcW w:w="159"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Travel and related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4,774 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2,294 </w:t>
            </w:r>
          </w:p>
        </w:tc>
        <w:tc>
          <w:tcPr>
            <w:tcW w:w="159"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administrative and other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5,394 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5,275 </w:t>
            </w:r>
          </w:p>
        </w:tc>
        <w:tc>
          <w:tcPr>
            <w:tcW w:w="159"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2,835 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2,943 </w:t>
            </w:r>
          </w:p>
        </w:tc>
        <w:tc>
          <w:tcPr>
            <w:tcW w:w="159" w:type="dxa"/>
            <w:tcBorders/>
            <w:shd w:fill="auto"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6255" w:type="dxa"/>
            <w:gridSpan w:val="3"/>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expenses</w:t>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E3E1E9"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154,116 </w:t>
            </w:r>
          </w:p>
        </w:tc>
        <w:tc>
          <w:tcPr>
            <w:tcW w:w="146" w:type="dxa"/>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E3E1E9"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162,235 </w:t>
            </w:r>
          </w:p>
        </w:tc>
        <w:tc>
          <w:tcPr>
            <w:tcW w:w="159" w:type="dxa"/>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Operating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(22,690)</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(10,359)</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Non-operating income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Related party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59"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1,843 </w:t>
            </w:r>
          </w:p>
        </w:tc>
        <w:tc>
          <w:tcPr>
            <w:tcW w:w="159"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warrant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12,006 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6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ind w:left="0" w:right="0" w:hanging="360"/>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non-operating income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14,407 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Income (loss) before income taxes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(22,134)</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4,048 </w:t>
            </w:r>
          </w:p>
        </w:tc>
        <w:tc>
          <w:tcPr>
            <w:tcW w:w="159"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(5,286)</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(2,996)</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income (loss)</w:t>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(27,420)</w:t>
            </w:r>
          </w:p>
        </w:tc>
        <w:tc>
          <w:tcPr>
            <w:tcW w:w="146"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1,052 </w:t>
            </w:r>
          </w:p>
        </w:tc>
        <w:tc>
          <w:tcPr>
            <w:tcW w:w="159"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Less: Net income (loss) attributable to 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(22,297)</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(7,842)</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income (loss) attributable to Perella Weinberg Partners</w:t>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E3E1E9"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(5,123)</w:t>
            </w:r>
          </w:p>
        </w:tc>
        <w:tc>
          <w:tcPr>
            <w:tcW w:w="146" w:type="dxa"/>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E3E1E9"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8,894 </w:t>
            </w:r>
          </w:p>
        </w:tc>
        <w:tc>
          <w:tcPr>
            <w:tcW w:w="159" w:type="dxa"/>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Net income (loss) per share attributable to Class A common shareholders</w:t>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6"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shd w:fill="E3E1E9"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E3E1E9"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w:t>
            </w:r>
          </w:p>
        </w:tc>
        <w:tc>
          <w:tcPr>
            <w:tcW w:w="146" w:type="dxa"/>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E3E1E9"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0.19 </w:t>
            </w:r>
          </w:p>
        </w:tc>
        <w:tc>
          <w:tcPr>
            <w:tcW w:w="159" w:type="dxa"/>
            <w:tcBorders/>
            <w:shd w:fill="E3E1E9"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5" w:type="dxa"/>
            <w:tcBorders/>
            <w:shd w:fill="E3E1E9"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(0.37)</w:t>
            </w:r>
          </w:p>
        </w:tc>
        <w:tc>
          <w:tcPr>
            <w:tcW w:w="146" w:type="dxa"/>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E3E1E9"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159" w:type="dxa"/>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5" w:type="dxa"/>
            <w:gridSpan w:val="3"/>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Weighted-average shares of Class A common stock outstanding</w:t>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6"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shd w:fill="E3E1E9"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E3E1E9"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42,317,827 </w:t>
            </w:r>
          </w:p>
        </w:tc>
        <w:tc>
          <w:tcPr>
            <w:tcW w:w="146" w:type="dxa"/>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E3E1E9"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45,917,935 </w:t>
            </w:r>
          </w:p>
        </w:tc>
        <w:tc>
          <w:tcPr>
            <w:tcW w:w="159" w:type="dxa"/>
            <w:tcBorders/>
            <w:shd w:fill="E3E1E9"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55" w:type="dxa"/>
            <w:gridSpan w:val="3"/>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00" w:type="dxa"/>
            <w:gridSpan w:val="2"/>
            <w:tcBorders/>
            <w:shd w:fill="E3E1E9"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86,611,018 </w:t>
            </w:r>
          </w:p>
        </w:tc>
        <w:tc>
          <w:tcPr>
            <w:tcW w:w="146" w:type="dxa"/>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E3E1E9"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93,231,332 </w:t>
            </w:r>
          </w:p>
        </w:tc>
        <w:tc>
          <w:tcPr>
            <w:tcW w:w="159" w:type="dxa"/>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120"/>
        <w:ind w:left="0" w:right="0" w:hanging="64"/>
        <w:rPr/>
      </w:pPr>
      <w:r>
        <w:rPr/>
      </w:r>
    </w:p>
    <w:p>
      <w:pPr>
        <w:pStyle w:val="TextBody"/>
        <w:spacing w:before="0" w:after="12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both"/>
        <w:rPr/>
      </w:pPr>
      <w:r>
        <w:rPr/>
        <w:drawing>
          <wp:inline distT="0" distB="63500" distL="0" distR="0">
            <wp:extent cx="1371600" cy="676275"/>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13716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75030"/>
                <wp:effectExtent l="0" t="0" r="0" b="0"/>
                <wp:wrapNone/>
                <wp:docPr id="20" name="Frame11"/>
                <a:graphic xmlns:a="http://schemas.openxmlformats.org/drawingml/2006/main">
                  <a:graphicData uri="http://schemas.microsoft.com/office/word/2010/wordprocessingShape">
                    <wps:wsp>
                      <wps:cNvSpPr txBox="1"/>
                      <wps:spPr>
                        <a:xfrm>
                          <a:off x="0" y="0"/>
                          <a:ext cx="6480175" cy="875030"/>
                        </a:xfrm>
                        <a:prstGeom prst="rect"/>
                      </wps:spPr>
                      <wps:txb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U.S. GAAP Reconciliation of Adjusted Results (Unaudited)</w:t>
      </w:r>
    </w:p>
    <w:p>
      <w:pPr>
        <w:pStyle w:val="TextBody"/>
        <w:spacing w:lineRule="auto" w:line="288" w:before="0" w:after="120"/>
        <w:jc w:val="center"/>
        <w:rPr>
          <w:rFonts w:ascii="Arial;sans-serif" w:hAnsi="Arial;sans-serif"/>
          <w:b/>
          <w:color w:val="000000"/>
          <w:sz w:val="18"/>
        </w:rPr>
      </w:pPr>
      <w:r>
        <w:rPr>
          <w:rFonts w:ascii="Arial;sans-serif" w:hAnsi="Arial;sans-serif"/>
          <w:b/>
          <w:color w:val="000000"/>
          <w:sz w:val="18"/>
        </w:rPr>
        <w:t>(Dollars in Thousands, Except Per Share Amounts)</w:t>
      </w:r>
    </w:p>
    <w:tbl>
      <w:tblPr>
        <w:tblW w:w="10205" w:type="dxa"/>
        <w:jc w:val="center"/>
        <w:tblInd w:w="0" w:type="dxa"/>
        <w:tblCellMar>
          <w:top w:w="28" w:type="dxa"/>
          <w:left w:w="28" w:type="dxa"/>
          <w:bottom w:w="28" w:type="dxa"/>
          <w:right w:w="28" w:type="dxa"/>
        </w:tblCellMar>
      </w:tblPr>
      <w:tblGrid>
        <w:gridCol w:w="2172"/>
        <w:gridCol w:w="1786"/>
        <w:gridCol w:w="1795"/>
        <w:gridCol w:w="117"/>
        <w:gridCol w:w="117"/>
        <w:gridCol w:w="117"/>
        <w:gridCol w:w="117"/>
        <w:gridCol w:w="109"/>
        <w:gridCol w:w="175"/>
        <w:gridCol w:w="175"/>
        <w:gridCol w:w="326"/>
        <w:gridCol w:w="1191"/>
        <w:gridCol w:w="413"/>
        <w:gridCol w:w="109"/>
        <w:gridCol w:w="109"/>
        <w:gridCol w:w="109"/>
        <w:gridCol w:w="202"/>
        <w:gridCol w:w="759"/>
        <w:gridCol w:w="307"/>
      </w:tblGrid>
      <w:tr>
        <w:trPr/>
        <w:tc>
          <w:tcPr>
            <w:tcW w:w="2172"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c>
          <w:tcPr>
            <w:tcW w:w="179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0"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503C64"/>
                <w:sz w:val="18"/>
              </w:rPr>
            </w:pPr>
            <w:r>
              <w:rPr>
                <w:rFonts w:ascii="Arial;sans-serif" w:hAnsi="Arial;sans-serif"/>
                <w:b/>
                <w:color w:val="503C64"/>
                <w:sz w:val="18"/>
              </w:rPr>
              <w:t>Three Months Ended March 31,</w:t>
            </w:r>
          </w:p>
        </w:tc>
        <w:tc>
          <w:tcPr>
            <w:tcW w:w="1595" w:type="dxa"/>
            <w:gridSpan w:val="6"/>
            <w:tcBorders/>
            <w:shd w:fill="auto" w:val="clea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16"/>
              </w:rPr>
            </w:pPr>
            <w:r>
              <w:rPr>
                <w:rFonts w:ascii="Arial;sans-serif" w:hAnsi="Arial;sans-serif"/>
                <w:b/>
                <w:color w:val="503C64"/>
                <w:sz w:val="16"/>
              </w:rPr>
              <w:t>2023</w:t>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16"/>
              </w:rPr>
            </w:pPr>
            <w:r>
              <w:rPr>
                <w:rFonts w:ascii="Arial;sans-serif" w:hAnsi="Arial;sans-serif"/>
                <w:b/>
                <w:color w:val="503C64"/>
                <w:sz w:val="16"/>
              </w:rPr>
              <w:t>2022</w:t>
            </w:r>
          </w:p>
        </w:tc>
      </w:tr>
      <w:tr>
        <w:trPr/>
        <w:tc>
          <w:tcPr>
            <w:tcW w:w="5753"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Total compensation and benefits—GAAP</w:t>
            </w:r>
          </w:p>
        </w:tc>
        <w:tc>
          <w:tcPr>
            <w:tcW w:w="351"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6"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1"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117,634 </w:t>
            </w:r>
          </w:p>
        </w:tc>
        <w:tc>
          <w:tcPr>
            <w:tcW w:w="413"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128,135 </w:t>
            </w:r>
          </w:p>
        </w:tc>
        <w:tc>
          <w:tcPr>
            <w:tcW w:w="307"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 not dilutive to investors in PWP or PWP OpCo (1)</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(20,334)</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(18,710)</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Public company transaction related incentives (2)</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(11,892)</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(12,224)</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total compensation and benefits</w:t>
            </w:r>
          </w:p>
        </w:tc>
        <w:tc>
          <w:tcPr>
            <w:tcW w:w="351"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6"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1"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85,408 </w:t>
            </w:r>
          </w:p>
        </w:tc>
        <w:tc>
          <w:tcPr>
            <w:tcW w:w="413"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97,201 </w:t>
            </w:r>
          </w:p>
        </w:tc>
        <w:tc>
          <w:tcPr>
            <w:tcW w:w="307"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Non-compensation expense—GAAP</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36,482 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34,100 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TPH business combination related expenses (3)</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Business Combination transaction expenses (4)</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8" w:type="dxa"/>
            <w:gridSpan w:val="3"/>
            <w:tcBorders/>
            <w:shd w:fill="auto" w:val="clear"/>
            <w:vAlign w:val="center"/>
          </w:tcPr>
          <w:p>
            <w:pPr>
              <w:pStyle w:val="TableContents"/>
              <w:spacing w:before="0" w:after="283"/>
              <w:rPr>
                <w:sz w:val="4"/>
                <w:szCs w:val="4"/>
              </w:rPr>
            </w:pPr>
            <w:r>
              <w:rPr>
                <w:sz w:val="4"/>
                <w:szCs w:val="4"/>
              </w:rPr>
            </w:r>
          </w:p>
        </w:tc>
      </w:tr>
      <w:tr>
        <w:trPr/>
        <w:tc>
          <w:tcPr>
            <w:tcW w:w="5753" w:type="dxa"/>
            <w:gridSpan w:val="3"/>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non-compensation expense (5)</w:t>
            </w:r>
          </w:p>
        </w:tc>
        <w:tc>
          <w:tcPr>
            <w:tcW w:w="351"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6"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1"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34,512 </w:t>
            </w:r>
          </w:p>
        </w:tc>
        <w:tc>
          <w:tcPr>
            <w:tcW w:w="413"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32,168 </w:t>
            </w:r>
          </w:p>
        </w:tc>
        <w:tc>
          <w:tcPr>
            <w:tcW w:w="307"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(loss)—GAAP</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(22,690)</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(10,359)</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 not dilutive to investors in PWP or PWP OpCo (1)</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20,334 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18,710 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Public company transaction related incentives (2)</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11,892 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12,224 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TPH business combination related expenses (3)</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Business Combination transaction expenses (4)</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8" w:type="dxa"/>
            <w:gridSpan w:val="3"/>
            <w:tcBorders/>
            <w:shd w:fill="auto" w:val="clear"/>
            <w:vAlign w:val="center"/>
          </w:tcPr>
          <w:p>
            <w:pPr>
              <w:pStyle w:val="TableContents"/>
              <w:spacing w:before="0" w:after="283"/>
              <w:rPr>
                <w:sz w:val="4"/>
                <w:szCs w:val="4"/>
              </w:rPr>
            </w:pPr>
            <w:r>
              <w:rPr>
                <w:sz w:val="4"/>
                <w:szCs w:val="4"/>
              </w:rPr>
            </w:r>
          </w:p>
        </w:tc>
      </w:tr>
      <w:tr>
        <w:trPr/>
        <w:tc>
          <w:tcPr>
            <w:tcW w:w="5753" w:type="dxa"/>
            <w:gridSpan w:val="3"/>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income (loss)</w:t>
            </w:r>
          </w:p>
        </w:tc>
        <w:tc>
          <w:tcPr>
            <w:tcW w:w="351"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6"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1"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11,506 </w:t>
            </w:r>
          </w:p>
        </w:tc>
        <w:tc>
          <w:tcPr>
            <w:tcW w:w="413"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22,507 </w:t>
            </w:r>
          </w:p>
        </w:tc>
        <w:tc>
          <w:tcPr>
            <w:tcW w:w="307"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Non-operating income (expense)—GAAP</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14,407 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warrant liabilities (6)</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(12,006)</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8" w:type="dxa"/>
            <w:gridSpan w:val="3"/>
            <w:tcBorders/>
            <w:shd w:fill="auto" w:val="cle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debt costs (7)</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non-operating income (expense)</w:t>
            </w:r>
          </w:p>
        </w:tc>
        <w:tc>
          <w:tcPr>
            <w:tcW w:w="351"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6"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1"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593 </w:t>
            </w:r>
          </w:p>
        </w:tc>
        <w:tc>
          <w:tcPr>
            <w:tcW w:w="413"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2,438 </w:t>
            </w:r>
          </w:p>
        </w:tc>
        <w:tc>
          <w:tcPr>
            <w:tcW w:w="307"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taxes—GAAP</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(22,134)</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4,048 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 not dilutive to investors in PWP or PWP OpCo (1)</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20,334 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18,710 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Public company transaction related incentives (2)</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11,892 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12,224 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TPH business combination related expenses (3)</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Business Combination transaction expenses (4)</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8" w:type="dxa"/>
            <w:gridSpan w:val="3"/>
            <w:tcBorders/>
            <w:shd w:fill="auto" w:val="cle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warrant liabilities (6)</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(12,006)</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8" w:type="dxa"/>
            <w:gridSpan w:val="3"/>
            <w:tcBorders/>
            <w:shd w:fill="auto" w:val="cle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debt costs (7)</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income (loss) before income taxes</w:t>
            </w:r>
          </w:p>
        </w:tc>
        <w:tc>
          <w:tcPr>
            <w:tcW w:w="351"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6"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1"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12,099 </w:t>
            </w:r>
          </w:p>
        </w:tc>
        <w:tc>
          <w:tcPr>
            <w:tcW w:w="413"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24,945 </w:t>
            </w:r>
          </w:p>
        </w:tc>
        <w:tc>
          <w:tcPr>
            <w:tcW w:w="307"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Income tax benefit (expense)—GAAP</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(5,286)</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(2,996)</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impact of non-GAAP adjustments (8)</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3,078 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income tax benefit (expense)</w:t>
            </w:r>
          </w:p>
        </w:tc>
        <w:tc>
          <w:tcPr>
            <w:tcW w:w="351"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6"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1"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(2,208)</w:t>
            </w:r>
          </w:p>
        </w:tc>
        <w:tc>
          <w:tcPr>
            <w:tcW w:w="413"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(4,438)</w:t>
            </w:r>
          </w:p>
        </w:tc>
        <w:tc>
          <w:tcPr>
            <w:tcW w:w="307"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Net income (loss)—GAAP</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(27,420)</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 not dilutive to investors in PWP or PWP OpCo (1)</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20,334 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18,710 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Public company transaction related incentives (2)</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11,892 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12,224 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TPH business combination related expenses (3)</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Business Combination transaction expenses (4)</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8" w:type="dxa"/>
            <w:gridSpan w:val="3"/>
            <w:tcBorders/>
            <w:shd w:fill="auto" w:val="cle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warrant liabilities (6)</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(12,006)</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8" w:type="dxa"/>
            <w:gridSpan w:val="3"/>
            <w:tcBorders/>
            <w:shd w:fill="auto" w:val="cle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debt costs (7)</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impact of non-GAAP adjustments (8)</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3,078 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(1,442)</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(loss)</w:t>
            </w:r>
          </w:p>
        </w:tc>
        <w:tc>
          <w:tcPr>
            <w:tcW w:w="351"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6"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1"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9,891 </w:t>
            </w:r>
          </w:p>
        </w:tc>
        <w:tc>
          <w:tcPr>
            <w:tcW w:w="413"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20,507 </w:t>
            </w:r>
          </w:p>
        </w:tc>
        <w:tc>
          <w:tcPr>
            <w:tcW w:w="307"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Adjusted income tax benefit (expense)</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2,208 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4,438 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If-converted tax impact (9)</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(3,785)</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(7,557)</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if-converted net income (loss)</w:t>
            </w:r>
          </w:p>
        </w:tc>
        <w:tc>
          <w:tcPr>
            <w:tcW w:w="351"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6"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1"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8,314 </w:t>
            </w:r>
          </w:p>
        </w:tc>
        <w:tc>
          <w:tcPr>
            <w:tcW w:w="413"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17,388 </w:t>
            </w:r>
          </w:p>
        </w:tc>
        <w:tc>
          <w:tcPr>
            <w:tcW w:w="307"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diluted shares of Class A common stock outstanding</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86,611,018 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93,231,332 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8" w:type="dxa"/>
            <w:gridSpan w:val="3"/>
            <w:tcBorders/>
            <w:shd w:fill="auto" w:val="cle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number of incremental shares from assumed vesting of RSUs and PSUs (10)</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1,727,070 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295,216 </w:t>
            </w:r>
          </w:p>
        </w:tc>
        <w:tc>
          <w:tcPr>
            <w:tcW w:w="3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adjusted diluted shares of Class A common stock outstanding</w:t>
            </w:r>
          </w:p>
        </w:tc>
        <w:tc>
          <w:tcPr>
            <w:tcW w:w="351"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88,338,088 </w:t>
            </w:r>
          </w:p>
        </w:tc>
        <w:tc>
          <w:tcPr>
            <w:tcW w:w="413"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E3E1E9"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B6B6B6"/>
            </w:tcBorders>
            <w:shd w:fill="E3E1E9"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93,526,548 </w:t>
            </w:r>
          </w:p>
        </w:tc>
        <w:tc>
          <w:tcPr>
            <w:tcW w:w="307" w:type="dxa"/>
            <w:tcBorders>
              <w:top w:val="single" w:sz="8" w:space="0" w:color="B6B6B6"/>
            </w:tcBorders>
            <w:shd w:fill="E3E1E9"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(loss) per Class A share—diluted, if—converted</w:t>
            </w:r>
          </w:p>
        </w:tc>
        <w:tc>
          <w:tcPr>
            <w:tcW w:w="351"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6" w:type="dxa"/>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1" w:type="dxa"/>
            <w:tcBorders/>
            <w:shd w:fill="E3E1E9"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413" w:type="dxa"/>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E3E1E9"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E3E1E9"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0.19 </w:t>
            </w:r>
          </w:p>
        </w:tc>
        <w:tc>
          <w:tcPr>
            <w:tcW w:w="307" w:type="dxa"/>
            <w:tcBorders/>
            <w:shd w:fill="E3E1E9"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Key metrics: (a)</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operating income (loss) margin</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w:t>
            </w:r>
          </w:p>
        </w:tc>
        <w:tc>
          <w:tcPr>
            <w:tcW w:w="41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3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income (loss) margin</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41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3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compensation ratio</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41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3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compensation ratio</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41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3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effective tax rate</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41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3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7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if-converted effective tax rate</w:t>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5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41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0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1" w:type="dxa"/>
            <w:gridSpan w:val="7"/>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 Reconciliations of key metrics from U.S. GAAP to Adjusted results are a derivative of the reconciliation of their components above.</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0" w:type="dxa"/>
            <w:gridSpan w:val="10"/>
            <w:tcBorders/>
            <w:shd w:fill="auto" w:val="clear"/>
          </w:tcPr>
          <w:p>
            <w:pPr>
              <w:pStyle w:val="TableContents"/>
              <w:spacing w:before="0" w:after="283"/>
              <w:rPr>
                <w:sz w:val="4"/>
                <w:szCs w:val="4"/>
              </w:rPr>
            </w:pPr>
            <w:r>
              <w:rPr>
                <w:sz w:val="4"/>
                <w:szCs w:val="4"/>
              </w:rPr>
            </w:r>
          </w:p>
        </w:tc>
      </w:tr>
    </w:tbl>
    <w:p>
      <w:pPr>
        <w:pStyle w:val="TextBody"/>
        <w:spacing w:lineRule="auto" w:line="240" w:before="0" w:after="0"/>
        <w:jc w:val="both"/>
        <w:rPr/>
      </w:pPr>
      <w:r>
        <w:br w:type="page"/>
      </w:r>
      <w:r>
        <w:rPr/>
        <w:drawing>
          <wp:inline distT="0" distB="63500" distL="0" distR="0">
            <wp:extent cx="1371600" cy="676275"/>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13716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75030"/>
                <wp:effectExtent l="0" t="0" r="0" b="0"/>
                <wp:wrapNone/>
                <wp:docPr id="22" name="Frame12"/>
                <a:graphic xmlns:a="http://schemas.openxmlformats.org/drawingml/2006/main">
                  <a:graphicData uri="http://schemas.microsoft.com/office/word/2010/wordprocessingShape">
                    <wps:wsp>
                      <wps:cNvSpPr txBox="1"/>
                      <wps:spPr>
                        <a:xfrm>
                          <a:off x="0" y="0"/>
                          <a:ext cx="6480175" cy="875030"/>
                        </a:xfrm>
                        <a:prstGeom prst="rect"/>
                      </wps:spPr>
                      <wps:txb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2"/>
        </w:rPr>
      </w:pPr>
      <w:r>
        <w:rPr>
          <w:rFonts w:ascii="Arial;sans-serif" w:hAnsi="Arial;sans-serif"/>
          <w:b/>
          <w:color w:val="000000"/>
          <w:sz w:val="22"/>
        </w:rPr>
        <w:t>Notes to U.S. GAAP Reconciliation of Adjusted Results:</w:t>
      </w:r>
    </w:p>
    <w:p>
      <w:pPr>
        <w:pStyle w:val="TextBody"/>
        <w:spacing w:before="0" w:after="0"/>
        <w:rPr/>
      </w:pPr>
      <w:r>
        <w:rPr/>
      </w:r>
    </w:p>
    <w:p>
      <w:pPr>
        <w:pStyle w:val="TextBody"/>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(1)Equity-based compensation not dilutive to investors in PWP or PWP Holdings LP (“PWP OpCo”) includes amortization of legacy awards granted to certain partners prior to the Business Combination and PWP Professional Partners LP (“Professional Partners”) alignment capital units and value capital units awards. The vesting of these awards does not dilute PWP shareholders relative to Professional Partners as Professional Partners’ interest in PWP OpCo does not change as a result of granting those equity awards to its working partners.</w:t>
      </w:r>
    </w:p>
    <w:p>
      <w:pPr>
        <w:pStyle w:val="TextBody"/>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(2)Public company transaction related incentives includes equity-based compensation for transaction-related restricted stock units (“RSUs”) which are directly related to milestone events that were part of the Business Combination process and reorganization. These payments were outside of PWP’s normal and recurring bonus and compensation processes.</w:t>
      </w:r>
    </w:p>
    <w:p>
      <w:pPr>
        <w:pStyle w:val="TextBody"/>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(3)On November 30, 2016, we completed a business combination with Tudor, Pickering, Holt &amp; Co., LLC (TPH), an independent advisory firm focused on the energy industry. TPH business combination related expenses include intangible asset amortization associated with the acquisition.</w:t>
      </w:r>
    </w:p>
    <w:p>
      <w:pPr>
        <w:pStyle w:val="TextBody"/>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(4)Transaction costs expensed associated with the Business Combination include equity-based vesting for transaction-related RSUs issued to non-employees.</w:t>
      </w:r>
    </w:p>
    <w:p>
      <w:pPr>
        <w:pStyle w:val="TextBody"/>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(5)See reconciliation below for the components of the consolidated statements of operations included in non-compensation expense—GAAP as well as Adjusted non-compensation expense.</w:t>
      </w:r>
    </w:p>
    <w:p>
      <w:pPr>
        <w:pStyle w:val="TextBody"/>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(6)Change in fair value of warrant liabilities is non-cash and we believe not indicative of our core performance.</w:t>
      </w:r>
    </w:p>
    <w:p>
      <w:pPr>
        <w:pStyle w:val="TextBody"/>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(7)Amortization of debt costs is comprised of the amortization of debt discounts and issuance costs, which is included in other income (expense).</w:t>
      </w:r>
    </w:p>
    <w:p>
      <w:pPr>
        <w:pStyle w:val="TextBody"/>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(8)The non-GAAP tax expense represents the Company’s calculated tax expense on adjusted non-GAAP income. It excludes the impact on income taxes of certain transaction-related items and other items not reflected in our adjusted non-GAAP results. It does not represent the cash that the Company expects to pay for taxes in the current periods.</w:t>
      </w:r>
    </w:p>
    <w:p>
      <w:pPr>
        <w:pStyle w:val="TextBody"/>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(9)The if-converted tax expense represents the Company's calculated tax expense on adjusted non-GAAP income assuming the exchange of all partnership units for PWP Class A common stock, resulting in all of the Company’s income being subject to corporate-level tax.</w:t>
      </w:r>
    </w:p>
    <w:p>
      <w:pPr>
        <w:pStyle w:val="TextBody"/>
        <w:spacing w:lineRule="auto" w:line="360" w:before="0" w:after="160"/>
        <w:ind w:left="0" w:right="0" w:hanging="544"/>
        <w:jc w:val="both"/>
        <w:rPr>
          <w:rFonts w:ascii="Arial;sans-serif" w:hAnsi="Arial;sans-serif"/>
          <w:b w:val="false"/>
          <w:color w:val="000000"/>
          <w:sz w:val="22"/>
        </w:rPr>
      </w:pPr>
      <w:r>
        <w:rPr>
          <w:rFonts w:ascii="Arial;sans-serif" w:hAnsi="Arial;sans-serif"/>
          <w:b w:val="false"/>
          <w:color w:val="000000"/>
          <w:sz w:val="22"/>
        </w:rPr>
        <w:t xml:space="preserve">(10)Assumed vesting of RSUs and performance restricted stock units (“PSUs”) as calculated using the treasury stock method and to the extent dilutive to Adjusted net income (loss) per Class A share—diluted, if-converted. </w:t>
      </w:r>
    </w:p>
    <w:p>
      <w:pPr>
        <w:pStyle w:val="TextBody"/>
        <w:ind w:left="0" w:right="0" w:hanging="184"/>
        <w:jc w:val="both"/>
        <w:rPr/>
      </w:pPr>
      <w:r>
        <w:rPr/>
      </w:r>
      <w:r>
        <w:br w:type="page"/>
      </w:r>
    </w:p>
    <w:p>
      <w:pPr>
        <w:pStyle w:val="TextBody"/>
        <w:spacing w:lineRule="auto" w:line="240" w:before="0" w:after="0"/>
        <w:jc w:val="both"/>
        <w:rPr/>
      </w:pPr>
      <w:r>
        <w:rPr/>
        <w:drawing>
          <wp:inline distT="0" distB="63500" distL="0" distR="0">
            <wp:extent cx="1371600" cy="676275"/>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1371600" cy="67627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75030"/>
                <wp:effectExtent l="0" t="0" r="0" b="0"/>
                <wp:wrapNone/>
                <wp:docPr id="24" name="Frame13"/>
                <a:graphic xmlns:a="http://schemas.openxmlformats.org/drawingml/2006/main">
                  <a:graphicData uri="http://schemas.microsoft.com/office/word/2010/wordprocessingShape">
                    <wps:wsp>
                      <wps:cNvSpPr txBox="1"/>
                      <wps:spPr>
                        <a:xfrm>
                          <a:off x="0" y="0"/>
                          <a:ext cx="6480175" cy="875030"/>
                        </a:xfrm>
                        <a:prstGeom prst="rect"/>
                      </wps:spPr>
                      <wps:txb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lineRule="auto" w:line="288" w:before="0" w:after="0"/>
        <w:jc w:val="center"/>
        <w:rPr>
          <w:rFonts w:ascii="Arial;sans-serif" w:hAnsi="Arial;sans-serif"/>
          <w:b/>
          <w:color w:val="000000"/>
          <w:sz w:val="22"/>
        </w:rPr>
      </w:pPr>
      <w:r>
        <w:rPr>
          <w:rFonts w:ascii="Arial;sans-serif" w:hAnsi="Arial;sans-serif"/>
          <w:b/>
          <w:color w:val="000000"/>
          <w:sz w:val="22"/>
        </w:rPr>
        <w:t>U.S. GAAP Reconciliation of Adjusted Results (Unaudited)</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(Dollars in Thousands)</w:t>
      </w:r>
    </w:p>
    <w:p>
      <w:pPr>
        <w:pStyle w:val="TextBody"/>
        <w:spacing w:before="0" w:after="0"/>
        <w:rPr/>
      </w:pPr>
      <w:r>
        <w:rPr/>
      </w:r>
    </w:p>
    <w:tbl>
      <w:tblPr>
        <w:tblW w:w="7571" w:type="dxa"/>
        <w:jc w:val="center"/>
        <w:tblInd w:w="0" w:type="dxa"/>
        <w:tblCellMar>
          <w:top w:w="28" w:type="dxa"/>
          <w:left w:w="28" w:type="dxa"/>
          <w:bottom w:w="28" w:type="dxa"/>
          <w:right w:w="28" w:type="dxa"/>
        </w:tblCellMar>
      </w:tblPr>
      <w:tblGrid>
        <w:gridCol w:w="1196"/>
        <w:gridCol w:w="1050"/>
        <w:gridCol w:w="1053"/>
        <w:gridCol w:w="109"/>
        <w:gridCol w:w="109"/>
        <w:gridCol w:w="109"/>
        <w:gridCol w:w="196"/>
        <w:gridCol w:w="646"/>
        <w:gridCol w:w="109"/>
        <w:gridCol w:w="109"/>
        <w:gridCol w:w="109"/>
        <w:gridCol w:w="109"/>
        <w:gridCol w:w="251"/>
        <w:gridCol w:w="733"/>
        <w:gridCol w:w="142"/>
        <w:gridCol w:w="109"/>
        <w:gridCol w:w="109"/>
        <w:gridCol w:w="109"/>
        <w:gridCol w:w="196"/>
        <w:gridCol w:w="646"/>
        <w:gridCol w:w="109"/>
        <w:gridCol w:w="109"/>
        <w:gridCol w:w="154"/>
      </w:tblGrid>
      <w:tr>
        <w:trPr/>
        <w:tc>
          <w:tcPr>
            <w:tcW w:w="1196"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2"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16"/>
              </w:rPr>
            </w:pPr>
            <w:r>
              <w:rPr>
                <w:rFonts w:ascii="Arial;sans-serif" w:hAnsi="Arial;sans-serif"/>
                <w:b/>
                <w:color w:val="503C64"/>
                <w:sz w:val="16"/>
              </w:rPr>
              <w:t>Three Months Ended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16"/>
              </w:rPr>
            </w:pPr>
            <w:r>
              <w:rPr>
                <w:rFonts w:ascii="Arial;sans-serif" w:hAnsi="Arial;sans-serif"/>
                <w:b/>
                <w:color w:val="503C64"/>
                <w:sz w:val="16"/>
              </w:rPr>
              <w:t>U.S. GAAP</w:t>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16"/>
              </w:rPr>
            </w:pPr>
            <w:r>
              <w:rPr>
                <w:rFonts w:ascii="Arial;sans-serif" w:hAnsi="Arial;sans-serif"/>
                <w:b/>
                <w:color w:val="503C64"/>
                <w:sz w:val="16"/>
              </w:rPr>
              <w:t>Adjustments</w:t>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16"/>
              </w:rPr>
            </w:pPr>
            <w:r>
              <w:rPr>
                <w:rFonts w:ascii="Arial;sans-serif" w:hAnsi="Arial;sans-serif"/>
                <w:b/>
                <w:color w:val="503C64"/>
                <w:sz w:val="16"/>
              </w:rPr>
              <w:t>Adjusted</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7,553 </w:t>
            </w:r>
          </w:p>
        </w:tc>
        <w:tc>
          <w:tcPr>
            <w:tcW w:w="109"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w:t>
            </w:r>
          </w:p>
        </w:tc>
        <w:tc>
          <w:tcPr>
            <w:tcW w:w="142"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196"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7,228 </w:t>
            </w:r>
          </w:p>
        </w:tc>
        <w:tc>
          <w:tcPr>
            <w:tcW w:w="109"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infrastructure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and occupancy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Travel and related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administrative and other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(1,645)</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Non-compensation expense</w:t>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36,482 </w:t>
            </w:r>
          </w:p>
        </w:tc>
        <w:tc>
          <w:tcPr>
            <w:tcW w:w="109"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(1,970)</w:t>
            </w:r>
          </w:p>
        </w:tc>
        <w:tc>
          <w:tcPr>
            <w:tcW w:w="142"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34,512 </w:t>
            </w:r>
          </w:p>
        </w:tc>
        <w:tc>
          <w:tcPr>
            <w:tcW w:w="109"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2"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16"/>
              </w:rPr>
            </w:pPr>
            <w:r>
              <w:rPr>
                <w:rFonts w:ascii="Arial;sans-serif" w:hAnsi="Arial;sans-serif"/>
                <w:b/>
                <w:color w:val="503C64"/>
                <w:sz w:val="16"/>
              </w:rPr>
              <w:t>Three Months Ended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16"/>
              </w:rPr>
            </w:pPr>
            <w:r>
              <w:rPr>
                <w:rFonts w:ascii="Arial;sans-serif" w:hAnsi="Arial;sans-serif"/>
                <w:b/>
                <w:color w:val="503C64"/>
                <w:sz w:val="16"/>
              </w:rPr>
              <w:t>U.S. GAAP</w:t>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16"/>
              </w:rPr>
            </w:pPr>
            <w:r>
              <w:rPr>
                <w:rFonts w:ascii="Arial;sans-serif" w:hAnsi="Arial;sans-serif"/>
                <w:b/>
                <w:color w:val="503C64"/>
                <w:sz w:val="16"/>
              </w:rPr>
              <w:t>Adjustments</w:t>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503C64"/>
                <w:sz w:val="16"/>
              </w:rPr>
            </w:pPr>
            <w:r>
              <w:rPr>
                <w:rFonts w:ascii="Arial;sans-serif" w:hAnsi="Arial;sans-serif"/>
                <w:b/>
                <w:color w:val="503C64"/>
                <w:sz w:val="16"/>
              </w:rPr>
              <w:t>Adjusted</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10,303 </w:t>
            </w:r>
          </w:p>
        </w:tc>
        <w:tc>
          <w:tcPr>
            <w:tcW w:w="109"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w:t>
            </w:r>
          </w:p>
        </w:tc>
        <w:tc>
          <w:tcPr>
            <w:tcW w:w="142"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196"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10,016 </w:t>
            </w:r>
          </w:p>
        </w:tc>
        <w:tc>
          <w:tcPr>
            <w:tcW w:w="109"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infrastructure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and occupancy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Travel and related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administrative and other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(1,645)</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Non-compensation expense</w:t>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34,100 </w:t>
            </w:r>
          </w:p>
        </w:tc>
        <w:tc>
          <w:tcPr>
            <w:tcW w:w="109"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(1,932)</w:t>
            </w:r>
          </w:p>
        </w:tc>
        <w:tc>
          <w:tcPr>
            <w:tcW w:w="142"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B6B6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32,168 </w:t>
            </w:r>
          </w:p>
        </w:tc>
        <w:tc>
          <w:tcPr>
            <w:tcW w:w="109" w:type="dxa"/>
            <w:tcBorders>
              <w:top w:val="single" w:sz="8" w:space="0" w:color="B6B6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1541" w:type="dxa"/>
            <w:gridSpan w:val="8"/>
            <w:tcBorders/>
            <w:shd w:fill="auto" w:val="clea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1541" w:type="dxa"/>
            <w:gridSpan w:val="8"/>
            <w:tcBorders/>
            <w:shd w:fill="auto" w:val="clea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40" w:before="0" w:after="0"/>
        <w:ind w:left="0" w:right="0" w:hanging="64"/>
        <w:rPr>
          <w:rFonts w:ascii="Arial;sans-serif" w:hAnsi="Arial;sans-serif"/>
          <w:b w:val="false"/>
          <w:color w:val="000000"/>
          <w:sz w:val="14"/>
        </w:rPr>
      </w:pPr>
      <w:r>
        <w:rPr>
          <w:rFonts w:ascii="Arial;sans-serif" w:hAnsi="Arial;sans-serif"/>
          <w:b w:val="false"/>
          <w:color w:val="000000"/>
          <w:sz w:val="14"/>
        </w:rPr>
        <w:t>(1) Reflects an adjustment to exclude transaction costs associated with the Business Combination.</w:t>
      </w:r>
    </w:p>
    <w:p>
      <w:pPr>
        <w:pStyle w:val="TextBody"/>
        <w:spacing w:before="0" w:after="0"/>
        <w:rPr/>
      </w:pPr>
      <w:r>
        <w:rPr/>
      </w:r>
    </w:p>
    <w:p>
      <w:pPr>
        <w:pStyle w:val="TextBody"/>
        <w:spacing w:lineRule="auto" w:line="240" w:before="0" w:after="0"/>
        <w:ind w:left="0" w:right="0" w:hanging="64"/>
        <w:rPr>
          <w:rFonts w:ascii="Arial;sans-serif" w:hAnsi="Arial;sans-serif"/>
          <w:b w:val="false"/>
          <w:color w:val="000000"/>
          <w:sz w:val="14"/>
        </w:rPr>
      </w:pPr>
      <w:r>
        <w:rPr>
          <w:rFonts w:ascii="Arial;sans-serif" w:hAnsi="Arial;sans-serif"/>
          <w:b w:val="false"/>
          <w:color w:val="000000"/>
          <w:sz w:val="14"/>
        </w:rPr>
        <w:t>(2) Reflects an adjustment to exclude the amortization of intangible assets related to the TPH business combination.</w:t>
      </w:r>
    </w:p>
    <w:p>
      <w:pPr>
        <w:pStyle w:val="TextBody"/>
        <w:spacing w:before="0" w:after="0"/>
        <w:rPr/>
      </w:pPr>
      <w:r>
        <w:rPr/>
      </w:r>
    </w:p>
    <w:p>
      <w:pPr>
        <w:pStyle w:val="TextBody"/>
        <w:ind w:left="0" w:right="0" w:hanging="64"/>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75030"/>
                <wp:effectExtent l="0" t="0" r="0" b="0"/>
                <wp:wrapNone/>
                <wp:docPr id="25" name="Frame14"/>
                <a:graphic xmlns:a="http://schemas.openxmlformats.org/drawingml/2006/main">
                  <a:graphicData uri="http://schemas.microsoft.com/office/word/2010/wordprocessingShape">
                    <wps:wsp>
                      <wps:cNvSpPr txBox="1"/>
                      <wps:spPr>
                        <a:xfrm>
                          <a:off x="0" y="0"/>
                          <a:ext cx="6480175" cy="875030"/>
                        </a:xfrm>
                        <a:prstGeom prst="rect"/>
                      </wps:spPr>
                      <wps:txb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5" w:before="0" w:after="0"/>
                        <w:jc w:val="both"/>
                        <w:rPr>
                          <w:rFonts w:ascii="Arial;sans-serif" w:hAnsi="Arial;sans-serif"/>
                          <w:b w:val="false"/>
                          <w:color w:val="000000"/>
                          <w:sz w:val="16"/>
                        </w:rPr>
                      </w:pPr>
                      <w:r>
                        <w:rPr>
                          <w:rFonts w:ascii="Arial;sans-serif" w:hAnsi="Arial;sans-serif"/>
                          <w:b w:val="false"/>
                          <w:color w:val="000000"/>
                          <w:sz w:val="16"/>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pStyle w:val="TextBody"/>
                        <w:spacing w:before="0" w:after="0"/>
                        <w:jc w:val="both"/>
                        <w:rPr/>
                      </w:pPr>
                      <w:r>
                        <w:rPr/>
                      </w:r>
                    </w:p>
                    <w:p>
                      <w:pPr>
                        <w:pStyle w:val="TextBody"/>
                        <w:spacing w:lineRule="auto" w:line="285"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4865</Words>
  <CharactersWithSpaces>32094</CharactersWithSpaces>
  <Paragraphs>686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