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448945</wp:posOffset>
            </wp:positionH>
            <wp:positionV relativeFrom="page">
              <wp:posOffset>419100</wp:posOffset>
            </wp:positionV>
            <wp:extent cx="6873875" cy="152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3875" cy="152400"/>
                    </a:xfrm>
                    <a:prstGeom prst="rect">
                      <a:avLst/>
                    </a:prstGeom>
                    <a:noFill/>
                  </pic:spPr>
                </pic:pic>
              </a:graphicData>
            </a:graphic>
          </wp:anchor>
        </w:drawing>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540pt,5.55pt" o:allowincell="f" strokecolor="#000000" strokeweight="1pt"/>
            </w:pict>
          </mc:Fallback>
        </mc:AlternateConten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86995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5pt" to="540pt,6.85pt" o:allowincell="f" strokecolor="#000000" strokeweight="1pt"/>
            </w:pict>
          </mc:Fallback>
        </mc:AlternateContent>
      </w:r>
    </w:p>
    <w:p>
      <w:pPr>
        <w:spacing w:after="0" w:line="21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8" w:lineRule="exact"/>
        <w:rPr>
          <w:sz w:val="24"/>
          <w:szCs w:val="24"/>
          <w:color w:val="auto"/>
        </w:rPr>
      </w:pPr>
    </w:p>
    <w:p>
      <w:pPr>
        <w:ind w:left="280" w:hanging="246"/>
        <w:spacing w:after="0"/>
        <w:tabs>
          <w:tab w:leader="none" w:pos="28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2023</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37" w:lineRule="exact"/>
        <w:rPr>
          <w:sz w:val="24"/>
          <w:szCs w:val="24"/>
          <w:color w:val="auto"/>
        </w:rPr>
      </w:pPr>
    </w:p>
    <w:p>
      <w:pPr>
        <w:ind w:left="220" w:hanging="186"/>
        <w:spacing w:after="0"/>
        <w:tabs>
          <w:tab w:leader="none" w:pos="220" w:val="left"/>
        </w:tabs>
        <w:numPr>
          <w:ilvl w:val="0"/>
          <w:numId w:val="2"/>
        </w:numPr>
        <w:rPr>
          <w:rFonts w:ascii="MS PGothic" w:cs="MS PGothic" w:eastAsia="MS PGothic" w:hAnsi="MS PGothic"/>
          <w:sz w:val="18"/>
          <w:szCs w:val="18"/>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7" w:lineRule="exact"/>
        <w:rPr>
          <w:sz w:val="24"/>
          <w:szCs w:val="24"/>
          <w:color w:val="auto"/>
        </w:rPr>
      </w:pPr>
    </w:p>
    <w:p>
      <w:pPr>
        <w:ind w:left="3080"/>
        <w:spacing w:after="0"/>
        <w:tabs>
          <w:tab w:leader="none" w:pos="740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20"/>
          <w:szCs w:val="20"/>
          <w:b w:val="1"/>
          <w:bCs w:val="1"/>
          <w:color w:val="auto"/>
        </w:rPr>
        <w:t>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001-39558</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-266700</wp:posOffset>
                </wp:positionV>
                <wp:extent cx="68484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1pt" to="539.6pt,-21pt" o:allowincell="f" strokecolor="#000000" strokeweight="1pt"/>
            </w:pict>
          </mc:Fallback>
        </mc:AlternateConten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109855</wp:posOffset>
                </wp:positionV>
                <wp:extent cx="68484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8.65pt" to="539.6pt,8.65pt" o:allowincell="f" strokecolor="#000000" strokeweight="1pt"/>
            </w:pict>
          </mc:Fallback>
        </mc:AlternateContent>
      </w:r>
    </w:p>
    <w:p>
      <w:pPr>
        <w:spacing w:after="0" w:line="238" w:lineRule="exact"/>
        <w:rPr>
          <w:sz w:val="24"/>
          <w:szCs w:val="24"/>
          <w:color w:val="auto"/>
        </w:rPr>
      </w:pPr>
    </w:p>
    <w:tbl>
      <w:tblPr>
        <w:tblLayout w:type="fixed"/>
        <w:tblInd w:w="1020" w:type="dxa"/>
        <w:tblCellMar>
          <w:top w:w="0" w:type="dxa"/>
          <w:left w:w="0" w:type="dxa"/>
          <w:bottom w:w="0" w:type="dxa"/>
          <w:right w:w="0" w:type="dxa"/>
        </w:tblCellMar>
      </w:tblPr>
      <w:tr>
        <w:trPr>
          <w:trHeight w:val="264"/>
        </w:trPr>
        <w:tc>
          <w:tcPr>
            <w:tcW w:w="4760" w:type="dxa"/>
            <w:vAlign w:val="bottom"/>
          </w:tcPr>
          <w:p>
            <w:pPr>
              <w:jc w:val="center"/>
              <w:ind w:right="1032"/>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240" w:type="dxa"/>
            <w:vAlign w:val="bottom"/>
          </w:tcPr>
          <w:p>
            <w:pPr>
              <w:jc w:val="right"/>
              <w:ind w:right="495"/>
              <w:spacing w:after="0"/>
              <w:rPr>
                <w:sz w:val="20"/>
                <w:szCs w:val="20"/>
                <w:color w:val="auto"/>
              </w:rPr>
            </w:pPr>
            <w:r>
              <w:rPr>
                <w:rFonts w:ascii="Times New Roman" w:cs="Times New Roman" w:eastAsia="Times New Roman" w:hAnsi="Times New Roman"/>
                <w:sz w:val="20"/>
                <w:szCs w:val="20"/>
                <w:b w:val="1"/>
                <w:bCs w:val="1"/>
                <w:color w:val="auto"/>
              </w:rPr>
              <w:t>84-1770732</w:t>
            </w:r>
          </w:p>
        </w:tc>
        <w:tc>
          <w:tcPr>
            <w:tcW w:w="0" w:type="dxa"/>
            <w:vAlign w:val="bottom"/>
          </w:tcPr>
          <w:p>
            <w:pPr>
              <w:spacing w:after="0"/>
              <w:rPr>
                <w:sz w:val="1"/>
                <w:szCs w:val="1"/>
                <w:color w:val="auto"/>
              </w:rPr>
            </w:pPr>
          </w:p>
        </w:tc>
      </w:tr>
      <w:tr>
        <w:trPr>
          <w:trHeight w:val="226"/>
        </w:trPr>
        <w:tc>
          <w:tcPr>
            <w:tcW w:w="4760" w:type="dxa"/>
            <w:vAlign w:val="bottom"/>
          </w:tcPr>
          <w:p>
            <w:pPr>
              <w:jc w:val="center"/>
              <w:ind w:right="1032"/>
              <w:spacing w:after="0"/>
              <w:rPr>
                <w:sz w:val="20"/>
                <w:szCs w:val="20"/>
                <w:color w:val="auto"/>
              </w:rPr>
            </w:pPr>
            <w:r>
              <w:rPr>
                <w:rFonts w:ascii="Times New Roman" w:cs="Times New Roman" w:eastAsia="Times New Roman" w:hAnsi="Times New Roman"/>
                <w:sz w:val="14"/>
                <w:szCs w:val="14"/>
                <w:b w:val="1"/>
                <w:bCs w:val="1"/>
                <w:color w:val="auto"/>
                <w:w w:val="99"/>
              </w:rPr>
              <w:t>( State or other jurisdiction of incorporation or organization)</w:t>
            </w:r>
          </w:p>
        </w:tc>
        <w:tc>
          <w:tcPr>
            <w:tcW w:w="3240" w:type="dxa"/>
            <w:vAlign w:val="bottom"/>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w w:val="99"/>
              </w:rPr>
              <w:t>(I.R.S. Employer Identification No.)</w:t>
            </w:r>
          </w:p>
        </w:tc>
        <w:tc>
          <w:tcPr>
            <w:tcW w:w="0" w:type="dxa"/>
            <w:vAlign w:val="bottom"/>
          </w:tcPr>
          <w:p>
            <w:pPr>
              <w:spacing w:after="0"/>
              <w:rPr>
                <w:sz w:val="1"/>
                <w:szCs w:val="1"/>
                <w:color w:val="auto"/>
              </w:rPr>
            </w:pPr>
          </w:p>
        </w:tc>
      </w:tr>
      <w:tr>
        <w:trPr>
          <w:trHeight w:val="228"/>
        </w:trPr>
        <w:tc>
          <w:tcPr>
            <w:tcW w:w="4760" w:type="dxa"/>
            <w:vAlign w:val="bottom"/>
          </w:tcPr>
          <w:p>
            <w:pPr>
              <w:jc w:val="center"/>
              <w:ind w:right="1032"/>
              <w:spacing w:after="0" w:line="228" w:lineRule="exact"/>
              <w:rPr>
                <w:sz w:val="20"/>
                <w:szCs w:val="20"/>
                <w:color w:val="auto"/>
              </w:rPr>
            </w:pPr>
            <w:r>
              <w:rPr>
                <w:rFonts w:ascii="Times New Roman" w:cs="Times New Roman" w:eastAsia="Times New Roman" w:hAnsi="Times New Roman"/>
                <w:sz w:val="20"/>
                <w:szCs w:val="20"/>
                <w:b w:val="1"/>
                <w:bCs w:val="1"/>
                <w:color w:val="auto"/>
              </w:rPr>
              <w:t>767 Fifth Avenue</w:t>
            </w:r>
          </w:p>
        </w:tc>
        <w:tc>
          <w:tcPr>
            <w:tcW w:w="3240" w:type="dxa"/>
            <w:vAlign w:val="bottom"/>
            <w:vMerge w:val="restart"/>
          </w:tcPr>
          <w:p>
            <w:pPr>
              <w:jc w:val="right"/>
              <w:ind w:right="735"/>
              <w:spacing w:after="0"/>
              <w:rPr>
                <w:sz w:val="20"/>
                <w:szCs w:val="20"/>
                <w:color w:val="auto"/>
              </w:rPr>
            </w:pPr>
            <w:r>
              <w:rPr>
                <w:rFonts w:ascii="Times New Roman" w:cs="Times New Roman" w:eastAsia="Times New Roman" w:hAnsi="Times New Roman"/>
                <w:sz w:val="20"/>
                <w:szCs w:val="20"/>
                <w:b w:val="1"/>
                <w:bCs w:val="1"/>
                <w:color w:val="auto"/>
              </w:rPr>
              <w:t>10153</w:t>
            </w:r>
          </w:p>
        </w:tc>
        <w:tc>
          <w:tcPr>
            <w:tcW w:w="0" w:type="dxa"/>
            <w:vAlign w:val="bottom"/>
          </w:tcPr>
          <w:p>
            <w:pPr>
              <w:spacing w:after="0"/>
              <w:rPr>
                <w:sz w:val="1"/>
                <w:szCs w:val="1"/>
                <w:color w:val="auto"/>
              </w:rPr>
            </w:pPr>
          </w:p>
        </w:tc>
      </w:tr>
      <w:tr>
        <w:trPr>
          <w:trHeight w:val="264"/>
        </w:trPr>
        <w:tc>
          <w:tcPr>
            <w:tcW w:w="4760" w:type="dxa"/>
            <w:vAlign w:val="bottom"/>
          </w:tcPr>
          <w:p>
            <w:pPr>
              <w:jc w:val="center"/>
              <w:ind w:right="1012"/>
              <w:spacing w:after="0"/>
              <w:rPr>
                <w:sz w:val="20"/>
                <w:szCs w:val="20"/>
                <w:color w:val="auto"/>
              </w:rPr>
            </w:pPr>
            <w:r>
              <w:rPr>
                <w:rFonts w:ascii="Times New Roman" w:cs="Times New Roman" w:eastAsia="Times New Roman" w:hAnsi="Times New Roman"/>
                <w:sz w:val="20"/>
                <w:szCs w:val="20"/>
                <w:b w:val="1"/>
                <w:bCs w:val="1"/>
                <w:color w:val="auto"/>
                <w:w w:val="99"/>
              </w:rPr>
              <w:t>New York, NY</w:t>
            </w:r>
          </w:p>
        </w:tc>
        <w:tc>
          <w:tcPr>
            <w:tcW w:w="3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760" w:type="dxa"/>
            <w:vAlign w:val="bottom"/>
          </w:tcPr>
          <w:p>
            <w:pPr>
              <w:jc w:val="center"/>
              <w:ind w:right="103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40" w:type="dxa"/>
            <w:vAlign w:val="bottom"/>
          </w:tcPr>
          <w:p>
            <w:pPr>
              <w:jc w:val="center"/>
              <w:ind w:left="1035"/>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(212) 287-3200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5pt" to="540pt,10.15pt" o:allowincell="f" strokecolor="#000000" strokeweight="1pt"/>
            </w:pict>
          </mc:Fallback>
        </mc:AlternateConten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6"/>
                <w:szCs w:val="16"/>
                <w:color w:val="auto"/>
              </w:rPr>
            </w:pPr>
          </w:p>
        </w:tc>
        <w:tc>
          <w:tcPr>
            <w:tcW w:w="21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9"/>
        </w:trPr>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2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PWP</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r>
        <w:trPr>
          <w:trHeight w:val="269"/>
        </w:trPr>
        <w:tc>
          <w:tcPr>
            <w:tcW w:w="8160" w:type="dxa"/>
            <w:vAlign w:val="bottom"/>
            <w:gridSpan w:val="6"/>
          </w:tcPr>
          <w:p>
            <w:pPr>
              <w:ind w:left="2980"/>
              <w:spacing w:after="0"/>
              <w:rPr>
                <w:sz w:val="20"/>
                <w:szCs w:val="20"/>
                <w:color w:val="auto"/>
              </w:rPr>
            </w:pPr>
            <w:r>
              <w:rPr>
                <w:rFonts w:ascii="Times New Roman" w:cs="Times New Roman" w:eastAsia="Times New Roman" w:hAnsi="Times New Roman"/>
                <w:sz w:val="18"/>
                <w:szCs w:val="18"/>
                <w:color w:val="auto"/>
              </w:rPr>
              <w:t>Securities registered pursuant to the Section 12(g) of the Act: None</w:t>
            </w:r>
          </w:p>
        </w:tc>
        <w:tc>
          <w:tcPr>
            <w:tcW w:w="2640" w:type="dxa"/>
            <w:vAlign w:val="bottom"/>
          </w:tcPr>
          <w:p>
            <w:pPr>
              <w:spacing w:after="0"/>
              <w:rPr>
                <w:sz w:val="23"/>
                <w:szCs w:val="23"/>
                <w:color w:val="auto"/>
              </w:rPr>
            </w:pPr>
          </w:p>
        </w:tc>
      </w:tr>
      <w:tr>
        <w:trPr>
          <w:trHeight w:val="360"/>
        </w:trPr>
        <w:tc>
          <w:tcPr>
            <w:tcW w:w="75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0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p>
        </w:tc>
        <w:tc>
          <w:tcPr>
            <w:tcW w:w="264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b w:val="1"/>
                <w:bCs w:val="1"/>
                <w:color w:val="auto"/>
              </w:rPr>
              <w:t>☒</w:t>
            </w:r>
          </w:p>
        </w:tc>
      </w:tr>
      <w:tr>
        <w:trPr>
          <w:trHeight w:val="280"/>
        </w:trPr>
        <w:tc>
          <w:tcPr>
            <w:tcW w:w="75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  Yes</w:t>
            </w:r>
          </w:p>
        </w:tc>
        <w:tc>
          <w:tcPr>
            <w:tcW w:w="600" w:type="dxa"/>
            <w:vAlign w:val="bottom"/>
          </w:tcPr>
          <w:p>
            <w:pPr>
              <w:ind w:left="6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w:t>
            </w:r>
          </w:p>
        </w:tc>
        <w:tc>
          <w:tcPr>
            <w:tcW w:w="2640" w:type="dxa"/>
            <w:vAlign w:val="bottom"/>
          </w:tcPr>
          <w:p>
            <w:pPr>
              <w:ind w:left="20"/>
              <w:spacing w:after="0" w:line="161" w:lineRule="exact"/>
              <w:rPr>
                <w:sz w:val="20"/>
                <w:szCs w:val="20"/>
                <w:color w:val="auto"/>
              </w:rPr>
            </w:pPr>
            <w:r>
              <w:rPr>
                <w:rFonts w:ascii="MS PGothic" w:cs="MS PGothic" w:eastAsia="MS PGothic" w:hAnsi="MS PGothic"/>
                <w:sz w:val="16"/>
                <w:szCs w:val="16"/>
                <w:b w:val="1"/>
                <w:bCs w:val="1"/>
                <w:color w:val="auto"/>
              </w:rPr>
              <w:t>☒</w:t>
            </w: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3381375</wp:posOffset>
                </wp:positionH>
                <wp:positionV relativeFrom="paragraph">
                  <wp:posOffset>-715645</wp:posOffset>
                </wp:positionV>
                <wp:extent cx="666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56.3499pt" to="271.5pt,-56.34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-715645</wp:posOffset>
                </wp:positionV>
                <wp:extent cx="46482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8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3499pt" to="366pt,-5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4581525</wp:posOffset>
                </wp:positionH>
                <wp:positionV relativeFrom="paragraph">
                  <wp:posOffset>-715645</wp:posOffset>
                </wp:positionV>
                <wp:extent cx="666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75pt,-56.3499pt" to="366pt,-56.3499pt" o:allowincell="f" strokecolor="#FFFFFF" strokeweight="1pt"/>
            </w:pict>
          </mc:Fallback>
        </mc:AlternateContent>
      </w:r>
    </w:p>
    <w:p>
      <w:pPr>
        <w:spacing w:after="0" w:line="37" w:lineRule="exact"/>
        <w:rPr>
          <w:sz w:val="24"/>
          <w:szCs w:val="24"/>
          <w:color w:val="auto"/>
        </w:rPr>
      </w:pPr>
    </w:p>
    <w:p>
      <w:pPr>
        <w:ind w:right="80"/>
        <w:spacing w:after="0" w:line="1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60" w:lineRule="exact"/>
        <w:rPr>
          <w:sz w:val="24"/>
          <w:szCs w:val="24"/>
          <w:color w:val="auto"/>
        </w:rPr>
      </w:pPr>
    </w:p>
    <w:p>
      <w:pPr>
        <w:ind w:right="100"/>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58" w:lineRule="exact"/>
        <w:rPr>
          <w:sz w:val="24"/>
          <w:szCs w:val="24"/>
          <w:color w:val="auto"/>
        </w:rPr>
      </w:pPr>
    </w:p>
    <w:p>
      <w:pPr>
        <w:ind w:right="40"/>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360"/>
        <w:spacing w:after="0" w:line="184" w:lineRule="exact"/>
        <w:tabs>
          <w:tab w:leader="none" w:pos="2100" w:val="left"/>
          <w:tab w:leader="none" w:pos="2400" w:val="left"/>
          <w:tab w:leader="none" w:pos="3720" w:val="left"/>
          <w:tab w:leader="none" w:pos="4020" w:val="left"/>
          <w:tab w:leader="none" w:pos="5520" w:val="left"/>
          <w:tab w:leader="none" w:pos="5820" w:val="left"/>
          <w:tab w:leader="none" w:pos="79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b w:val="1"/>
          <w:bCs w:val="1"/>
          <w:color w:val="auto"/>
        </w:rPr>
        <w:t>☒</w:t>
      </w:r>
    </w:p>
    <w:p>
      <w:pPr>
        <w:spacing w:after="0" w:line="132" w:lineRule="exact"/>
        <w:rPr>
          <w:sz w:val="24"/>
          <w:szCs w:val="24"/>
          <w:color w:val="auto"/>
        </w:rPr>
      </w:pPr>
    </w:p>
    <w:p>
      <w:pPr>
        <w:ind w:right="260"/>
        <w:spacing w:after="0" w:line="19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58" w:lineRule="exact"/>
        <w:rPr>
          <w:sz w:val="24"/>
          <w:szCs w:val="24"/>
          <w:color w:val="auto"/>
        </w:rPr>
      </w:pPr>
    </w:p>
    <w:p>
      <w:pPr>
        <w:jc w:val="both"/>
        <w:ind w:right="460"/>
        <w:spacing w:after="0" w:line="1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60" w:lineRule="exact"/>
        <w:rPr>
          <w:sz w:val="24"/>
          <w:szCs w:val="24"/>
          <w:color w:val="auto"/>
        </w:rPr>
      </w:pPr>
    </w:p>
    <w:p>
      <w:pPr>
        <w:ind w:right="20"/>
        <w:spacing w:after="0" w:line="19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58" w:lineRule="exact"/>
        <w:rPr>
          <w:sz w:val="24"/>
          <w:szCs w:val="24"/>
          <w:color w:val="auto"/>
        </w:rPr>
      </w:pPr>
    </w:p>
    <w:p>
      <w:pPr>
        <w:ind w:right="20"/>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46" w:lineRule="exact"/>
        <w:rPr>
          <w:sz w:val="24"/>
          <w:szCs w:val="24"/>
          <w:color w:val="auto"/>
        </w:rPr>
      </w:pPr>
    </w:p>
    <w:p>
      <w:pPr>
        <w:spacing w:after="0" w:line="184" w:lineRule="exact"/>
        <w:tabs>
          <w:tab w:leader="none" w:pos="7400" w:val="left"/>
          <w:tab w:leader="none" w:pos="80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b w:val="1"/>
          <w:bCs w:val="1"/>
          <w:color w:val="auto"/>
        </w:rPr>
        <w:t>☒</w:t>
      </w:r>
    </w:p>
    <w:p>
      <w:pPr>
        <w:spacing w:after="0" w:line="148"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6"/>
          <w:szCs w:val="16"/>
          <w:color w:val="auto"/>
        </w:rPr>
        <w:t>The aggregate market value of the common stock of the registrant held by non-affiliates, based on the closing price on the Nasdaq Global Select Market as of June 30, 2023 was $344,735,834.</w:t>
      </w:r>
    </w:p>
    <w:p>
      <w:pPr>
        <w:spacing w:after="0" w:line="112" w:lineRule="exact"/>
        <w:rPr>
          <w:sz w:val="24"/>
          <w:szCs w:val="24"/>
          <w:color w:val="auto"/>
        </w:rPr>
      </w:pPr>
    </w:p>
    <w:p>
      <w:pPr>
        <w:ind w:right="60"/>
        <w:spacing w:after="0"/>
        <w:rPr>
          <w:sz w:val="20"/>
          <w:szCs w:val="20"/>
          <w:color w:val="auto"/>
        </w:rPr>
      </w:pPr>
      <w:r>
        <w:rPr>
          <w:rFonts w:ascii="Times New Roman" w:cs="Times New Roman" w:eastAsia="Times New Roman" w:hAnsi="Times New Roman"/>
          <w:sz w:val="16"/>
          <w:szCs w:val="16"/>
          <w:color w:val="auto"/>
        </w:rPr>
        <w:t>As of February 20, 2024, the registrant had 44,734,947 shares of Class A common stock, par value $0.0001 per share, and 41,589,339 shares of Class B common stock, par value $0.0001 per share, outstanding.</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ectPr>
          <w:pgSz w:w="12240" w:h="15840" w:orient="portrait"/>
          <w:cols w:equalWidth="0" w:num="1">
            <w:col w:w="10800"/>
          </w:cols>
          <w:pgMar w:left="720" w:top="756" w:right="720" w:bottom="600" w:gutter="0" w:footer="0" w:header="0"/>
        </w:sectPr>
      </w:pPr>
    </w:p>
    <w:p>
      <w:pPr>
        <w:spacing w:after="0" w:line="89" w:lineRule="exact"/>
        <w:rPr>
          <w:sz w:val="24"/>
          <w:szCs w:val="24"/>
          <w:color w:val="auto"/>
        </w:rPr>
      </w:pPr>
    </w:p>
    <w:p>
      <w:pPr>
        <w:ind w:right="100"/>
        <w:spacing w:after="0"/>
        <w:rPr>
          <w:sz w:val="20"/>
          <w:szCs w:val="20"/>
          <w:color w:val="auto"/>
        </w:rPr>
      </w:pPr>
      <w:r>
        <w:rPr>
          <w:rFonts w:ascii="Times New Roman" w:cs="Times New Roman" w:eastAsia="Times New Roman" w:hAnsi="Times New Roman"/>
          <w:sz w:val="16"/>
          <w:szCs w:val="16"/>
          <w:color w:val="auto"/>
        </w:rPr>
        <w:t>Portions of Perella Weinberg Partners’ Proxy Statement for the 2024 Annual Meeting of Stockholders to be filed with the Securities and Exchange Commission within 120 days after December 31, 2023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-50165</wp:posOffset>
            </wp:positionH>
            <wp:positionV relativeFrom="paragraph">
              <wp:posOffset>115570</wp:posOffset>
            </wp:positionV>
            <wp:extent cx="6959600" cy="152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6959600" cy="152400"/>
                    </a:xfrm>
                    <a:prstGeom prst="rect">
                      <a:avLst/>
                    </a:prstGeom>
                    <a:noFill/>
                  </pic:spPr>
                </pic:pic>
              </a:graphicData>
            </a:graphic>
          </wp:anchor>
        </w:drawing>
      </w:r>
    </w:p>
    <w:p>
      <w:pPr>
        <w:sectPr>
          <w:pgSz w:w="12240" w:h="15840" w:orient="portrait"/>
          <w:cols w:equalWidth="0" w:num="1">
            <w:col w:w="10800"/>
          </w:cols>
          <w:pgMar w:left="720" w:top="756" w:right="720" w:bottom="600" w:gutter="0" w:footer="0" w:header="0"/>
          <w:type w:val="continuous"/>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5489575</wp:posOffset>
                </wp:positionH>
                <wp:positionV relativeFrom="paragraph">
                  <wp:posOffset>-135255</wp:posOffset>
                </wp:positionV>
                <wp:extent cx="4476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25pt,-10.6499pt" to="467.5pt,-10.6499pt" o:allowincell="f" strokecolor="#000000" strokeweight="0.5pt"/>
            </w:pict>
          </mc:Fallback>
        </mc:AlternateContent>
      </w:r>
    </w:p>
    <w:p>
      <w:pPr>
        <w:spacing w:after="0" w:line="42" w:lineRule="exact"/>
        <w:rPr>
          <w:sz w:val="20"/>
          <w:szCs w:val="20"/>
          <w:color w:val="auto"/>
        </w:rPr>
      </w:pPr>
    </w:p>
    <w:p>
      <w:pPr>
        <w:spacing w:after="0"/>
        <w:tabs>
          <w:tab w:leader="none" w:pos="1760" w:val="left"/>
          <w:tab w:leader="dot" w:pos="9180" w:val="left"/>
        </w:tabs>
        <w:rPr>
          <w:sz w:val="20"/>
          <w:szCs w:val="20"/>
          <w:color w:val="auto"/>
        </w:rPr>
      </w:pPr>
      <w:r>
        <w:rPr>
          <w:rFonts w:ascii="Times New Roman" w:cs="Times New Roman" w:eastAsia="Times New Roman" w:hAnsi="Times New Roman"/>
          <w:sz w:val="20"/>
          <w:szCs w:val="20"/>
          <w:u w:val="single" w:color="auto"/>
          <w:color w:val="0000FF"/>
        </w:rPr>
        <w:t>Item 1.</w:t>
      </w:r>
      <w:r>
        <w:rPr>
          <w:sz w:val="20"/>
          <w:szCs w:val="20"/>
          <w:color w:val="auto"/>
        </w:rPr>
        <w:tab/>
      </w:r>
      <w:r>
        <w:rPr>
          <w:rFonts w:ascii="Times New Roman" w:cs="Times New Roman" w:eastAsia="Times New Roman" w:hAnsi="Times New Roman"/>
          <w:sz w:val="20"/>
          <w:szCs w:val="20"/>
          <w:u w:val="single" w:color="auto"/>
          <w:color w:val="0000FF"/>
        </w:rPr>
        <w:t>Business</w:t>
      </w:r>
      <w:r>
        <w:rPr>
          <w:sz w:val="20"/>
          <w:szCs w:val="20"/>
          <w:color w:val="auto"/>
        </w:rPr>
        <w:tab/>
      </w:r>
      <w:r>
        <w:rPr>
          <w:rFonts w:ascii="Times New Roman" w:cs="Times New Roman" w:eastAsia="Times New Roman" w:hAnsi="Times New Roman"/>
          <w:sz w:val="20"/>
          <w:szCs w:val="20"/>
          <w:u w:val="single" w:color="auto"/>
          <w:color w:val="0000FF"/>
        </w:rPr>
        <w:t>2</w:t>
      </w:r>
    </w:p>
    <w:p>
      <w:pPr>
        <w:spacing w:after="0" w:line="55" w:lineRule="exact"/>
        <w:rPr>
          <w:sz w:val="20"/>
          <w:szCs w:val="20"/>
          <w:color w:val="auto"/>
        </w:rPr>
      </w:pPr>
    </w:p>
    <w:p>
      <w:pPr>
        <w:spacing w:after="0"/>
        <w:tabs>
          <w:tab w:leader="none" w:pos="1760" w:val="left"/>
          <w:tab w:leader="dot" w:pos="9180" w:val="left"/>
        </w:tabs>
        <w:rPr>
          <w:sz w:val="20"/>
          <w:szCs w:val="20"/>
          <w:color w:val="auto"/>
        </w:rPr>
      </w:pPr>
      <w:r>
        <w:rPr>
          <w:rFonts w:ascii="Times New Roman" w:cs="Times New Roman" w:eastAsia="Times New Roman" w:hAnsi="Times New Roman"/>
          <w:sz w:val="20"/>
          <w:szCs w:val="20"/>
          <w:u w:val="single" w:color="auto"/>
          <w:color w:val="0000FF"/>
        </w:rPr>
        <w:t>Item 1A.</w:t>
      </w:r>
      <w:r>
        <w:rPr>
          <w:sz w:val="20"/>
          <w:szCs w:val="20"/>
          <w:color w:val="auto"/>
        </w:rPr>
        <w:tab/>
      </w:r>
      <w:r>
        <w:rPr>
          <w:rFonts w:ascii="Times New Roman" w:cs="Times New Roman" w:eastAsia="Times New Roman" w:hAnsi="Times New Roman"/>
          <w:sz w:val="20"/>
          <w:szCs w:val="20"/>
          <w:u w:val="single" w:color="auto"/>
          <w:color w:val="0000FF"/>
        </w:rPr>
        <w:t>Risk Factors</w:t>
      </w:r>
      <w:r>
        <w:rPr>
          <w:sz w:val="20"/>
          <w:szCs w:val="20"/>
          <w:color w:val="auto"/>
        </w:rPr>
        <w:tab/>
      </w:r>
      <w:r>
        <w:rPr>
          <w:rFonts w:ascii="Times New Roman" w:cs="Times New Roman" w:eastAsia="Times New Roman" w:hAnsi="Times New Roman"/>
          <w:sz w:val="20"/>
          <w:szCs w:val="20"/>
          <w:u w:val="single" w:color="auto"/>
          <w:color w:val="0000FF"/>
        </w:rPr>
        <w:t>7</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1B.</w:t>
      </w:r>
      <w:r>
        <w:rPr>
          <w:sz w:val="20"/>
          <w:szCs w:val="20"/>
          <w:color w:val="auto"/>
        </w:rPr>
        <w:tab/>
      </w:r>
      <w:r>
        <w:rPr>
          <w:rFonts w:ascii="Times New Roman" w:cs="Times New Roman" w:eastAsia="Times New Roman" w:hAnsi="Times New Roman"/>
          <w:sz w:val="20"/>
          <w:szCs w:val="20"/>
          <w:u w:val="single" w:color="auto"/>
          <w:color w:val="0000FF"/>
        </w:rPr>
        <w:t>Unresolved Staff Comments</w:t>
      </w:r>
      <w:r>
        <w:rPr>
          <w:sz w:val="20"/>
          <w:szCs w:val="20"/>
          <w:color w:val="auto"/>
        </w:rPr>
        <w:tab/>
      </w:r>
      <w:r>
        <w:rPr>
          <w:rFonts w:ascii="Times New Roman" w:cs="Times New Roman" w:eastAsia="Times New Roman" w:hAnsi="Times New Roman"/>
          <w:sz w:val="20"/>
          <w:szCs w:val="20"/>
          <w:u w:val="single" w:color="auto"/>
          <w:color w:val="0000FF"/>
        </w:rPr>
        <w:t>26</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1C.</w:t>
      </w:r>
      <w:r>
        <w:rPr>
          <w:sz w:val="20"/>
          <w:szCs w:val="20"/>
          <w:color w:val="auto"/>
        </w:rPr>
        <w:tab/>
      </w:r>
      <w:r>
        <w:rPr>
          <w:rFonts w:ascii="Times New Roman" w:cs="Times New Roman" w:eastAsia="Times New Roman" w:hAnsi="Times New Roman"/>
          <w:sz w:val="20"/>
          <w:szCs w:val="20"/>
          <w:u w:val="single" w:color="auto"/>
          <w:color w:val="0000FF"/>
        </w:rPr>
        <w:t>Cybersecurity</w:t>
      </w:r>
      <w:r>
        <w:rPr>
          <w:sz w:val="20"/>
          <w:szCs w:val="20"/>
          <w:color w:val="auto"/>
        </w:rPr>
        <w:tab/>
      </w:r>
      <w:r>
        <w:rPr>
          <w:rFonts w:ascii="Times New Roman" w:cs="Times New Roman" w:eastAsia="Times New Roman" w:hAnsi="Times New Roman"/>
          <w:sz w:val="20"/>
          <w:szCs w:val="20"/>
          <w:u w:val="single" w:color="auto"/>
          <w:color w:val="0000FF"/>
        </w:rPr>
        <w:t>26</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2.</w:t>
      </w:r>
      <w:r>
        <w:rPr>
          <w:sz w:val="20"/>
          <w:szCs w:val="20"/>
          <w:color w:val="auto"/>
        </w:rPr>
        <w:tab/>
      </w:r>
      <w:r>
        <w:rPr>
          <w:rFonts w:ascii="Times New Roman" w:cs="Times New Roman" w:eastAsia="Times New Roman" w:hAnsi="Times New Roman"/>
          <w:sz w:val="20"/>
          <w:szCs w:val="20"/>
          <w:u w:val="single" w:color="auto"/>
          <w:color w:val="0000FF"/>
        </w:rPr>
        <w:t>Properties</w:t>
      </w:r>
      <w:r>
        <w:rPr>
          <w:sz w:val="20"/>
          <w:szCs w:val="20"/>
          <w:color w:val="auto"/>
        </w:rPr>
        <w:tab/>
      </w:r>
      <w:r>
        <w:rPr>
          <w:rFonts w:ascii="Times New Roman" w:cs="Times New Roman" w:eastAsia="Times New Roman" w:hAnsi="Times New Roman"/>
          <w:sz w:val="20"/>
          <w:szCs w:val="20"/>
          <w:u w:val="single" w:color="auto"/>
          <w:color w:val="0000FF"/>
        </w:rPr>
        <w:t>29</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3.</w:t>
      </w:r>
      <w:r>
        <w:rPr>
          <w:sz w:val="20"/>
          <w:szCs w:val="20"/>
          <w:color w:val="auto"/>
        </w:rPr>
        <w:tab/>
      </w:r>
      <w:r>
        <w:rPr>
          <w:rFonts w:ascii="Times New Roman" w:cs="Times New Roman" w:eastAsia="Times New Roman" w:hAnsi="Times New Roman"/>
          <w:sz w:val="20"/>
          <w:szCs w:val="20"/>
          <w:u w:val="single" w:color="auto"/>
          <w:color w:val="0000FF"/>
        </w:rPr>
        <w:t>Legal Proceedings</w:t>
      </w:r>
      <w:r>
        <w:rPr>
          <w:sz w:val="20"/>
          <w:szCs w:val="20"/>
          <w:color w:val="auto"/>
        </w:rPr>
        <w:tab/>
      </w:r>
      <w:r>
        <w:rPr>
          <w:rFonts w:ascii="Times New Roman" w:cs="Times New Roman" w:eastAsia="Times New Roman" w:hAnsi="Times New Roman"/>
          <w:sz w:val="20"/>
          <w:szCs w:val="20"/>
          <w:u w:val="single" w:color="auto"/>
          <w:color w:val="0000FF"/>
        </w:rPr>
        <w:t>29</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4.</w:t>
      </w:r>
      <w:r>
        <w:rPr>
          <w:sz w:val="20"/>
          <w:szCs w:val="20"/>
          <w:color w:val="auto"/>
        </w:rPr>
        <w:tab/>
      </w:r>
      <w:r>
        <w:rPr>
          <w:rFonts w:ascii="Times New Roman" w:cs="Times New Roman" w:eastAsia="Times New Roman" w:hAnsi="Times New Roman"/>
          <w:sz w:val="20"/>
          <w:szCs w:val="20"/>
          <w:u w:val="single" w:color="auto"/>
          <w:color w:val="0000FF"/>
        </w:rPr>
        <w:t>Mine Safety Disclosures</w:t>
      </w:r>
      <w:r>
        <w:rPr>
          <w:sz w:val="20"/>
          <w:szCs w:val="20"/>
          <w:color w:val="auto"/>
        </w:rPr>
        <w:tab/>
      </w:r>
      <w:r>
        <w:rPr>
          <w:rFonts w:ascii="Times New Roman" w:cs="Times New Roman" w:eastAsia="Times New Roman" w:hAnsi="Times New Roman"/>
          <w:sz w:val="20"/>
          <w:szCs w:val="20"/>
          <w:u w:val="single" w:color="auto"/>
          <w:color w:val="0000FF"/>
        </w:rPr>
        <w:t>29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II.</w:t>
      </w:r>
    </w:p>
    <w:p>
      <w:pPr>
        <w:spacing w:after="0" w:line="54"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5.</w:t>
      </w:r>
      <w:r>
        <w:rPr>
          <w:sz w:val="20"/>
          <w:szCs w:val="20"/>
          <w:color w:val="auto"/>
        </w:rPr>
        <w:tab/>
      </w:r>
      <w:r>
        <w:rPr>
          <w:rFonts w:ascii="Times New Roman" w:cs="Times New Roman" w:eastAsia="Times New Roman" w:hAnsi="Times New Roman"/>
          <w:sz w:val="20"/>
          <w:szCs w:val="20"/>
          <w:u w:val="single" w:color="auto"/>
          <w:color w:val="0000FF"/>
        </w:rPr>
        <w:t>Market for Registrant’s Common Equity, Related Stockholder Matters and Issuer</w:t>
      </w:r>
      <w:r>
        <w:rPr>
          <w:sz w:val="20"/>
          <w:szCs w:val="20"/>
          <w:color w:val="auto"/>
        </w:rPr>
        <w:tab/>
      </w:r>
      <w:r>
        <w:rPr>
          <w:rFonts w:ascii="Times New Roman" w:cs="Times New Roman" w:eastAsia="Times New Roman" w:hAnsi="Times New Roman"/>
          <w:sz w:val="20"/>
          <w:szCs w:val="20"/>
          <w:u w:val="single" w:color="auto"/>
          <w:color w:val="0000FF"/>
        </w:rPr>
        <w:t>30</w:t>
      </w:r>
    </w:p>
    <w:p>
      <w:pPr>
        <w:ind w:left="1780"/>
        <w:spacing w:after="0"/>
        <w:tabs>
          <w:tab w:leader="none" w:pos="4220" w:val="left"/>
        </w:tabs>
        <w:rPr>
          <w:sz w:val="20"/>
          <w:szCs w:val="20"/>
          <w:color w:val="auto"/>
        </w:rPr>
      </w:pPr>
      <w:r>
        <w:rPr>
          <w:rFonts w:ascii="Times New Roman" w:cs="Times New Roman" w:eastAsia="Times New Roman" w:hAnsi="Times New Roman"/>
          <w:sz w:val="20"/>
          <w:szCs w:val="20"/>
          <w:u w:val="single" w:color="auto"/>
          <w:color w:val="0000FF"/>
        </w:rPr>
        <w:t>Purchases of Equity Securities</w:t>
      </w:r>
      <w:r>
        <w:rPr>
          <w:sz w:val="20"/>
          <w:szCs w:val="20"/>
          <w:color w:val="auto"/>
        </w:rPr>
        <w:tab/>
      </w:r>
      <w:r>
        <w:rPr>
          <w:rFonts w:ascii="Times New Roman" w:cs="Times New Roman" w:eastAsia="Times New Roman" w:hAnsi="Times New Roman"/>
          <w:sz w:val="19"/>
          <w:szCs w:val="19"/>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6.</w:t>
      </w:r>
      <w:r>
        <w:rPr>
          <w:sz w:val="20"/>
          <w:szCs w:val="20"/>
          <w:color w:val="auto"/>
        </w:rPr>
        <w:tab/>
      </w:r>
      <w:r>
        <w:rPr>
          <w:rFonts w:ascii="Times New Roman" w:cs="Times New Roman" w:eastAsia="Times New Roman" w:hAnsi="Times New Roman"/>
          <w:sz w:val="20"/>
          <w:szCs w:val="20"/>
          <w:u w:val="single" w:color="auto"/>
          <w:color w:val="0000FF"/>
        </w:rPr>
        <w:t>[Reserved]</w:t>
      </w:r>
      <w:r>
        <w:rPr>
          <w:sz w:val="20"/>
          <w:szCs w:val="20"/>
          <w:color w:val="auto"/>
        </w:rPr>
        <w:tab/>
      </w:r>
      <w:r>
        <w:rPr>
          <w:rFonts w:ascii="Times New Roman" w:cs="Times New Roman" w:eastAsia="Times New Roman" w:hAnsi="Times New Roman"/>
          <w:sz w:val="20"/>
          <w:szCs w:val="20"/>
          <w:u w:val="single" w:color="auto"/>
          <w:color w:val="0000FF"/>
        </w:rPr>
        <w:t>30</w:t>
      </w:r>
    </w:p>
    <w:p>
      <w:pPr>
        <w:spacing w:after="0" w:line="47"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7.</w:t>
      </w:r>
      <w:r>
        <w:rPr>
          <w:sz w:val="20"/>
          <w:szCs w:val="20"/>
          <w:color w:val="auto"/>
        </w:rPr>
        <w:tab/>
      </w:r>
      <w:r>
        <w:rPr>
          <w:rFonts w:ascii="Times New Roman" w:cs="Times New Roman" w:eastAsia="Times New Roman" w:hAnsi="Times New Roman"/>
          <w:sz w:val="20"/>
          <w:szCs w:val="20"/>
          <w:u w:val="single" w:color="auto"/>
          <w:color w:val="0000FF"/>
        </w:rPr>
        <w:t>Management’s Discussion and Analysis of Financial Condition and Results of</w:t>
      </w:r>
      <w:r>
        <w:rPr>
          <w:sz w:val="20"/>
          <w:szCs w:val="20"/>
          <w:color w:val="auto"/>
        </w:rPr>
        <w:tab/>
      </w:r>
      <w:r>
        <w:rPr>
          <w:rFonts w:ascii="Times New Roman" w:cs="Times New Roman" w:eastAsia="Times New Roman" w:hAnsi="Times New Roman"/>
          <w:sz w:val="20"/>
          <w:szCs w:val="20"/>
          <w:u w:val="single" w:color="auto"/>
          <w:color w:val="0000FF"/>
        </w:rPr>
        <w:t>31</w:t>
      </w:r>
    </w:p>
    <w:p>
      <w:pPr>
        <w:ind w:left="1780"/>
        <w:spacing w:after="0"/>
        <w:tabs>
          <w:tab w:leader="none" w:pos="2660" w:val="left"/>
        </w:tabs>
        <w:rPr>
          <w:sz w:val="20"/>
          <w:szCs w:val="20"/>
          <w:color w:val="auto"/>
        </w:rPr>
      </w:pPr>
      <w:r>
        <w:rPr>
          <w:rFonts w:ascii="Times New Roman" w:cs="Times New Roman" w:eastAsia="Times New Roman" w:hAnsi="Times New Roman"/>
          <w:sz w:val="20"/>
          <w:szCs w:val="20"/>
          <w:u w:val="single" w:color="auto"/>
          <w:color w:val="0000FF"/>
        </w:rPr>
        <w:t>Operations</w:t>
      </w:r>
      <w:r>
        <w:rPr>
          <w:sz w:val="20"/>
          <w:szCs w:val="20"/>
          <w:color w:val="auto"/>
        </w:rPr>
        <w:tab/>
      </w:r>
      <w:r>
        <w:rPr>
          <w:rFonts w:ascii="Times New Roman" w:cs="Times New Roman" w:eastAsia="Times New Roman" w:hAnsi="Times New Roman"/>
          <w:sz w:val="20"/>
          <w:szCs w:val="20"/>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7A.</w:t>
      </w:r>
      <w:r>
        <w:rPr>
          <w:sz w:val="20"/>
          <w:szCs w:val="20"/>
          <w:color w:val="auto"/>
        </w:rPr>
        <w:tab/>
      </w:r>
      <w:r>
        <w:rPr>
          <w:rFonts w:ascii="Times New Roman" w:cs="Times New Roman" w:eastAsia="Times New Roman" w:hAnsi="Times New Roman"/>
          <w:sz w:val="20"/>
          <w:szCs w:val="20"/>
          <w:u w:val="single" w:color="auto"/>
          <w:color w:val="0000FF"/>
        </w:rPr>
        <w:t>Quantitative and Qualitative Disclosures About Market Risk</w:t>
      </w:r>
      <w:r>
        <w:rPr>
          <w:sz w:val="20"/>
          <w:szCs w:val="20"/>
          <w:color w:val="auto"/>
        </w:rPr>
        <w:tab/>
      </w:r>
      <w:r>
        <w:rPr>
          <w:rFonts w:ascii="Times New Roman" w:cs="Times New Roman" w:eastAsia="Times New Roman" w:hAnsi="Times New Roman"/>
          <w:sz w:val="20"/>
          <w:szCs w:val="20"/>
          <w:u w:val="single" w:color="auto"/>
          <w:color w:val="0000FF"/>
        </w:rPr>
        <w:t>40</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8.</w:t>
      </w:r>
      <w:r>
        <w:rPr>
          <w:sz w:val="20"/>
          <w:szCs w:val="20"/>
          <w:color w:val="auto"/>
        </w:rPr>
        <w:tab/>
      </w:r>
      <w:r>
        <w:rPr>
          <w:rFonts w:ascii="Times New Roman" w:cs="Times New Roman" w:eastAsia="Times New Roman" w:hAnsi="Times New Roman"/>
          <w:sz w:val="20"/>
          <w:szCs w:val="20"/>
          <w:u w:val="single" w:color="auto"/>
          <w:color w:val="0000FF"/>
        </w:rPr>
        <w:t>Financial Statements and Supplementary Data</w:t>
      </w:r>
      <w:r>
        <w:rPr>
          <w:sz w:val="20"/>
          <w:szCs w:val="20"/>
          <w:color w:val="auto"/>
        </w:rPr>
        <w:tab/>
      </w:r>
      <w:r>
        <w:rPr>
          <w:rFonts w:ascii="Times New Roman" w:cs="Times New Roman" w:eastAsia="Times New Roman" w:hAnsi="Times New Roman"/>
          <w:sz w:val="20"/>
          <w:szCs w:val="20"/>
          <w:u w:val="single" w:color="auto"/>
          <w:color w:val="0000FF"/>
        </w:rPr>
        <w:t>41</w:t>
      </w:r>
    </w:p>
    <w:p>
      <w:pPr>
        <w:spacing w:after="0" w:line="47"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9.</w:t>
      </w:r>
      <w:r>
        <w:rPr>
          <w:sz w:val="20"/>
          <w:szCs w:val="20"/>
          <w:color w:val="auto"/>
        </w:rPr>
        <w:tab/>
      </w:r>
      <w:r>
        <w:rPr>
          <w:rFonts w:ascii="Times New Roman" w:cs="Times New Roman" w:eastAsia="Times New Roman" w:hAnsi="Times New Roman"/>
          <w:sz w:val="20"/>
          <w:szCs w:val="20"/>
          <w:u w:val="single" w:color="auto"/>
          <w:color w:val="0000FF"/>
        </w:rPr>
        <w:t>Changes in and Disagreements with Accountants on Accounting and Financial</w:t>
      </w:r>
      <w:r>
        <w:rPr>
          <w:sz w:val="20"/>
          <w:szCs w:val="20"/>
          <w:color w:val="auto"/>
        </w:rPr>
        <w:tab/>
      </w:r>
      <w:r>
        <w:rPr>
          <w:rFonts w:ascii="Times New Roman" w:cs="Times New Roman" w:eastAsia="Times New Roman" w:hAnsi="Times New Roman"/>
          <w:sz w:val="20"/>
          <w:szCs w:val="20"/>
          <w:u w:val="single" w:color="auto"/>
          <w:color w:val="0000FF"/>
        </w:rPr>
        <w:t>76</w:t>
      </w:r>
    </w:p>
    <w:p>
      <w:pPr>
        <w:ind w:left="1780"/>
        <w:spacing w:after="0"/>
        <w:tabs>
          <w:tab w:leader="none" w:pos="2620" w:val="left"/>
        </w:tabs>
        <w:rPr>
          <w:sz w:val="20"/>
          <w:szCs w:val="20"/>
          <w:color w:val="auto"/>
        </w:rPr>
      </w:pPr>
      <w:r>
        <w:rPr>
          <w:rFonts w:ascii="Times New Roman" w:cs="Times New Roman" w:eastAsia="Times New Roman" w:hAnsi="Times New Roman"/>
          <w:sz w:val="20"/>
          <w:szCs w:val="20"/>
          <w:u w:val="single" w:color="auto"/>
          <w:color w:val="0000FF"/>
        </w:rPr>
        <w:t>Disclosure</w:t>
      </w:r>
      <w:r>
        <w:rPr>
          <w:sz w:val="20"/>
          <w:szCs w:val="20"/>
          <w:color w:val="auto"/>
        </w:rPr>
        <w:tab/>
      </w:r>
      <w:r>
        <w:rPr>
          <w:rFonts w:ascii="Times New Roman" w:cs="Times New Roman" w:eastAsia="Times New Roman" w:hAnsi="Times New Roman"/>
          <w:sz w:val="20"/>
          <w:szCs w:val="20"/>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9A.</w:t>
      </w:r>
      <w:r>
        <w:rPr>
          <w:sz w:val="20"/>
          <w:szCs w:val="20"/>
          <w:color w:val="auto"/>
        </w:rPr>
        <w:tab/>
      </w:r>
      <w:r>
        <w:rPr>
          <w:rFonts w:ascii="Times New Roman" w:cs="Times New Roman" w:eastAsia="Times New Roman" w:hAnsi="Times New Roman"/>
          <w:sz w:val="20"/>
          <w:szCs w:val="20"/>
          <w:u w:val="single" w:color="auto"/>
          <w:color w:val="0000FF"/>
        </w:rPr>
        <w:t>Controls and Procedures</w:t>
      </w:r>
      <w:r>
        <w:rPr>
          <w:sz w:val="20"/>
          <w:szCs w:val="20"/>
          <w:color w:val="auto"/>
        </w:rPr>
        <w:tab/>
      </w:r>
      <w:r>
        <w:rPr>
          <w:rFonts w:ascii="Times New Roman" w:cs="Times New Roman" w:eastAsia="Times New Roman" w:hAnsi="Times New Roman"/>
          <w:sz w:val="20"/>
          <w:szCs w:val="20"/>
          <w:u w:val="single" w:color="auto"/>
          <w:color w:val="0000FF"/>
        </w:rPr>
        <w:t>76</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9B.</w:t>
      </w:r>
      <w:r>
        <w:rPr>
          <w:sz w:val="20"/>
          <w:szCs w:val="20"/>
          <w:color w:val="auto"/>
        </w:rPr>
        <w:tab/>
      </w:r>
      <w:r>
        <w:rPr>
          <w:rFonts w:ascii="Times New Roman" w:cs="Times New Roman" w:eastAsia="Times New Roman" w:hAnsi="Times New Roman"/>
          <w:sz w:val="20"/>
          <w:szCs w:val="20"/>
          <w:u w:val="single" w:color="auto"/>
          <w:color w:val="0000FF"/>
        </w:rPr>
        <w:t>Other Information</w:t>
      </w:r>
      <w:r>
        <w:rPr>
          <w:sz w:val="20"/>
          <w:szCs w:val="20"/>
          <w:color w:val="auto"/>
        </w:rPr>
        <w:tab/>
      </w:r>
      <w:r>
        <w:rPr>
          <w:rFonts w:ascii="Times New Roman" w:cs="Times New Roman" w:eastAsia="Times New Roman" w:hAnsi="Times New Roman"/>
          <w:sz w:val="20"/>
          <w:szCs w:val="20"/>
          <w:u w:val="single" w:color="auto"/>
          <w:color w:val="0000FF"/>
        </w:rPr>
        <w:t>76</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9C.</w:t>
      </w:r>
      <w:r>
        <w:rPr>
          <w:sz w:val="20"/>
          <w:szCs w:val="20"/>
          <w:color w:val="auto"/>
        </w:rPr>
        <w:tab/>
      </w:r>
      <w:r>
        <w:rPr>
          <w:rFonts w:ascii="Times New Roman" w:cs="Times New Roman" w:eastAsia="Times New Roman" w:hAnsi="Times New Roman"/>
          <w:sz w:val="20"/>
          <w:szCs w:val="20"/>
          <w:u w:val="single" w:color="auto"/>
          <w:color w:val="0000FF"/>
        </w:rPr>
        <w:t>Disclosure Regarding Foreign Jurisdictions that Prevent Inspections</w:t>
      </w:r>
      <w:r>
        <w:rPr>
          <w:sz w:val="20"/>
          <w:szCs w:val="20"/>
          <w:color w:val="auto"/>
        </w:rPr>
        <w:tab/>
      </w:r>
      <w:r>
        <w:rPr>
          <w:rFonts w:ascii="Times New Roman" w:cs="Times New Roman" w:eastAsia="Times New Roman" w:hAnsi="Times New Roman"/>
          <w:sz w:val="20"/>
          <w:szCs w:val="20"/>
          <w:u w:val="single" w:color="auto"/>
          <w:color w:val="0000FF"/>
        </w:rPr>
        <w:t>76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III.</w:t>
      </w:r>
    </w:p>
    <w:p>
      <w:pPr>
        <w:spacing w:after="0" w:line="62"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10.</w:t>
      </w:r>
      <w:r>
        <w:rPr>
          <w:sz w:val="20"/>
          <w:szCs w:val="20"/>
          <w:color w:val="auto"/>
        </w:rPr>
        <w:tab/>
      </w:r>
      <w:r>
        <w:rPr>
          <w:rFonts w:ascii="Times New Roman" w:cs="Times New Roman" w:eastAsia="Times New Roman" w:hAnsi="Times New Roman"/>
          <w:sz w:val="20"/>
          <w:szCs w:val="20"/>
          <w:u w:val="single" w:color="auto"/>
          <w:color w:val="0000FF"/>
        </w:rPr>
        <w:t>Directors, Executive Officers and Corporate Governance</w:t>
      </w:r>
      <w:r>
        <w:rPr>
          <w:sz w:val="20"/>
          <w:szCs w:val="20"/>
          <w:color w:val="auto"/>
        </w:rPr>
        <w:tab/>
      </w:r>
      <w:r>
        <w:rPr>
          <w:rFonts w:ascii="Times New Roman" w:cs="Times New Roman" w:eastAsia="Times New Roman" w:hAnsi="Times New Roman"/>
          <w:sz w:val="20"/>
          <w:szCs w:val="20"/>
          <w:u w:val="single" w:color="auto"/>
          <w:color w:val="0000FF"/>
        </w:rPr>
        <w:t>77</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11.</w:t>
      </w:r>
      <w:r>
        <w:rPr>
          <w:sz w:val="20"/>
          <w:szCs w:val="20"/>
          <w:color w:val="auto"/>
        </w:rPr>
        <w:tab/>
      </w:r>
      <w:r>
        <w:rPr>
          <w:rFonts w:ascii="Times New Roman" w:cs="Times New Roman" w:eastAsia="Times New Roman" w:hAnsi="Times New Roman"/>
          <w:sz w:val="20"/>
          <w:szCs w:val="20"/>
          <w:u w:val="single" w:color="auto"/>
          <w:color w:val="0000FF"/>
        </w:rPr>
        <w:t>Executive Compensation</w:t>
      </w:r>
      <w:r>
        <w:rPr>
          <w:sz w:val="20"/>
          <w:szCs w:val="20"/>
          <w:color w:val="auto"/>
        </w:rPr>
        <w:tab/>
      </w:r>
      <w:r>
        <w:rPr>
          <w:rFonts w:ascii="Times New Roman" w:cs="Times New Roman" w:eastAsia="Times New Roman" w:hAnsi="Times New Roman"/>
          <w:sz w:val="20"/>
          <w:szCs w:val="20"/>
          <w:u w:val="single" w:color="auto"/>
          <w:color w:val="0000FF"/>
        </w:rPr>
        <w:t>77</w:t>
      </w:r>
    </w:p>
    <w:p>
      <w:pPr>
        <w:spacing w:after="0" w:line="47"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12.</w:t>
      </w:r>
      <w:r>
        <w:rPr>
          <w:sz w:val="20"/>
          <w:szCs w:val="20"/>
          <w:color w:val="auto"/>
        </w:rPr>
        <w:tab/>
      </w:r>
      <w:r>
        <w:rPr>
          <w:rFonts w:ascii="Times New Roman" w:cs="Times New Roman" w:eastAsia="Times New Roman" w:hAnsi="Times New Roman"/>
          <w:sz w:val="20"/>
          <w:szCs w:val="20"/>
          <w:u w:val="single" w:color="auto"/>
          <w:color w:val="0000FF"/>
        </w:rPr>
        <w:t>Security Ownership of Certain Beneficial Owners and Management and Related</w:t>
      </w:r>
      <w:r>
        <w:rPr>
          <w:sz w:val="20"/>
          <w:szCs w:val="20"/>
          <w:color w:val="auto"/>
        </w:rPr>
        <w:tab/>
      </w:r>
      <w:r>
        <w:rPr>
          <w:rFonts w:ascii="Times New Roman" w:cs="Times New Roman" w:eastAsia="Times New Roman" w:hAnsi="Times New Roman"/>
          <w:sz w:val="20"/>
          <w:szCs w:val="20"/>
          <w:u w:val="single" w:color="auto"/>
          <w:color w:val="0000FF"/>
        </w:rPr>
        <w:t>77</w:t>
      </w:r>
    </w:p>
    <w:p>
      <w:pPr>
        <w:ind w:left="1780"/>
        <w:spacing w:after="0"/>
        <w:tabs>
          <w:tab w:leader="none" w:pos="3420" w:val="left"/>
        </w:tabs>
        <w:rPr>
          <w:sz w:val="20"/>
          <w:szCs w:val="20"/>
          <w:color w:val="auto"/>
        </w:rPr>
      </w:pPr>
      <w:r>
        <w:rPr>
          <w:rFonts w:ascii="Times New Roman" w:cs="Times New Roman" w:eastAsia="Times New Roman" w:hAnsi="Times New Roman"/>
          <w:sz w:val="20"/>
          <w:szCs w:val="20"/>
          <w:u w:val="single" w:color="auto"/>
          <w:color w:val="0000FF"/>
        </w:rPr>
        <w:t>Stockholder Matters</w:t>
      </w:r>
      <w:r>
        <w:rPr>
          <w:sz w:val="20"/>
          <w:szCs w:val="20"/>
          <w:color w:val="auto"/>
        </w:rPr>
        <w:tab/>
      </w:r>
      <w:r>
        <w:rPr>
          <w:rFonts w:ascii="Times New Roman" w:cs="Times New Roman" w:eastAsia="Times New Roman" w:hAnsi="Times New Roman"/>
          <w:sz w:val="19"/>
          <w:szCs w:val="19"/>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13.</w:t>
      </w:r>
      <w:r>
        <w:rPr>
          <w:sz w:val="20"/>
          <w:szCs w:val="20"/>
          <w:color w:val="auto"/>
        </w:rPr>
        <w:tab/>
      </w:r>
      <w:r>
        <w:rPr>
          <w:rFonts w:ascii="Times New Roman" w:cs="Times New Roman" w:eastAsia="Times New Roman" w:hAnsi="Times New Roman"/>
          <w:sz w:val="20"/>
          <w:szCs w:val="20"/>
          <w:u w:val="single" w:color="auto"/>
          <w:color w:val="0000FF"/>
        </w:rPr>
        <w:t>Certain Relationships and Related Transactions, and Director Independence</w:t>
      </w:r>
      <w:r>
        <w:rPr>
          <w:sz w:val="20"/>
          <w:szCs w:val="20"/>
          <w:color w:val="auto"/>
        </w:rPr>
        <w:tab/>
      </w:r>
      <w:r>
        <w:rPr>
          <w:rFonts w:ascii="Times New Roman" w:cs="Times New Roman" w:eastAsia="Times New Roman" w:hAnsi="Times New Roman"/>
          <w:sz w:val="20"/>
          <w:szCs w:val="20"/>
          <w:u w:val="single" w:color="auto"/>
          <w:color w:val="0000FF"/>
        </w:rPr>
        <w:t>77</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14.</w:t>
      </w:r>
      <w:r>
        <w:rPr>
          <w:sz w:val="20"/>
          <w:szCs w:val="20"/>
          <w:color w:val="auto"/>
        </w:rPr>
        <w:tab/>
      </w:r>
      <w:r>
        <w:rPr>
          <w:rFonts w:ascii="Times New Roman" w:cs="Times New Roman" w:eastAsia="Times New Roman" w:hAnsi="Times New Roman"/>
          <w:sz w:val="20"/>
          <w:szCs w:val="20"/>
          <w:u w:val="single" w:color="auto"/>
          <w:color w:val="0000FF"/>
        </w:rPr>
        <w:t>Principal Accountant Fees and Services</w:t>
      </w:r>
      <w:r>
        <w:rPr>
          <w:sz w:val="20"/>
          <w:szCs w:val="20"/>
          <w:color w:val="auto"/>
        </w:rPr>
        <w:tab/>
      </w:r>
      <w:r>
        <w:rPr>
          <w:rFonts w:ascii="Times New Roman" w:cs="Times New Roman" w:eastAsia="Times New Roman" w:hAnsi="Times New Roman"/>
          <w:sz w:val="20"/>
          <w:szCs w:val="20"/>
          <w:u w:val="single" w:color="auto"/>
          <w:color w:val="0000FF"/>
        </w:rPr>
        <w:t>77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IV.</w:t>
      </w:r>
    </w:p>
    <w:p>
      <w:pPr>
        <w:spacing w:after="0" w:line="62" w:lineRule="exact"/>
        <w:rPr>
          <w:sz w:val="20"/>
          <w:szCs w:val="20"/>
          <w:color w:val="auto"/>
        </w:rPr>
      </w:pPr>
    </w:p>
    <w:p>
      <w:pPr>
        <w:spacing w:after="0"/>
        <w:tabs>
          <w:tab w:leader="dot"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15.</w:t>
      </w:r>
      <w:r>
        <w:rPr>
          <w:sz w:val="20"/>
          <w:szCs w:val="20"/>
          <w:color w:val="auto"/>
        </w:rPr>
        <w:tab/>
      </w:r>
      <w:r>
        <w:rPr>
          <w:rFonts w:ascii="Times New Roman" w:cs="Times New Roman" w:eastAsia="Times New Roman" w:hAnsi="Times New Roman"/>
          <w:sz w:val="20"/>
          <w:szCs w:val="20"/>
          <w:u w:val="single" w:color="auto"/>
          <w:color w:val="0000FF"/>
        </w:rPr>
        <w:t>Exhibits and Financial Statement Schedules</w:t>
      </w:r>
      <w:r>
        <w:rPr>
          <w:sz w:val="20"/>
          <w:szCs w:val="20"/>
          <w:color w:val="auto"/>
        </w:rPr>
        <w:tab/>
      </w:r>
      <w:r>
        <w:rPr>
          <w:rFonts w:ascii="Times New Roman" w:cs="Times New Roman" w:eastAsia="Times New Roman" w:hAnsi="Times New Roman"/>
          <w:sz w:val="20"/>
          <w:szCs w:val="20"/>
          <w:u w:val="single" w:color="auto"/>
          <w:color w:val="0000FF"/>
        </w:rPr>
        <w:t>78</w:t>
      </w:r>
    </w:p>
    <w:p>
      <w:pPr>
        <w:spacing w:after="0" w:line="55" w:lineRule="exact"/>
        <w:rPr>
          <w:sz w:val="20"/>
          <w:szCs w:val="20"/>
          <w:color w:val="auto"/>
        </w:rPr>
      </w:pPr>
    </w:p>
    <w:p>
      <w:pPr>
        <w:spacing w:after="0"/>
        <w:tabs>
          <w:tab w:leader="dot"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16.</w:t>
      </w:r>
      <w:r>
        <w:rPr>
          <w:sz w:val="20"/>
          <w:szCs w:val="20"/>
          <w:color w:val="auto"/>
        </w:rPr>
        <w:tab/>
      </w:r>
      <w:r>
        <w:rPr>
          <w:rFonts w:ascii="Times New Roman" w:cs="Times New Roman" w:eastAsia="Times New Roman" w:hAnsi="Times New Roman"/>
          <w:sz w:val="20"/>
          <w:szCs w:val="20"/>
          <w:u w:val="single" w:color="auto"/>
          <w:color w:val="0000FF"/>
        </w:rPr>
        <w:t>Form 10-K Summary</w:t>
      </w:r>
      <w:r>
        <w:rPr>
          <w:sz w:val="20"/>
          <w:szCs w:val="20"/>
          <w:color w:val="auto"/>
        </w:rPr>
        <w:tab/>
      </w:r>
      <w:r>
        <w:rPr>
          <w:rFonts w:ascii="Times New Roman" w:cs="Times New Roman" w:eastAsia="Times New Roman" w:hAnsi="Times New Roman"/>
          <w:sz w:val="20"/>
          <w:szCs w:val="20"/>
          <w:u w:val="single" w:color="auto"/>
          <w:color w:val="0000FF"/>
        </w:rPr>
        <w:t>80</w:t>
      </w:r>
    </w:p>
    <w:p>
      <w:pPr>
        <w:spacing w:after="0" w:line="55" w:lineRule="exact"/>
        <w:rPr>
          <w:sz w:val="20"/>
          <w:szCs w:val="20"/>
          <w:color w:val="auto"/>
        </w:rPr>
      </w:pPr>
    </w:p>
    <w:p>
      <w:pPr>
        <w:spacing w:after="0"/>
        <w:tabs>
          <w:tab w:leader="dot" w:pos="9080" w:val="left"/>
        </w:tabs>
        <w:rPr>
          <w:sz w:val="20"/>
          <w:szCs w:val="20"/>
          <w:color w:val="auto"/>
        </w:rPr>
      </w:pPr>
      <w:r>
        <w:rPr>
          <w:rFonts w:ascii="Times New Roman" w:cs="Times New Roman" w:eastAsia="Times New Roman" w:hAnsi="Times New Roman"/>
          <w:sz w:val="20"/>
          <w:szCs w:val="20"/>
          <w:u w:val="single" w:color="auto"/>
          <w:color w:val="0000FF"/>
        </w:rPr>
        <w:t>SIGNATURES</w:t>
      </w:r>
      <w:r>
        <w:rPr>
          <w:sz w:val="20"/>
          <w:szCs w:val="20"/>
          <w:color w:val="auto"/>
        </w:rPr>
        <w:tab/>
      </w:r>
      <w:r>
        <w:rPr>
          <w:rFonts w:ascii="Times New Roman" w:cs="Times New Roman" w:eastAsia="Times New Roman" w:hAnsi="Times New Roman"/>
          <w:sz w:val="20"/>
          <w:szCs w:val="20"/>
          <w:u w:val="single" w:color="auto"/>
          <w:color w:val="0000FF"/>
        </w:rPr>
        <w:t>81</w:t>
      </w:r>
    </w:p>
    <w:p>
      <w:pPr>
        <w:sectPr>
          <w:pgSz w:w="12240" w:h="15840" w:orient="portrait"/>
          <w:cols w:equalWidth="0" w:num="1">
            <w:col w:w="9620"/>
          </w:cols>
          <w:pgMar w:left="1180" w:top="1371" w:right="1440" w:bottom="1440" w:gutter="0" w:footer="0" w:header="0"/>
        </w:sectPr>
      </w:pPr>
    </w:p>
    <w:bookmarkStart w:id="2" w:name="page3"/>
    <w:bookmarkEnd w:id="2"/>
    <w:p>
      <w:pPr>
        <w:jc w:val="both"/>
        <w:ind w:left="10" w:right="20" w:firstLine="360"/>
        <w:spacing w:after="0" w:line="212" w:lineRule="auto"/>
        <w:rPr>
          <w:sz w:val="20"/>
          <w:szCs w:val="20"/>
          <w:color w:val="auto"/>
        </w:rPr>
      </w:pPr>
      <w:r>
        <w:rPr>
          <w:rFonts w:ascii="Times New Roman" w:cs="Times New Roman" w:eastAsia="Times New Roman" w:hAnsi="Times New Roman"/>
          <w:sz w:val="20"/>
          <w:szCs w:val="20"/>
          <w:color w:val="auto"/>
        </w:rPr>
        <w:t>On June 24, 2021 (the “Closing Date” or the “Closing”), Perella Weinberg Partners consummated a business combination pursuant to that certain Business Combination Agreement, dated as of December 29, 2020 (the “Business Combination Agreement”). As contemplated by the Business Combination Agreement, (i) Perella Weinberg Partners acquired certain partnership interests in PWP Holdings LP (“PWP OpCo”), (ii) PWP OpCo became jointly-owned by Perella Weinberg Partners, PWP Professional Partners LP (together with its successors (including pursuant to the Division (as defined below)) and assigns, as applicable, “Professional Partners”) and certain existing partners of PWP OpCo, and</w:t>
      </w:r>
    </w:p>
    <w:p>
      <w:pPr>
        <w:spacing w:after="0" w:line="3" w:lineRule="exact"/>
        <w:rPr>
          <w:sz w:val="20"/>
          <w:szCs w:val="20"/>
          <w:color w:val="auto"/>
        </w:rPr>
      </w:pPr>
    </w:p>
    <w:p>
      <w:pPr>
        <w:jc w:val="both"/>
        <w:ind w:left="10" w:hanging="10"/>
        <w:spacing w:after="0" w:line="212" w:lineRule="auto"/>
        <w:tabs>
          <w:tab w:leader="none" w:pos="37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PWP OpCo serves as Perella Weinberg Partners’ operating partnership as part of an umbrella limited partnership C-corporation (Up-C) structure (collectively with the other transactions contemplated by the Business Combination Agreement, the “Business Combination”). On December 31, 2023 and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 Professional Partners LP. Unless the context otherwise requires, all references to “PWP,” the “Company,” “we,” “us” or “our” refer to Perella Weinberg Partners and its consolidated subsidiaries.</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17" w:lineRule="exact"/>
        <w:rPr>
          <w:sz w:val="20"/>
          <w:szCs w:val="20"/>
          <w:color w:val="auto"/>
        </w:rPr>
      </w:pPr>
    </w:p>
    <w:p>
      <w:pPr>
        <w:jc w:val="both"/>
        <w:ind w:left="10" w:firstLine="360"/>
        <w:spacing w:after="0" w:line="214" w:lineRule="auto"/>
        <w:rPr>
          <w:sz w:val="20"/>
          <w:szCs w:val="20"/>
          <w:color w:val="auto"/>
        </w:rPr>
      </w:pPr>
      <w:r>
        <w:rPr>
          <w:rFonts w:ascii="Times New Roman" w:cs="Times New Roman" w:eastAsia="Times New Roman" w:hAnsi="Times New Roman"/>
          <w:sz w:val="20"/>
          <w:szCs w:val="20"/>
          <w:color w:val="auto"/>
        </w:rPr>
        <w:t>Certain statements made in this Annual Report on Form 10-K are “forward 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184" w:lineRule="exact"/>
        <w:rPr>
          <w:sz w:val="20"/>
          <w:szCs w:val="20"/>
          <w:color w:val="auto"/>
        </w:rPr>
      </w:pPr>
    </w:p>
    <w:p>
      <w:pPr>
        <w:jc w:val="both"/>
        <w:ind w:left="10" w:firstLine="360"/>
        <w:spacing w:after="0" w:line="214" w:lineRule="auto"/>
        <w:rPr>
          <w:sz w:val="20"/>
          <w:szCs w:val="20"/>
          <w:color w:val="auto"/>
        </w:rPr>
      </w:pPr>
      <w:r>
        <w:rPr>
          <w:rFonts w:ascii="Times New Roman" w:cs="Times New Roman" w:eastAsia="Times New Roman" w:hAnsi="Times New Roman"/>
          <w:sz w:val="20"/>
          <w:szCs w:val="20"/>
          <w:color w:val="auto"/>
        </w:rPr>
        <w:t xml:space="preserve">Important factors, among others, that may affect actual results or outcomes include (but are not limited to):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under </w:t>
      </w:r>
      <w:r>
        <w:rPr>
          <w:rFonts w:ascii="Times New Roman" w:cs="Times New Roman" w:eastAsia="Times New Roman" w:hAnsi="Times New Roman"/>
          <w:sz w:val="20"/>
          <w:szCs w:val="20"/>
          <w:b w:val="1"/>
          <w:bCs w:val="1"/>
          <w:i w:val="1"/>
          <w:iCs w:val="1"/>
          <w:color w:val="auto"/>
        </w:rPr>
        <w:t>“Part I—Item 1A. Risk Factors.”</w:t>
      </w:r>
    </w:p>
    <w:p>
      <w:pPr>
        <w:spacing w:after="0" w:line="184" w:lineRule="exact"/>
        <w:rPr>
          <w:sz w:val="20"/>
          <w:szCs w:val="20"/>
          <w:color w:val="auto"/>
        </w:rPr>
      </w:pPr>
    </w:p>
    <w:p>
      <w:pPr>
        <w:jc w:val="both"/>
        <w:ind w:left="10" w:right="20" w:firstLine="360"/>
        <w:spacing w:after="0" w:line="221" w:lineRule="auto"/>
        <w:rPr>
          <w:sz w:val="20"/>
          <w:szCs w:val="20"/>
          <w:color w:val="auto"/>
        </w:rPr>
      </w:pPr>
      <w:r>
        <w:rPr>
          <w:rFonts w:ascii="Times New Roman" w:cs="Times New Roman" w:eastAsia="Times New Roman" w:hAnsi="Times New Roman"/>
          <w:sz w:val="20"/>
          <w:szCs w:val="20"/>
          <w:color w:val="auto"/>
        </w:rPr>
        <w:t>The forward-looking statements contained in this Annual Report on Form 10-K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Website Disclosure</w:t>
      </w:r>
    </w:p>
    <w:p>
      <w:pPr>
        <w:spacing w:after="0" w:line="217" w:lineRule="exact"/>
        <w:rPr>
          <w:sz w:val="20"/>
          <w:szCs w:val="20"/>
          <w:color w:val="auto"/>
        </w:rPr>
      </w:pPr>
    </w:p>
    <w:p>
      <w:pPr>
        <w:jc w:val="both"/>
        <w:ind w:left="10" w:firstLine="360"/>
        <w:spacing w:after="0" w:line="216" w:lineRule="auto"/>
        <w:rPr>
          <w:sz w:val="20"/>
          <w:szCs w:val="20"/>
          <w:color w:val="auto"/>
        </w:rPr>
      </w:pPr>
      <w:r>
        <w:rPr>
          <w:rFonts w:ascii="Times New Roman" w:cs="Times New Roman" w:eastAsia="Times New Roman" w:hAnsi="Times New Roman"/>
          <w:sz w:val="20"/>
          <w:szCs w:val="20"/>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ectPr>
          <w:pgSz w:w="12240" w:h="15840" w:orient="portrait"/>
          <w:cols w:equalWidth="0" w:num="1">
            <w:col w:w="9910"/>
          </w:cols>
          <w:pgMar w:left="117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910"/>
          </w:cols>
          <w:pgMar w:left="1170" w:top="1378" w:right="1160" w:bottom="169" w:gutter="0" w:footer="0" w:header="0"/>
          <w:type w:val="continuous"/>
        </w:sectPr>
      </w:pPr>
    </w:p>
    <w:bookmarkStart w:id="3" w:name="page4"/>
    <w:bookmarkEnd w:id="3"/>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OpCo prior to the consummation of the Business Combination.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financial sponsors, individual entrepreneurs, private and institutional investors, creditor committees and government institutions.</w:t>
      </w:r>
    </w:p>
    <w:p>
      <w:pPr>
        <w:spacing w:after="0" w:line="181"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8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Our business provides services to multiple industry sectors, geographic markets and advisory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(“M&amp;A”) execution, shareholder and defense advisory, financing and capital solutions advice with resources focused on restructuring and liability management and capital markets advisory, as well as specialized underwriting and research services primarily for the energy and related industries.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As of December 31, 2023, we serve our clients with 492 advisory professionals, including 64 advisory partners and 45 advisory managing directors, based in ten offices, located in five countries around the world.</w:t>
      </w:r>
    </w:p>
    <w:p>
      <w:pPr>
        <w:spacing w:after="0" w:line="181"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achieved revenues of $648.7 million and an operating loss of $115.1 million for the year ended December 31, 2023, revenues of $631.5 million and an operating loss of $47.7 million for the year ended December 31, 2022 and revenues of $801.7 million and operating income of $66.6 million for the year ended December 31, 2021. The operating losses in 2023 and 2022 were largely due to the amortization of equity-based compensation awards granted by Professional Partners, which have no economic impact on PWP or PWP OpCo, and the amortization of equity-based compensation awards granted in connection with the Business Combination. These awards have been and will be recorded as an equity-based compensation expense at PWP OpCo pursuant to generally accepted accounting principles in the United States (“U.S. GAAP”).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Market Opportunity</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founded our Company with the objective of providing strategic and financial advice to business leaders that is critical to the success of their businesses throughout their corporate evolution. We believe that clients are increasingly looking for an independent advisor who can serve as an unbiased sounding board, work with them in genuine partnership and be by their side as they navigate mission-critical and complex issues.</w:t>
      </w:r>
    </w:p>
    <w:p>
      <w:pPr>
        <w:sectPr>
          <w:pgSz w:w="12240" w:h="15840" w:orient="portrait"/>
          <w:cols w:equalWidth="0" w:num="1">
            <w:col w:w="9900"/>
          </w:cols>
          <w:pgMar w:left="1180" w:top="1440"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00"/>
          </w:cols>
          <w:pgMar w:left="1180" w:top="1440" w:right="1160" w:bottom="169"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Our Key Competitive Strengths</w:t>
      </w:r>
    </w:p>
    <w:p>
      <w:pPr>
        <w:spacing w:after="0" w:line="217"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When we founded the Company, we saw a compelling market opportunity to create a platform with deeply experienced, senior advisory professionals from the most reputable institutions around the world to focus solely on advising clients.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We believe that our integrated approach and our partnership culture in how we work with each other and our clients provides an ideal platform to deliver the strategic and financial advice sought by our clients.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Strategy</w:t>
      </w:r>
    </w:p>
    <w:p>
      <w:pPr>
        <w:spacing w:after="0" w:line="217" w:lineRule="exact"/>
        <w:rPr>
          <w:sz w:val="20"/>
          <w:szCs w:val="20"/>
          <w:color w:val="auto"/>
        </w:rPr>
      </w:pPr>
    </w:p>
    <w:p>
      <w:pPr>
        <w:jc w:val="both"/>
        <w:ind w:right="20" w:firstLine="360"/>
        <w:spacing w:after="0" w:line="232" w:lineRule="auto"/>
        <w:rPr>
          <w:sz w:val="20"/>
          <w:szCs w:val="20"/>
          <w:color w:val="auto"/>
        </w:rPr>
      </w:pPr>
      <w:r>
        <w:rPr>
          <w:rFonts w:ascii="Times New Roman" w:cs="Times New Roman" w:eastAsia="Times New Roman" w:hAnsi="Times New Roman"/>
          <w:sz w:val="19"/>
          <w:szCs w:val="19"/>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and help us attain scale. As we execute on our growth strategy, we expect to expand our relationships with clients and the capabilities we can offer them, which will enhance our position as a leading independent advisory firm.</w:t>
      </w:r>
    </w:p>
    <w:p>
      <w:pPr>
        <w:spacing w:after="0" w:line="184"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Additionally, we believe we will continue to benefit from growing comfort in the independent advisory model from business leaders which we believe will expand our overall market opportunity.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Advisory Offerings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Clients</w:t>
      </w:r>
    </w:p>
    <w:p>
      <w:pPr>
        <w:spacing w:after="0" w:line="219"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&amp; Energy Transition; Financial Services &amp; FinTech; Healthcare; Industrials &amp; Infrastructure; and Technology, Telecom &amp; Media.</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complement our industry focus with extensive advisory expertise in the largest international advisory markets. We operate out of ten offices in the United States, Canada, the United Kingdom, France and Germany, and we have deep international experience that has enabled us to work extensively with clients worldwide. Since our inception, we have advised over 1,000 clients on transactions in over 45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Advisory Services</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seek to advise our clients throughout their corporate evolution, with the full range of our advisory capabilities. Those services include advice related to strategic and financial decisions, M&amp;A execution, shareholder and defense advisory, financing and capital solutions advice with resources focused on restructuring and liability management, and capital markets advisory, as well as specialized underwriting and research services primarily for the energy and related industries.</w:t>
      </w:r>
    </w:p>
    <w:p>
      <w:pPr>
        <w:spacing w:after="0" w:line="175" w:lineRule="exact"/>
        <w:rPr>
          <w:sz w:val="20"/>
          <w:szCs w:val="20"/>
          <w:color w:val="auto"/>
        </w:rPr>
      </w:pPr>
    </w:p>
    <w:p>
      <w:pPr>
        <w:jc w:val="both"/>
        <w:ind w:right="20" w:firstLine="360"/>
        <w:spacing w:after="0" w:line="220"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M&amp;A and Strategic Advisory: </w:t>
      </w:r>
      <w:r>
        <w:rPr>
          <w:rFonts w:ascii="Times New Roman" w:cs="Times New Roman" w:eastAsia="Times New Roman" w:hAnsi="Times New Roman"/>
          <w:sz w:val="20"/>
          <w:szCs w:val="20"/>
          <w:color w:val="auto"/>
        </w:rPr>
        <w:t>We have established a leading M&amp;A and strategic advisory practice, advising clients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range of 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75"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Financing and Capital Solutions Advisory: </w:t>
      </w:r>
      <w:r>
        <w:rPr>
          <w:rFonts w:ascii="Times New Roman" w:cs="Times New Roman" w:eastAsia="Times New Roman" w:hAnsi="Times New Roman"/>
          <w:sz w:val="20"/>
          <w:szCs w:val="20"/>
          <w:color w:val="auto"/>
        </w:rPr>
        <w:t>We have built, and are continuing to invest in, a leading franchise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advising clients on capital markets matters, both in transaction-related and ordinary course financing execution. We provide comprehensive capital structure advice and help our clients develop financing solutions tailored to their specific needs. We believe our independence and objectivity, coupled with our deep experience in complex financial matters, inform our market views and enhance the likelihood of a successful transaction, and in turn have helped us develop trusted and long-lasting relationships with our clients. Moreover, we believe the dramatic shift towards private credit is a once-in-a-generation move. It has been, and we believe will continue to be, a tailwind for our business, both for our corporate clients as well as for financial sponsors.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900"/>
          </w:cols>
          <w:pgMar w:left="1180" w:top="1371" w:right="1160" w:bottom="169"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Our Commitment to Environmental, Social and Governance Leadership</w:t>
      </w:r>
    </w:p>
    <w:p>
      <w:pPr>
        <w:spacing w:after="0" w:line="217"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We believe that leadership in Environmental, Social and Governance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78" w:lineRule="exact"/>
        <w:rPr>
          <w:sz w:val="20"/>
          <w:szCs w:val="20"/>
          <w:color w:val="auto"/>
        </w:rPr>
      </w:pPr>
    </w:p>
    <w:p>
      <w:pPr>
        <w:jc w:val="both"/>
        <w:ind w:left="720" w:right="20" w:hanging="370"/>
        <w:spacing w:after="0" w:line="26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Environmental. </w:t>
      </w:r>
      <w:r>
        <w:rPr>
          <w:rFonts w:ascii="Times New Roman" w:cs="Times New Roman" w:eastAsia="Times New Roman" w:hAnsi="Times New Roman"/>
          <w:sz w:val="20"/>
          <w:szCs w:val="20"/>
          <w:color w:val="auto"/>
        </w:rPr>
        <w:t>The Environmental pillar is focused on assessing and monitoring our environmental footprint,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proactively raising our firm-wide awareness of environmental risk and opportunity by committing to sustainable practices to oversee environmental aspects in our business activities.</w:t>
      </w:r>
    </w:p>
    <w:p>
      <w:pPr>
        <w:spacing w:after="0" w:line="186" w:lineRule="exact"/>
        <w:rPr>
          <w:rFonts w:ascii="Times New Roman" w:cs="Times New Roman" w:eastAsia="Times New Roman" w:hAnsi="Times New Roman"/>
          <w:sz w:val="20"/>
          <w:szCs w:val="20"/>
          <w:color w:val="auto"/>
        </w:rPr>
      </w:pPr>
    </w:p>
    <w:p>
      <w:pPr>
        <w:jc w:val="both"/>
        <w:ind w:left="720" w:right="20" w:hanging="370"/>
        <w:spacing w:after="0" w:line="26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Social. </w:t>
      </w:r>
      <w:r>
        <w:rPr>
          <w:rFonts w:ascii="Times New Roman" w:cs="Times New Roman" w:eastAsia="Times New Roman" w:hAnsi="Times New Roman"/>
          <w:sz w:val="20"/>
          <w:szCs w:val="20"/>
          <w:color w:val="auto"/>
        </w:rPr>
        <w:t>The Social pillar is focused on promoting diversity and inclusion, reinforcing our commitment to engage,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 and motivate our employees, and maintaining a rigorous cybersecurity program to protect our valuable data.</w:t>
      </w:r>
    </w:p>
    <w:p>
      <w:pPr>
        <w:spacing w:after="0" w:line="186" w:lineRule="exact"/>
        <w:rPr>
          <w:rFonts w:ascii="Times New Roman" w:cs="Times New Roman" w:eastAsia="Times New Roman" w:hAnsi="Times New Roman"/>
          <w:sz w:val="20"/>
          <w:szCs w:val="20"/>
          <w:color w:val="auto"/>
        </w:rPr>
      </w:pPr>
    </w:p>
    <w:p>
      <w:pPr>
        <w:jc w:val="both"/>
        <w:ind w:left="720" w:hanging="370"/>
        <w:spacing w:after="0" w:line="26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Governance. </w:t>
      </w:r>
      <w:r>
        <w:rPr>
          <w:rFonts w:ascii="Times New Roman" w:cs="Times New Roman" w:eastAsia="Times New Roman" w:hAnsi="Times New Roman"/>
          <w:sz w:val="20"/>
          <w:szCs w:val="20"/>
          <w:color w:val="auto"/>
        </w:rPr>
        <w:t>The Governance pillar is focused on upholding our commitment to ethical business conduct,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professional integrity and corporate responsibility by integrating strong governance and enterprise risk management oversight across all aspects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People and Inclusive Culture</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82"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The drivers of the growth of the Company include a combination of internal promotions and lateral recruiting in our areas of focus. In addition to this promotion and addition of external hires, we have also maintained significant discipline in how we assess our advisory professionals within our culture and our strategic and financial objectives.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Our senior professionals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84"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We recruit our junior professionals from the world's leading undergraduate and graduate programs. We devote significant time and resources to attracting, training and mentoring our employees. This starts with positioning our Company to attract competitive, high caliber talent and providing a hands-on development platform from day one through our global internship program and early careers curriculum. We are committed to talent retention, and our goal is to develop our brightest and most ambitious junior professionals into successful partners. To this end, as of December 31, 2023, 23 of our 64 advisory partners and 35 of our 45 advisory managing directors were promoted internally.</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In addition to recruiting and developing advisory professionals, we have also entered into formal relationships with certain senior advisors who work with our advisory professionals to augment our overall advisory services to our clients.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2023, we had 663 employees.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00"/>
          </w:cols>
          <w:pgMar w:left="1180" w:top="1371" w:right="1160" w:bottom="169"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Our Focus on Cybersecurity</w:t>
      </w:r>
    </w:p>
    <w:p>
      <w:pPr>
        <w:spacing w:after="0" w:line="217"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strive to protect the reputation of our Company by establishing, protecting and defending our data and systems in a number of ways through a combination of processes, tools, and awareness-building. We aim to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18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We maintain an ongoing process to enhance security and optimize our IT systems, and regularly conduct security assessments and testing of our systems to verify our systems' integrity to protect against being compromised from both internal and external sources. In addition to identifying information security risks, we have established robust controls to seek to reduce or mitigate such risks. Cybersecurity training for employees is conducted regularly and we maintain system logs of user activities, exceptions, and security events for a period consistent with industry best practices unless otherwise required by law, regulation or contractual obligation.</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 ensure our ability to restore data in the event of data failure, corruption, accidental deletion, or malicious tampering.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are a holding company and our only material assets are our partnership interests in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81"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Guggenheim Partners, Houlihan Lokey, Inc., Lazard, Inc., Moelis, Inc., NM Rothschild &amp; Sons Limited, PJT Partners, Inc., and other closely held boutique firms. 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84"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17"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country’s securities and other financial markets and with protecting the interests of clients participating in those markets.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00"/>
          </w:cols>
          <w:pgMar w:left="1180" w:top="1371" w:right="1160" w:bottom="169" w:gutter="0" w:footer="0" w:header="0"/>
          <w:type w:val="continuous"/>
        </w:sectPr>
      </w:pPr>
    </w:p>
    <w:bookmarkStart w:id="7" w:name="page8"/>
    <w:bookmarkEnd w:id="7"/>
    <w:p>
      <w:pPr>
        <w:jc w:val="both"/>
        <w:ind w:left="10" w:right="20" w:firstLine="360"/>
        <w:spacing w:after="0" w:line="215" w:lineRule="auto"/>
        <w:rPr>
          <w:sz w:val="20"/>
          <w:szCs w:val="20"/>
          <w:color w:val="auto"/>
        </w:rPr>
      </w:pPr>
      <w:r>
        <w:rPr>
          <w:rFonts w:ascii="Times New Roman" w:cs="Times New Roman" w:eastAsia="Times New Roman" w:hAnsi="Times New Roman"/>
          <w:sz w:val="20"/>
          <w:szCs w:val="20"/>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Tudor, Pickering, Holt &amp; Co. Securities, LLC (“TPH Securities”), through which we conduct equity research and sales in the United States are registered as broker-dealers with, and are subject to regulation and oversight by, the SEC. In addition, the Financial Industry Regulatory Authority (“FINRA”), a self-regulatory organization that is subject to oversight by the SEC, adopts and enforces rules governing the conduct, and examines the activities of, its member firms, including Perella Weinberg Partners LP and TPH Securities. State securities regulators also have regulatory or oversight authority over Perella Weinberg Partners LP and TPH Securities.</w:t>
      </w:r>
    </w:p>
    <w:p>
      <w:pPr>
        <w:spacing w:after="0" w:line="186" w:lineRule="exact"/>
        <w:rPr>
          <w:sz w:val="20"/>
          <w:szCs w:val="20"/>
          <w:color w:val="auto"/>
        </w:rPr>
      </w:pPr>
    </w:p>
    <w:p>
      <w:pPr>
        <w:jc w:val="both"/>
        <w:ind w:left="10" w:right="20" w:firstLine="360"/>
        <w:spacing w:after="0" w:line="213" w:lineRule="auto"/>
        <w:rPr>
          <w:sz w:val="20"/>
          <w:szCs w:val="20"/>
          <w:color w:val="auto"/>
        </w:rPr>
      </w:pPr>
      <w:r>
        <w:rPr>
          <w:rFonts w:ascii="Times New Roman" w:cs="Times New Roman" w:eastAsia="Times New Roman" w:hAnsi="Times New Roman"/>
          <w:sz w:val="20"/>
          <w:szCs w:val="20"/>
          <w:color w:val="auto"/>
        </w:rPr>
        <w:t>Broker-dealers are subject to regulations that cover all aspects of the securities business, including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87" w:lineRule="exact"/>
        <w:rPr>
          <w:sz w:val="20"/>
          <w:szCs w:val="20"/>
          <w:color w:val="auto"/>
        </w:rPr>
      </w:pPr>
    </w:p>
    <w:p>
      <w:pPr>
        <w:jc w:val="both"/>
        <w:ind w:left="10" w:firstLine="360"/>
        <w:spacing w:after="0" w:line="211" w:lineRule="auto"/>
        <w:rPr>
          <w:sz w:val="20"/>
          <w:szCs w:val="20"/>
          <w:color w:val="auto"/>
        </w:rPr>
      </w:pPr>
      <w:r>
        <w:rPr>
          <w:rFonts w:ascii="Times New Roman" w:cs="Times New Roman" w:eastAsia="Times New Roman" w:hAnsi="Times New Roman"/>
          <w:sz w:val="20"/>
          <w:szCs w:val="20"/>
          <w:color w:val="auto"/>
        </w:rPr>
        <w:t>In addition to the regulation, we are subject to in the United States, we are also subject to regulation internationally. Perella Weinberg UK Limited (“PWP U.K.”) is authorized and regulated by the Financial Conduct Authority (“FCA”) as a Small Non-Interconnected investment firm. Perella Weinberg Partners France SAS (“PWP France”) is authorized and regulated by the Authorite de Controle Prudentiel (“ACPR”) and the Authorite des Marches Financiers (“AMF”) as a class 3 investment firm. Both PWP U.K. and PWP France are subject to regulations applicable to investment firms respectively in the U.K. and in France, including market abuse and insider dealing regulation, anti-money laundering, conflicts management, business conduct, regulatory reporting and minimum regulatory capital requirements. Tudor, Pickering, Holt</w:t>
      </w:r>
    </w:p>
    <w:p>
      <w:pPr>
        <w:spacing w:after="0" w:line="7" w:lineRule="exact"/>
        <w:rPr>
          <w:sz w:val="20"/>
          <w:szCs w:val="20"/>
          <w:color w:val="auto"/>
        </w:rPr>
      </w:pPr>
    </w:p>
    <w:p>
      <w:pPr>
        <w:jc w:val="both"/>
        <w:ind w:left="10" w:right="20" w:hanging="10"/>
        <w:spacing w:after="0" w:line="213" w:lineRule="auto"/>
        <w:tabs>
          <w:tab w:leader="none" w:pos="25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 Securities - Canada, ULC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the Canadian Investment Regulatory Organization (“CIRO”), which adopts and enforces rules overseeing the capital, business conduct, record keeping, individual registration and proficiency, governance, and examines the activities of, its member firms. Per CIRO’s rules, TPH Canada is required to maintain certain minimum capital, with additional capital requirements when TPH Canada participates in deal financings outside of its carrying broker relationship.</w:t>
      </w:r>
    </w:p>
    <w:p>
      <w:pPr>
        <w:spacing w:after="0" w:line="185"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Certain parts of our business are subject to compliance with laws and regulations of U.S. federal and state governments, non-U.S. governments, their respective agencies and/or various self-regulatory organizations relating to, among other things, the privacy of client information, and any failure to comply with these regulations could expose us to liability and/or reputational damage.</w:t>
      </w:r>
    </w:p>
    <w:p>
      <w:pPr>
        <w:spacing w:after="0" w:line="181" w:lineRule="exact"/>
        <w:rPr>
          <w:sz w:val="20"/>
          <w:szCs w:val="20"/>
          <w:color w:val="auto"/>
        </w:rPr>
      </w:pPr>
    </w:p>
    <w:p>
      <w:pPr>
        <w:jc w:val="both"/>
        <w:ind w:left="10" w:firstLine="360"/>
        <w:spacing w:after="0" w:line="213" w:lineRule="auto"/>
        <w:rPr>
          <w:sz w:val="20"/>
          <w:szCs w:val="20"/>
          <w:color w:val="auto"/>
        </w:rPr>
      </w:pPr>
      <w:r>
        <w:rPr>
          <w:rFonts w:ascii="Times New Roman" w:cs="Times New Roman" w:eastAsia="Times New Roman" w:hAnsi="Times New Roman"/>
          <w:sz w:val="20"/>
          <w:szCs w:val="20"/>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ectPr>
          <w:pgSz w:w="12240" w:h="15840" w:orient="portrait"/>
          <w:cols w:equalWidth="0" w:num="1">
            <w:col w:w="9910"/>
          </w:cols>
          <w:pgMar w:left="117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10"/>
          </w:cols>
          <w:pgMar w:left="1170" w:top="1378" w:right="1160" w:bottom="169" w:gutter="0" w:footer="0" w:header="0"/>
          <w:type w:val="continuous"/>
        </w:sectPr>
      </w:pPr>
    </w:p>
    <w:bookmarkStart w:id="8" w:name="page9"/>
    <w:bookmarkEnd w:id="8"/>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The Bank Secrecy Act (the “BSA”), as amended by the USA PATRIOT Act of 2001, the Anti-Money Laundering Act of 2021,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86"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In support of U.S. foreign policy and national security goals, the Treasury Department's Office of Foreign Assets Control (“OFAC”),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86"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The Foreign Corrupt Practices Act (“FCPA”), the UK Bribery Act 2010 (the “UK Bribery Act”)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United Kingdom (“U.K.”) or outside the U.K., where the person's act or omission would constitute an offense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1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principal risks and uncertainties affecting our business include (but are not limited to) the following: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below.</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00"/>
          </w:cols>
          <w:pgMar w:left="1180" w:top="1378" w:right="1160" w:bottom="169"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08"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Changing market conditions can adversely affect our business in many ways, including by reducing the volume and value of the transactions involving our business, which could materially reduce our revenue.</w:t>
      </w:r>
    </w:p>
    <w:p>
      <w:pPr>
        <w:spacing w:after="0" w:line="178"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pandemics, terrorism, international hostilities, including the current hostilities between Russia and Ukraine and the conflict between Israel and Hamas,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 for an extended period of time. In addition, during periods of strong market and economic conditions, the volume and value of other advisory services, including recapitalization and restructuring transactions, may decrease, thereby reducing demand for those services on our platform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such other areas. Further, in the period following an economic downturn, the volume and value of M&amp;A transactions typically take time to recover and lag behind a recovery in market and economic conditions. These trends are cyclical in nature and subject to periodic reversal.</w:t>
      </w:r>
    </w:p>
    <w:p>
      <w:pPr>
        <w:spacing w:after="0" w:line="180"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8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and Europe, our operations in the United States have historically provided most of our revenues and earnings. Consequently, our revenues and profitability are particularly affected by market conditions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execute on our growth initiatives, business strategies or operating plans.</w:t>
      </w:r>
    </w:p>
    <w:p>
      <w:pPr>
        <w:spacing w:after="0" w:line="219"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We are executing on a number of growth initiatives, strategies and operating plans designed to enhance our business.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77"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future growth will depend on, among other things, our ability to successfully identify, recruit, develop and retain talent and will require us to commit additional resources.</w:t>
      </w:r>
    </w:p>
    <w:p>
      <w:pPr>
        <w:spacing w:after="0" w:line="178"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We have experienced significant growth over the past several years, which may be difficult to sustain at the same rate. Our business objectives are dependent, in part, on our ability to further grow our business to gain benefits related to scale.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gain benefits related to scale, and our financial results could be materially adversely affected.</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00"/>
          </w:cols>
          <w:pgMar w:left="1180" w:top="1371" w:right="1160" w:bottom="169" w:gutter="0" w:footer="0" w:header="0"/>
          <w:type w:val="continuous"/>
        </w:sectPr>
      </w:pPr>
    </w:p>
    <w:bookmarkStart w:id="10" w:name="page11"/>
    <w:bookmarkEnd w:id="10"/>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There can be no assurance that we will be able to manage our expanding operations effectively, and any failure to do so could materially adversely affect our ability to grow revenue and control our expenses.</w:t>
      </w:r>
    </w:p>
    <w:p>
      <w:pPr>
        <w:spacing w:after="0" w:line="181"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81"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We may not be successful in our efforts to retain the required personnel as the market for qualified advisory professionals is extremely competitive. Working partners and other senior professionals have left us in the past and others may do so in the future.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senior professionals provide sufficient incentives or protections to prevent our working partners from resigning to compete with our Company or join our competitors. We may be unable to implement or enforce adequate restrictive covenants, including non-competition arrangements, due to legal and regulatory constraints in the jurisdictions in which we operate, which may currently or in the future apply to our senior professionals.</w:t>
      </w:r>
    </w:p>
    <w:p>
      <w:pPr>
        <w:spacing w:after="0" w:line="184"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7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78"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In addition to recruiting and internal promotions, we may grow our business through strategic transactions, including joint ventures, strategic investments or acquisitions.</w:t>
      </w:r>
    </w:p>
    <w:p>
      <w:pPr>
        <w:spacing w:after="0" w:line="180"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legal, regulatory, financial and business risks. If we are unable to successfully manage these risks, we will not be able to implement our growth strategy, which could ultimately materially adversely affect our business, financial condition and results of operations.</w:t>
      </w:r>
    </w:p>
    <w:p>
      <w:pPr>
        <w:spacing w:after="0" w:line="17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85"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Our revenue in any given period is dependent on the number of fee-paying clients in such period. For the year ended December 31, 2023, we earned revenues from 202 advisory clients, 123 of which generated fees equal to or greater than $1.0 million. For the year ended December 31, 2022 we earned revenues from 200 advisory clients, 127 of which generated fees equal to or greater than $1.0 million. For the year ended December 31, 2021, we earned revenues from 232 advisory clients, 142 of which generated fees equal to or greater than $1.0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2023, 2022, and 2021.</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00"/>
          </w:cols>
          <w:pgMar w:left="1180" w:top="1378" w:right="1160" w:bottom="169" w:gutter="0" w:footer="0" w:header="0"/>
          <w:type w:val="continuous"/>
        </w:sectPr>
      </w:pPr>
    </w:p>
    <w:bookmarkStart w:id="11" w:name="page12"/>
    <w:bookmarkEnd w:id="11"/>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recorded operating losses in the past and may experience operating losses in the future.</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For the years ended December 31, 2023 and 2022, we recorded operating losses of $115.1 million and $47.7 million, respectively. These operating losses were largely due to the amortization of equity-based compensation awards granted by Professional Partners, which have no economic impact on PWP or PWP OpCo, and the amortization of equity-based compensation awards granted in connection with the Business Combination. These awards have been and will be recorded as equity-based compensation expense at PWP OpCo pursuant to U.S. GAAP. We did not record an operating loss for the year ended December 31, 2021. We need to continue to compensate personnel competitively in order to continue building our business and as a result, we may again experience operating losses in future periods.</w:t>
      </w:r>
    </w:p>
    <w:p>
      <w:pPr>
        <w:spacing w:after="0" w:line="17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85"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w:t>
      </w:r>
    </w:p>
    <w:p>
      <w:pPr>
        <w:spacing w:after="0" w:line="186"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18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In addition, our engagements are often singular in nature and do not provide for subsequent engagements, which could cause our revenues to fluctuate materially from period to period.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Further, we have in the past and may in the future face the risk that certain clients may not have the financial resources to pay our agreed-upon fees. Certain clients may also be unwilling to pay our fees in whole or in part, in which case we may have to incur significant costs to bring legal action to enforce our engagement agreements to obtain such fees. On occasion, some of our clients have entered bankruptcy, which has prevented us from collecting amounts owed to us.</w:t>
      </w:r>
    </w:p>
    <w:p>
      <w:pPr>
        <w:spacing w:after="0" w:line="17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If the number of debt defaults, bankruptcies or other factors affecting demand for our recapitalization and restructuring advisory services declines, our business related to such services could suffer.</w:t>
      </w:r>
    </w:p>
    <w:p>
      <w:pPr>
        <w:spacing w:after="0" w:line="178"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advisory services related to recapitalization and restructuring activity declines, our business could be adversely affected.</w:t>
      </w:r>
    </w:p>
    <w:p>
      <w:pPr>
        <w:sectPr>
          <w:pgSz w:w="12240" w:h="15840" w:orient="portrait"/>
          <w:cols w:equalWidth="0" w:num="1">
            <w:col w:w="9900"/>
          </w:cols>
          <w:pgMar w:left="1180" w:top="1378" w:right="1160" w:bottom="169" w:gutter="0" w:footer="0" w:header="0"/>
        </w:sect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00"/>
          </w:cols>
          <w:pgMar w:left="1180" w:top="1378" w:right="1160" w:bottom="169" w:gutter="0" w:footer="0" w:header="0"/>
          <w:type w:val="continuous"/>
        </w:sectPr>
      </w:pPr>
    </w:p>
    <w:bookmarkStart w:id="12" w:name="page13"/>
    <w:bookmarkEnd w:id="12"/>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failure to deal appropriately with actual, potential or perceived conflicts of interest could damage our reputation and materially adversely affect our business.</w:t>
      </w:r>
    </w:p>
    <w:p>
      <w:pPr>
        <w:spacing w:after="0" w:line="178"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We confront actual, potential or perceived conflicts of interest in our business. Appropriately identifying and managing actual, potential or perceived conflicts of interest is complex and difficult. Accordingly, we face the risk that our policies, controls and procedures may not timely identify or appropriately manage such conflicts of interest. If we fail, or appear to fail, to timely identify or appropriately manage one or more potential or actual conflicts of interest, we could face client dissatisfaction, damage to our reputation, or regulatory or legal risk.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Further, certain members of our management team oversee or are otherwise involved in PWP Capital Holdings LP’s (“PWP Capital”) asset management business or other businesses, which could divert their time and attention away from running our advisory business and create, or appear to create, potential conflicts of interest when they are faced with decisions that could have different implications for us and PWP Capital’s asset management business or other businesses that they may manage or otherwise be involved with.</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may implement or may be required to implement additional policies, controls and procedures to address additional regulatory requirements, including as a result of additional foreign jurisdictions in which we operate, or to mitigate actual or potential conflicts of interest, which could limit our activities, result in increased costs, including for additional personnel and infrastructure and information technology improvements, or reduce the positive synergies that we seek to cultivate across our businesses.</w:t>
      </w:r>
    </w:p>
    <w:p>
      <w:pPr>
        <w:spacing w:after="0" w:line="17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Employee misconduct, which is difficult to detect and deter, and other labor-related issues could harm us by impairing our ability to attract and retain clients and talent and by subjecting us to legal liability and reputational harm.</w:t>
      </w:r>
    </w:p>
    <w:p>
      <w:pPr>
        <w:spacing w:after="0" w:line="178"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We also face the risk that our employees engage in work place misconduct, such as sexual harassment or discrimination, despite our implementation of policies and training to prevent and detect misconduct. In addition to impairing our ability to attract and retain clients, such misconduct may also impair our ability to attract and retain talent resulting in a materially adverse effect on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86"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U.S. Department of Justice and the SEC continue to devote significant resources to the enforcement of the FCPA. In addition, the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face damage to our professional reputation if our services are not regarded as satisfactory or for other reasons.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ectPr>
          <w:pgSz w:w="12240" w:h="15840" w:orient="portrait"/>
          <w:cols w:equalWidth="0" w:num="1">
            <w:col w:w="9900"/>
          </w:cols>
          <w:pgMar w:left="1180" w:top="1369" w:right="1160" w:bottom="169" w:gutter="0" w:footer="0" w:header="0"/>
        </w:sect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900"/>
          </w:cols>
          <w:pgMar w:left="1180" w:top="1369" w:right="1160" w:bottom="169" w:gutter="0" w:footer="0" w:header="0"/>
          <w:type w:val="continuous"/>
        </w:sectPr>
      </w:pPr>
    </w:p>
    <w:bookmarkStart w:id="13" w:name="page14"/>
    <w:bookmarkEnd w:id="13"/>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8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8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We have experienced competition in obtaining advisory mandates, including with respect to pricing, and we may experience further pricing pressures in our business in the future as some of our competitors may seek to obtain increased market share by reducing fees.</w:t>
      </w:r>
    </w:p>
    <w:p>
      <w:pPr>
        <w:spacing w:after="0" w:line="182"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Our competitors include large financial institutions, many of which have far greater financial and other resources than we do. Unlike us, these large financial institutions have the ability to support investment banking, including financial advisory services, with commercial lending and other financial services and products we do not offer in an effort to gain market share. This may put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w:t>
      </w:r>
    </w:p>
    <w:p>
      <w:pPr>
        <w:spacing w:after="0" w:line="18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If we are unable to compete successfully with our existing competitors or with any new competitors, we will not be able to implement our growth strategy, which ultimately could materially adversely affect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 a member of the financial services industry, we face substantial litigation risks.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Our business is subject to various U.S. and international laws and regulations that could lead to enforcement actions, fines, civil or criminal penalties or 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 an adverse impact on our financial condition or results of operations.</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These risks often may be difficult to assess or quantify and their existence and magnitude often remain unknown for substantial periods of time.</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From time to time, we act as an underwriter in public offerings and other distributions of securities. Therefore, we are subject to risks associated with underwriting activity, including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00"/>
          </w:cols>
          <w:pgMar w:left="1180" w:top="1378" w:right="1160" w:bottom="169" w:gutter="0" w:footer="0" w:header="0"/>
          <w:type w:val="continuous"/>
        </w:sectPr>
      </w:pPr>
    </w:p>
    <w:bookmarkStart w:id="14" w:name="page15"/>
    <w:bookmarkEnd w:id="14"/>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subject to various cybersecurity and other operational risks.</w:t>
      </w:r>
    </w:p>
    <w:p>
      <w:pPr>
        <w:spacing w:after="0" w:line="219" w:lineRule="exact"/>
        <w:rPr>
          <w:sz w:val="20"/>
          <w:szCs w:val="20"/>
          <w:color w:val="auto"/>
        </w:rPr>
      </w:pPr>
    </w:p>
    <w:p>
      <w:pPr>
        <w:jc w:val="both"/>
        <w:ind w:firstLine="360"/>
        <w:spacing w:after="0" w:line="211" w:lineRule="auto"/>
        <w:rPr>
          <w:sz w:val="20"/>
          <w:szCs w:val="20"/>
          <w:color w:val="auto"/>
        </w:rPr>
      </w:pPr>
      <w:r>
        <w:rPr>
          <w:rFonts w:ascii="Times New Roman" w:cs="Times New Roman" w:eastAsia="Times New Roman" w:hAnsi="Times New Roman"/>
          <w:sz w:val="20"/>
          <w:szCs w:val="20"/>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92"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81"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00"/>
          </w:cols>
          <w:pgMar w:left="1180" w:top="1378" w:right="1160" w:bottom="169"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Our international operations are subject to certain risks, which may affect our revenue.</w:t>
      </w:r>
    </w:p>
    <w:p>
      <w:pPr>
        <w:spacing w:after="0" w:line="219"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For the years ended December 31, 2023, 2022 and 2021, we earned approximately 18.2%, 24.3% and 17.7%,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 greater difficulties in managing and staffing foreign operations; language barriers and cultural differences, including the need to adopt different business practices in different geographic areas; fluctuations in foreign currency exchange rates that could adversely affect our results; unexpected, additional and/or costly changes in trading policies, regulatory requirements, tariffs and other barriers; restrictions on travel; longer transaction cycles; higher operating costs; local labor conditions and regulations; adverse consequences or restrictions on the repatriation of earnings; potentially adverse tax consequences, such as trapped foreign losses or profits; potentially less stable political and economic environments; terrorism, international hostilities, war and other civil disturbances or other catastrophic events that reduce business activity; different fee structures for our advisory services; and difficulty collecting fees.</w:t>
      </w:r>
    </w:p>
    <w:p>
      <w:pPr>
        <w:spacing w:after="0" w:line="19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81"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If our international business increases relative to our total business, the materialization of these risks could have a more pronounced effect on our operating results or growth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enter into new lines of business which may result in additional risks and uncertainties in our business.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We currently generate substantially all of our revenue from advisory engagements. However, we may grow our business by entering into new lines of business. Moreover, we currently derive a small portion of revenue through equity research and underwriting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may in the future also invest in companies, including our clients, or enter into new lines of business,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could be materially adversely affected.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Fluctuations in foreign currency exchange rates could adversely affect our results.</w:t>
      </w:r>
    </w:p>
    <w:p>
      <w:pPr>
        <w:spacing w:after="0" w:line="219"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Because our financial statements are denominated in U.S. dollars and we receive a portion of our revenue in other currencies (including the Euro, pound sterling and Canadian dollars), we are exposed to fluctuations in foreign currencies. During the years ended December 31, 2023 and 2022, 16.9% and 19.2%, respectively, of revenue was denominated in currencies other than the U.S. dollar. In addition, we pay certain of our expenses in such currencies. Additionally, entering into transactions and holding monetary assets and liabilities that are not denominated in the functional currency of our foreign subsidiaries exposes the Company to exchange rate fluctuations which can result in foreign currency related transaction gains and losses.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ectPr>
          <w:pgSz w:w="12240" w:h="15840" w:orient="portrait"/>
          <w:cols w:equalWidth="0" w:num="1">
            <w:col w:w="9900"/>
          </w:cols>
          <w:pgMar w:left="1180" w:top="1369" w:right="1160" w:bottom="169" w:gutter="0" w:footer="0" w:header="0"/>
        </w:sectPr>
      </w:pP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00"/>
          </w:cols>
          <w:pgMar w:left="1180" w:top="1369" w:right="1160" w:bottom="169" w:gutter="0" w:footer="0" w:header="0"/>
          <w:type w:val="continuous"/>
        </w:sectPr>
      </w:pPr>
    </w:p>
    <w:bookmarkStart w:id="16" w:name="page17"/>
    <w:bookmarkEnd w:id="16"/>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Restrictions in the Credit Agreement (as defined below) governing our Revolving Credit Facility (as defined below) may impair our ability to finance our future operations or capital needs or engage in other business activities that may be in our interests.</w:t>
      </w:r>
    </w:p>
    <w:p>
      <w:pPr>
        <w:spacing w:after="0" w:line="185"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We have access to a revolving credit facility (the “Revolving Credit Facility”) through a credit agreement with Cadence Bank, N.A. (“Cadence Bank”), dated November 30, 2016 (as amended and restated on December 11, 2018 and as further amended on June 30, 2023, the “Credit Agreement”), which provides for a $50.0 million unsecured revolving credit facility that matures on July 1, 2025, and contains a number of 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 incur liens; dispose of assets; incur additional indebtedness; make certain restricted payments; engage in business mergers or consolidations; and engage in certain transactions with subsidiaries and affiliates.</w:t>
      </w:r>
    </w:p>
    <w:p>
      <w:pPr>
        <w:spacing w:after="0" w:line="184"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 declare the commitments of all of the lenders under the Revolving Credit Facility (or any replacement credit facility) to be terminated; and declare all outstanding debt, accrued interest and fees to be due and immediately payable.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cash to service any indebtedness.</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175"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on the Consolidated Statements of Financial Condition.</w:t>
      </w:r>
    </w:p>
    <w:p>
      <w:pPr>
        <w:spacing w:after="0" w:line="18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7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The historical consolidated financial information for periods prior to the Business Combination on June 24, 2021 in our filings is not representative of the results we would have achieved as a stand-alone public company and may not be an appropriate basis for evaluating our potential future results.</w:t>
      </w:r>
    </w:p>
    <w:p>
      <w:pPr>
        <w:spacing w:after="0" w:line="185"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historical consolidated financial information for periods prior to the Business Combination on June 24, 2021 in our filings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separation of our advisory business from the asset management business of PWP OpCo in February 2019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incur as a public company, including costs related to public company reporting, investor relations and compliance with the Sarbanes-Oxley Act of 2002 (the “Sarbanes-Oxley Act”). As a result of these matters, among others, it may be difficult for investors to compare our future results to historical results or to evaluate our relative performance or trends in our business.</w:t>
      </w:r>
    </w:p>
    <w:p>
      <w:pPr>
        <w:sectPr>
          <w:pgSz w:w="12240" w:h="15840" w:orient="portrait"/>
          <w:cols w:equalWidth="0" w:num="1">
            <w:col w:w="9900"/>
          </w:cols>
          <w:pgMar w:left="1180" w:top="1369" w:right="1160" w:bottom="169" w:gutter="0" w:footer="0" w:header="0"/>
        </w:sectPr>
      </w:pP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00"/>
          </w:cols>
          <w:pgMar w:left="1180" w:top="1369" w:right="1160" w:bottom="169"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Risks Related to Regulation</w:t>
      </w:r>
    </w:p>
    <w:p>
      <w:pPr>
        <w:spacing w:after="0" w:line="208"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85"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TPH Securities. We are subject to regulatory restrictions and requirements imposed by applicable statutes, regulations and policies in the jurisdictions in which we operate. U.S. and non-U.S. government agencies and self-regulatory organizations, including the SEC,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w:t>
      </w:r>
    </w:p>
    <w:p>
      <w:pPr>
        <w:spacing w:after="0" w:line="184"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8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Administrators, CIRO, the ACPR, the AMF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New laws or regulations or changes in enforcement of existing laws or regulations applicable to our clients may also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81"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1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78"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European Union. and the U.K., the GDPR and the U.K. GDPR, took effect on May 25, 2018. As we engage in significant business in Europe and in the U.K.,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00"/>
          </w:cols>
          <w:pgMar w:left="1180" w:top="1371" w:right="1160" w:bottom="169"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08"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TRA (as defined below) and pay other expenses.</w:t>
      </w:r>
    </w:p>
    <w:p>
      <w:pPr>
        <w:spacing w:after="0" w:line="185"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TRA (as defined below), Professional Partners' indemnification claims with respect to the advisory business and dividends, if any, declared by us.</w:t>
      </w:r>
    </w:p>
    <w:p>
      <w:pPr>
        <w:spacing w:after="0" w:line="181"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81"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pay our ILPs (as defined below) and/or Limited Partners (as defined below) for certain tax benefits we may claim as a result of the tax basis step-up we received in connection with the Business Combination and related transactions and that we may receive in connection with subsequent exchanges of PWP OpCo Class A partnership units for cash or our Class A common stock. In certain circumstances, payments under the TRA (as defined herein) may be accelerated and/or significantly exceed the actual tax benefits we realize.</w:t>
      </w:r>
    </w:p>
    <w:p>
      <w:pPr>
        <w:spacing w:after="0" w:line="186"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Our acquisition of PWP OpCo Class A partnership units in connection with the Business Combination or pursuant to future exchanges of PWP OpCo Class A partnership units for shares of our Class A common stock or cash, and certain other transactions, have or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84"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Our tax receivable agreement (the “TRA” or “Tax Receivable Agreement”) generally provides for payment by us to Investor Limited Partners (the “ILPs” or “ILP”) and certain Partners (as defined therein) (the “TRA Parties” and individually, a “TRA Party”)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TRA. We expect to retain the benefit of the remaining 15% of these cash tax savings. While the actual increase in tax basis, as well as the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TRA, the payments that we may make under the TRA could be substantial.</w:t>
      </w:r>
    </w:p>
    <w:p>
      <w:pPr>
        <w:spacing w:after="0" w:line="191"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payment obligation under the TRA is our obligation and not an obligation of PWP OpCo. In addition, although we are not aware of any issue that would cause the IRS to challenge a tax basis increase or other benefits, the relevant ILPs and/or limited partners of Professional Partners (“Limited Partners”) will not reimburse us for any payments that may previously have been made under the TRA if such basis increases or other benefits are subsequently disallowed. As a result, in certain circumstances we could make payments to the relevant ILPs and/or Limited Partners under the TRA in excess of our cash tax savings. Our ability to achieve benefits from any tax basis increase or other benefits, and the payments to be made under the TRA, will depend upon a number of factors, as discussed above, including the timing and amount of our future income.</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00"/>
          </w:cols>
          <w:pgMar w:left="1180" w:top="1371" w:right="1160" w:bottom="169" w:gutter="0" w:footer="0" w:header="0"/>
          <w:type w:val="continuous"/>
        </w:sectPr>
      </w:pPr>
    </w:p>
    <w:bookmarkStart w:id="19" w:name="page20"/>
    <w:bookmarkEnd w:id="19"/>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84"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the Secured Overnight Financing Rate plus 310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PWP OpCo may make distributions of cash to us substantially in excess of the amounts we use to make distributions to our shareholders and to pay our expenses (including our taxes and payments under the TRA).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86"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Under the amended and restated agreement of limited partnership of PWP OpCo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84"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If we accumulate cash received as distributions from PWP OpCo in excess of the amounts that we need to pay any cash dividends declared by our board of directors, taxes and other expenses (including payments under the TRA),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holders of PWP OpCo Units may benefit from any value 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180" w:top="1378" w:right="1160" w:bottom="169" w:gutter="0" w:footer="0" w:header="0"/>
          <w:type w:val="continuous"/>
        </w:sectPr>
      </w:pPr>
    </w:p>
    <w:bookmarkStart w:id="20" w:name="page21"/>
    <w:bookmarkEnd w:id="20"/>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PWP OpCo and PWP Capital have entered into various arrangements, including a master separation agreement, which contain cross-indemnification obligations of us and PWP Capital.</w:t>
      </w:r>
    </w:p>
    <w:p>
      <w:pPr>
        <w:spacing w:after="0" w:line="178" w:lineRule="exact"/>
        <w:rPr>
          <w:sz w:val="20"/>
          <w:szCs w:val="20"/>
          <w:color w:val="auto"/>
        </w:rPr>
      </w:pPr>
    </w:p>
    <w:p>
      <w:pPr>
        <w:jc w:val="both"/>
        <w:ind w:right="20" w:firstLine="360"/>
        <w:spacing w:after="0" w:line="227" w:lineRule="auto"/>
        <w:rPr>
          <w:sz w:val="20"/>
          <w:szCs w:val="20"/>
          <w:color w:val="auto"/>
        </w:rPr>
      </w:pPr>
      <w:r>
        <w:rPr>
          <w:rFonts w:ascii="Times New Roman" w:cs="Times New Roman" w:eastAsia="Times New Roman" w:hAnsi="Times New Roman"/>
          <w:sz w:val="19"/>
          <w:szCs w:val="19"/>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securities.</w:t>
      </w:r>
    </w:p>
    <w:p>
      <w:pPr>
        <w:spacing w:after="0" w:line="17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Restated Certificate of Incorporation could prevent us from benefiting from corporate opportunities that might have otherwise been available to us.</w:t>
      </w:r>
    </w:p>
    <w:p>
      <w:pPr>
        <w:spacing w:after="0" w:line="178" w:lineRule="exact"/>
        <w:rPr>
          <w:sz w:val="20"/>
          <w:szCs w:val="20"/>
          <w:color w:val="auto"/>
        </w:rPr>
      </w:pPr>
    </w:p>
    <w:p>
      <w:pPr>
        <w:jc w:val="both"/>
        <w:ind w:right="20" w:firstLine="360"/>
        <w:spacing w:after="0" w:line="211" w:lineRule="auto"/>
        <w:rPr>
          <w:sz w:val="20"/>
          <w:szCs w:val="20"/>
          <w:color w:val="auto"/>
        </w:rPr>
      </w:pPr>
      <w:r>
        <w:rPr>
          <w:rFonts w:ascii="Times New Roman" w:cs="Times New Roman" w:eastAsia="Times New Roman" w:hAnsi="Times New Roman"/>
          <w:sz w:val="20"/>
          <w:szCs w:val="20"/>
          <w:color w:val="auto"/>
        </w:rPr>
        <w:t>Our Restated Certificate of Incorporation, which is subject to the terms and provisions of the Stockholders Agreement (as defined below), contains provisions related to corporate opportunities that may be of interest to us and our subsidiaries and Perella Weinberg Partners LLC (“Professionals GP”) and Professional Partners and their respective subsidiaries. It provides that Professional Partners and its subsidiaries and any of their respective affiliates (excluding us or any of our subsidiaries) (collectively, the “PWP Partner Group”)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w:t>
      </w:r>
    </w:p>
    <w:p>
      <w:pPr>
        <w:spacing w:after="0" w:line="18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TRA even if the corresponding tax benefits were subsequently determined to have been unavailable due to such status.</w:t>
      </w:r>
    </w:p>
    <w:p>
      <w:pPr>
        <w:spacing w:after="0" w:line="18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8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 the corresponding tax benefits (including any claimed increase in the tax basis of PWP OpCo's assets) were subsequently determined to have been unavailable.</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00"/>
          </w:cols>
          <w:pgMar w:left="1180" w:top="1369" w:right="1160" w:bottom="169" w:gutter="0" w:footer="0" w:header="0"/>
          <w:type w:val="continuous"/>
        </w:sectPr>
      </w:pPr>
    </w:p>
    <w:bookmarkStart w:id="21" w:name="page22"/>
    <w:bookmarkEnd w:id="21"/>
    <w:p>
      <w:pPr>
        <w:ind w:right="1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78"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17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78"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VoteCo Professionals beneficially owns all of the outstanding shares of our Class B-1 common stock, representing approximately 89.8% of our total voting power, ILPs beneficially own all of the outstanding shares of our Class B-2 common stock, representing approximately 0.3% of our total voting power, and holders of Class A common stock own shares of our Class A common stock, representing approximately 9.9% of our total voting power (in each case as of December 31, 2023). As long as VoteCo Professionals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84"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ectPr>
          <w:pgSz w:w="12240" w:h="15840" w:orient="portrait"/>
          <w:cols w:equalWidth="0" w:num="1">
            <w:col w:w="9880"/>
          </w:cols>
          <w:pgMar w:left="1180" w:top="1369"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880"/>
          </w:cols>
          <w:pgMar w:left="1180" w:top="1369" w:right="1180" w:bottom="169" w:gutter="0" w:footer="0" w:header="0"/>
          <w:type w:val="continuous"/>
        </w:sectPr>
      </w:pPr>
    </w:p>
    <w:bookmarkStart w:id="22" w:name="page23"/>
    <w:bookmarkEnd w:id="22"/>
    <w:p>
      <w:pPr>
        <w:ind w:right="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VoteCo Professionals’ control over us may give rise to actual or perceived conflicts of interest with the Limited Partners who manage VoteCo Professionals.</w:t>
      </w:r>
    </w:p>
    <w:p>
      <w:pPr>
        <w:spacing w:after="0" w:line="178" w:lineRule="exact"/>
        <w:rPr>
          <w:sz w:val="20"/>
          <w:szCs w:val="20"/>
          <w:color w:val="auto"/>
        </w:rPr>
      </w:pPr>
    </w:p>
    <w:p>
      <w:pPr>
        <w:jc w:val="both"/>
        <w:ind w:firstLine="360"/>
        <w:spacing w:after="0" w:line="210" w:lineRule="auto"/>
        <w:rPr>
          <w:sz w:val="20"/>
          <w:szCs w:val="20"/>
          <w:color w:val="auto"/>
        </w:rPr>
      </w:pPr>
      <w:r>
        <w:rPr>
          <w:rFonts w:ascii="Times New Roman" w:cs="Times New Roman" w:eastAsia="Times New Roman" w:hAnsi="Times New Roman"/>
          <w:sz w:val="20"/>
          <w:szCs w:val="20"/>
          <w:color w:val="auto"/>
        </w:rPr>
        <w:t>We are controlled by VoteCo Professionals, which is ultimately managed by a committee of Limited Partners that manages Professionals GP, the general partner of VoteCo Professionals. The interests of the Limited Partners who manage VoteCo Professionals may differ from those of our other stockholders. For example, the Limited Partners who manage VoteCo Professionals may have a different tax position from us, which could influence their decisions regarding 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VoteCo Professionals, which is ultimately managed by a committee of Limited Partners that manages Professionals GP, the general partner of VoteCo Professionals, holds all outstanding shares of Class B-1 common stock and thereby control approximately 89.8% of the voting interest in us as of December 31, 2023. The shares of Class B-1 common stock will entitle VoteCo Professionals to (i) for so long as the condition that Professional Partners or its Limited Partners as of the date of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is satisfied, 10 votes per share for each share held of record on all matters submitted to a vote of stockholders and (ii) after the Class B Condition ceases to be satisfied, one vote per share for each share held of record on all matters submitted to a vote of stockholders. In addition, we are party to the Stockholders Agreement with VoteCo Professionals (the “Stockholders Agreement”), pursuant to which, for so long as the Class B Condition is satisfied, VoteCo Professionals will have certain approval rights over 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VoteCo Professionals will have the right to designate a number of directors (rounded up to the nearest whole number) equal to one third of our board of directors. As a result, because the Limited Partners who manage VoteCo Professionals have a majority of the voting power in us through their control of VoteCo Professionals,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VoteCo Professionals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VoteCo Professionals could deprive our stockholders of an opportunity to receive a premium for their Class A common stock as part of a sale of us and might ultimately affect the market price of our Class A common stock. As a result of the control exercised by the Limited Partners who manage VoteCo Professionals over us, none of our agreements with them have been negotiated on “arm’s length” terms. We cannot assure you that we would not have received more favorable terms from an unaffiliated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performance does not meet market expectations, the price of our securities may decline.</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If our performance does not meet market expectations, the price of our securities may decline.</w:t>
      </w:r>
    </w:p>
    <w:p>
      <w:pPr>
        <w:spacing w:after="0" w:line="210"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00"/>
          </w:cols>
          <w:pgMar w:left="1180" w:top="1369" w:right="1160" w:bottom="169" w:gutter="0" w:footer="0" w:header="0"/>
          <w:type w:val="continuous"/>
        </w:sectPr>
      </w:pPr>
    </w:p>
    <w:bookmarkStart w:id="23" w:name="page24"/>
    <w:bookmarkEnd w:id="23"/>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Factors affecting the trading price of our Class A common stock may include: actual or anticipated fluctuations in our quarterly financial results or the quarterly financial results of companies perceived to be similar to us; changes in the market's expectations about our operating results; our operating results failing to meet market expectations in a particular period; changes in financial estimates and recommendations by securities analysts concerning us or the online automobile sales industry and market in general; operating and stock price performance of other companies that investors deem comparable to us; changes in laws and regulations affecting our business; commencement of, or involvement in, litigation involving us; changes in our capital structure, such as future issuances of securities or the incurrence of additional debt; the volume of shares of our Class A common stock available for public sale; any significant change in our board or management; sales of substantial amounts of Class A common stock by our directors, executive officers or significant stockholders or the perception that such sales could occur; and general economic and political conditions such as recessions, interest rates, fuel prices, international currency fluctuations, international hostilities and acts of war or terrorism.</w:t>
      </w:r>
    </w:p>
    <w:p>
      <w:pPr>
        <w:spacing w:after="0" w:line="191"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185"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As of December 31, 2023, we had 1,500,000,000 shares of Class A common stock authorized, of which 57,361,073 had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81"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or Class B-2 common stock into Class A common stock.</w:t>
      </w:r>
    </w:p>
    <w:p>
      <w:pPr>
        <w:spacing w:after="0" w:line="183"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180" w:top="1378" w:right="1160" w:bottom="169"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auto"/>
        </w:rPr>
        <w:t>Future sales of our Class A common stock may reduce the market price of our Class A common stock.</w:t>
      </w:r>
    </w:p>
    <w:p>
      <w:pPr>
        <w:spacing w:after="0" w:line="219"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In connection with the signing of the Business Combination Agreement, FinTech Masala Advisors, LLC and FinTech Investor Holdings IV, LLC (together, the “Sponsor”) entered into the Sponsor Share Surrender and Share Restriction Agreement, which was amended on May 4, 2021. Pursuant to the Sponsor Share Surrender and Share Restriction Agreement, as amended, the Founder Shares (as defined below) and Placement Shares (as defined below) owned by the Sponsor were subject to transfer restrictions for six months following the closing of the Business Combination and certain of the Founder Shares held by the Sponsor continue to be subject to transfer restrictions based on certain closing share price thresholds of the Company's Class A common stock for 20 out of any 30 consecutive trading days. On January 7, 2022, the Sponsor distributed 5,456,667 shares of Class A common stock (Founder Shares and Placement Shares) and 203,333 warrants to its members (the "Sponsor Distribution"), after which the Sponsor owned 1,000,000 shares of Class A common stock. The 1,000,000 shares of Class A common stock retained by the Sponsor continue to be subject to transfer restrictions until the $15 Threshold (as defined herein) is met. 1,738,680 of the shares distributed in the Sponsor Distribution remain subject to transfer restrictions until either the $15 Threshold or the $17 Threshold (as defined herein), as applicable, is met.</w:t>
      </w:r>
    </w:p>
    <w:p>
      <w:pPr>
        <w:spacing w:after="0" w:line="187"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We amended and restated the existing registration rights agreement with the Sponsor by entering into an amended and restated registration rights agreement (the “Amended and Restated Registration Rights Agreement”) with the RRA Parties with respect to the shares of our Class A common stock and certain other equity securities held by the RRA Parties. On July 15, 2021, we filed with the SEC a registration statement pursuant to Rule 415 under the Securities Act, which was amended by post-effective amendment no. 1, filed with the SEC on March 11, 2022, and post-effective amendment no. 2, filed with the SEC on July 7, 2022 (as amended, the “Shelf Registration Statement”), registering the resale of certain shares of our Class A common stock and certain of our other equity securities held by the RRA Parties, which post-effective amendment no. 2 to the Shelf Registration Statement became effective on July 15, 2022.</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registration and availability of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20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78"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19"/>
          <w:szCs w:val="19"/>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Perella Weinberg Partner’s predecessor entity, FinTech Acquisition Corp. IV’s (“FTIV”), initial public offering (“IPO”), (ii) the first fiscal year after our annual gross revenues are $1.235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Jumpstart Our Business Startups Act of 2012 (the “JOBS Act”) provides that an emerging growth company can take advantage of an extended transition period for complying with new or revised accounting standards, which we have elected to do.</w:t>
      </w:r>
    </w:p>
    <w:p>
      <w:pPr>
        <w:spacing w:after="0" w:line="185"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cannot predict if investors will find our Class A common stock less attractive because we will rely on these exemptions. If some investors find our Class A common stock less attractive as a result, there may be a less active market for our Class A common stock, our share price may be more volatile and the price at which our Class A common stock trades could be less than if we did not use these exemptions.</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00"/>
          </w:cols>
          <w:pgMar w:left="1180" w:top="1369" w:right="1160" w:bottom="169" w:gutter="0" w:footer="0" w:header="0"/>
          <w:type w:val="continuous"/>
        </w:sectPr>
      </w:pPr>
    </w:p>
    <w:bookmarkStart w:id="25" w:name="page26"/>
    <w:bookmarkEnd w:id="25"/>
    <w:p>
      <w:pPr>
        <w:jc w:val="both"/>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management is required to evaluate the effectiveness of our internal control over financial reporting as required by Section 404(a) of the Sarbanes-Oxley Act. If we are unable to maintain effective internal control over financial reporting, this could have a material adverse effect on our business.</w:t>
      </w:r>
    </w:p>
    <w:p>
      <w:pPr>
        <w:spacing w:after="0" w:line="185"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As a public company, we are required to maintain internal control over financial reporting and to report any material weaknesses in such internal controls. Section 404(a) of the Sarbanes-Oxley Act requires that our management assess and report annually on the effectiveness of our internal control over financial reporting and to identify any material weaknesses in our internal control over financial reporting. If we are not able to adequately comply with Section 404(a) of the Sarbanes-Oxley Act or our management asserts that our internal control over financial reporting is ineffective, we may become subject to adverse regulatory consequences and/or investors could lose confidence in the accuracy and completeness of our financial reports and that could lead to a decrease in the market price of our Class A common stock.</w:t>
      </w:r>
    </w:p>
    <w:p>
      <w:pPr>
        <w:spacing w:after="0" w:line="184"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Class A common stock is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can give no assurance that material weaknesses or restatements of financial results will not arise in the future due to a failure to maintain adequate internal control over financial reporting or circumvention of these controls, or that any measures we take will be sufficient to remediate such material weaknesses. In addition, even if we are successful in maintaining our controls and procedures, in the future those controls and procedures may not be adequate to prevent or identify irregularities or errors or to facilitate the fair presentation of our financial statements.</w:t>
      </w:r>
    </w:p>
    <w:p>
      <w:pPr>
        <w:spacing w:after="0" w:line="172"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85"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$1.235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Governance and Governance Documents</w:t>
      </w:r>
    </w:p>
    <w:p>
      <w:pPr>
        <w:spacing w:after="0" w:line="2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185"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VoteCo Professionals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81"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ectPr>
          <w:pgSz w:w="12240" w:h="15840" w:orient="portrait"/>
          <w:cols w:equalWidth="0" w:num="1">
            <w:col w:w="9900"/>
          </w:cols>
          <w:pgMar w:left="1180" w:top="1369" w:right="1160" w:bottom="169" w:gutter="0" w:footer="0" w:header="0"/>
        </w:sectPr>
      </w:pPr>
    </w:p>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00"/>
          </w:cols>
          <w:pgMar w:left="1180" w:top="1369" w:right="1160" w:bottom="169" w:gutter="0" w:footer="0" w:header="0"/>
          <w:type w:val="continuous"/>
        </w:sectPr>
      </w:pPr>
    </w:p>
    <w:bookmarkStart w:id="26" w:name="page27"/>
    <w:bookmarkEnd w:id="26"/>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classification of our board of directors may have anti-takeover effects, including discouraging, delaying or preventing our change of control.</w:t>
      </w:r>
    </w:p>
    <w:p>
      <w:pPr>
        <w:spacing w:after="0" w:line="178"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17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Delaware law, as well as the rules of FINRA, the FCA, the Alberta Commission, CIRO,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18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w:t>
      </w:r>
    </w:p>
    <w:p>
      <w:pPr>
        <w:spacing w:after="0" w:line="184"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Similarly, our U.K. subsidiary,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00"/>
          </w:cols>
          <w:pgMar w:left="1180" w:top="1369" w:right="1160" w:bottom="169" w:gutter="0" w:footer="0" w:header="0"/>
          <w:type w:val="continuous"/>
        </w:sectPr>
      </w:pPr>
    </w:p>
    <w:bookmarkStart w:id="27" w:name="page28"/>
    <w:bookmarkEnd w:id="27"/>
    <w:p>
      <w:pPr>
        <w:jc w:val="both"/>
        <w:ind w:left="10"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187" w:lineRule="exact"/>
        <w:rPr>
          <w:sz w:val="20"/>
          <w:szCs w:val="20"/>
          <w:color w:val="auto"/>
        </w:rPr>
      </w:pPr>
    </w:p>
    <w:p>
      <w:pPr>
        <w:jc w:val="both"/>
        <w:ind w:left="10" w:right="20" w:firstLine="360"/>
        <w:spacing w:after="0" w:line="214" w:lineRule="auto"/>
        <w:rPr>
          <w:sz w:val="20"/>
          <w:szCs w:val="20"/>
          <w:color w:val="auto"/>
        </w:rPr>
      </w:pPr>
      <w:r>
        <w:rPr>
          <w:rFonts w:ascii="Times New Roman" w:cs="Times New Roman" w:eastAsia="Times New Roman" w:hAnsi="Times New Roman"/>
          <w:sz w:val="20"/>
          <w:szCs w:val="20"/>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w:t>
      </w:r>
    </w:p>
    <w:p>
      <w:pPr>
        <w:spacing w:after="0" w:line="2" w:lineRule="exact"/>
        <w:rPr>
          <w:sz w:val="20"/>
          <w:szCs w:val="20"/>
          <w:color w:val="auto"/>
        </w:rPr>
      </w:pPr>
    </w:p>
    <w:p>
      <w:pPr>
        <w:jc w:val="both"/>
        <w:ind w:left="10" w:hanging="10"/>
        <w:spacing w:after="0" w:line="210" w:lineRule="auto"/>
        <w:tabs>
          <w:tab w:leader="none" w:pos="37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pacing w:after="0" w:line="188" w:lineRule="exact"/>
        <w:rPr>
          <w:sz w:val="20"/>
          <w:szCs w:val="20"/>
          <w:color w:val="auto"/>
        </w:rPr>
      </w:pPr>
    </w:p>
    <w:p>
      <w:pPr>
        <w:jc w:val="both"/>
        <w:ind w:left="10" w:firstLine="360"/>
        <w:spacing w:after="0" w:line="219" w:lineRule="auto"/>
        <w:rPr>
          <w:sz w:val="20"/>
          <w:szCs w:val="20"/>
          <w:color w:val="auto"/>
        </w:rPr>
      </w:pPr>
      <w:r>
        <w:rPr>
          <w:rFonts w:ascii="Times New Roman" w:cs="Times New Roman" w:eastAsia="Times New Roman" w:hAnsi="Times New Roman"/>
          <w:sz w:val="20"/>
          <w:szCs w:val="20"/>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1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17" w:lineRule="exact"/>
        <w:rPr>
          <w:sz w:val="20"/>
          <w:szCs w:val="20"/>
          <w:color w:val="auto"/>
        </w:rPr>
      </w:pPr>
    </w:p>
    <w:p>
      <w:pPr>
        <w:jc w:val="both"/>
        <w:ind w:left="10" w:firstLine="360"/>
        <w:spacing w:after="0" w:line="221" w:lineRule="auto"/>
        <w:rPr>
          <w:sz w:val="20"/>
          <w:szCs w:val="20"/>
          <w:color w:val="auto"/>
        </w:rPr>
      </w:pPr>
      <w:r>
        <w:rPr>
          <w:rFonts w:ascii="Times New Roman" w:cs="Times New Roman" w:eastAsia="Times New Roman" w:hAnsi="Times New Roman"/>
          <w:sz w:val="20"/>
          <w:szCs w:val="20"/>
          <w:color w:val="auto"/>
        </w:rPr>
        <w:t>We strive to protect the reputation of our Company by establishing, protecting and defending our data and information systems in a number of ways through a combination of processes, tools, and awareness-building. We aim to adhere to the best practices outlined in the National Institute of Standards and Technology and International Organization for Standardization frameworks, and our policies and procedures in managing personally identifiable information are in compliance with General Data Protection Regulation requirements.</w:t>
      </w:r>
    </w:p>
    <w:p>
      <w:pPr>
        <w:sectPr>
          <w:pgSz w:w="12240" w:h="15840" w:orient="portrait"/>
          <w:cols w:equalWidth="0" w:num="1">
            <w:col w:w="9910"/>
          </w:cols>
          <w:pgMar w:left="117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10"/>
          </w:cols>
          <w:pgMar w:left="1170" w:top="1369" w:right="1160" w:bottom="169" w:gutter="0" w:footer="0" w:header="0"/>
          <w:type w:val="continuous"/>
        </w:sectPr>
      </w:pPr>
    </w:p>
    <w:bookmarkStart w:id="28" w:name="page29"/>
    <w:bookmarkEnd w:id="28"/>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As part of our processes for assessing, identifying and managing material risks from cybersecurity threats, we maintain an ongoing process to enhance security and optimize our IT systems, and regularly conduct security assessments and testing of our systems to verify our systems’ integrity to protect them against being compromised from both internal and external sources. We regularly assess risks from cybersecurity threats, monitor our information systems for potential vulnerabilities and test those systems pursuant to our cybersecurity processes and practices. To protect our information systems from cybersecurity threats, we use various security tools that help us identify, escalate, investigate, resolve and recover from security incidents in a timely manner. These efforts include using monitoring tools and services to address the confidentiality, integrity, and availability of our assets and data. Regular internal and third-party reviews are performed on our processes and technologies to help validate the effectiveness of our privacy and data security controls. These safeguards include employing firewalls, intrusion prevention and detection systems, and access controls, which are regularly evaluated and improved based on vulnerability assessments, cybersecurity threat intelligence and incident response experience.</w:t>
      </w:r>
    </w:p>
    <w:p>
      <w:pPr>
        <w:spacing w:after="0" w:line="19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We monitor industry best practices and developments in data privacy and security, including increased scrutiny of third-party service providers with access to sensitive data. We prioritize a robust due diligence program for key third-party service providers, utilizing a comprehensive due diligence questionnaire to evaluate potential risks before establishing formal partnerships. This in-depth approach applies to all vendors with access to our sensitive systems or data. Ongoing assessments are customized based on each provider’s risk profile, with heightened scrutiny applied to new engagements and high-risk relationships. Existing vendors are subject to periodic reevaluations according to a predetermined schedule, with increased frequency for those deemed higher risk.</w:t>
      </w:r>
    </w:p>
    <w:p>
      <w:pPr>
        <w:spacing w:after="0" w:line="184"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Information technology risks and controls are regularly assessed as part of our overall self-assessment program, which includes working with a third party organization who regularly tests controls. Observations and outcomes from these self-assessments help drive our internal risk management decision making. Our management and compliance and information technology professionals, including our Chief Information Officer (“CIO”), are responsible for the maintenance and enforcement of our cybersecurity and information security policies and procedures. In addition members of the cybersecurity and information security teams maintain CISSP industry certifications. In addition, we have organizational charts in place to communicate key areas of authority, responsibility, and lines of reporting to personnel related to the design, implementation, operation, maintenance, and monitoring of our cybersecurity environment.</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also have a security incident response plan, with defined roles and responsibilities that are intended to address notification obligations and incident response procedures in the event of a data security breach. We are dedicated to business continuity and resiliency and have strategies, policies, and procedures in place that are designed to protect employee, business, and client data in the event of an emergency or natural disaster.</w:t>
      </w:r>
    </w:p>
    <w:p>
      <w:pPr>
        <w:spacing w:after="0" w:line="181"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In addition to identifying information security risks, we have established robust controls to seek to reduce or mitigate such risks. Cybersecurity training for employees is conducted regularly and we maintain system logs of user activities, exceptions, and security events for a period consistent with industry best practices, unless otherwise required by law, regulation or contractual obligation. We employ rigorous measures to appropriately handle and protect sensitive and confidential data, particularly in light of increased use of remote access technology. We take precautionary measures to minimize, to the extent possible, the use of personally identifiable information and the electronic or courier-based transmission of sensitive and confidential data, relying instead on approved 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 ensure our ability to restore data in the event of data failure, corruption, accidental deletion, or malicious tampering.</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To date, cybersecurity threats, including as a result of any previous cybersecurity incidents, have not materially affected or are reasonably likely to affect us, including our business strategy, results of operations or financial condition. Refer to the risk factor captioned “</w:t>
      </w:r>
      <w:r>
        <w:rPr>
          <w:rFonts w:ascii="Times New Roman" w:cs="Times New Roman" w:eastAsia="Times New Roman" w:hAnsi="Times New Roman"/>
          <w:sz w:val="20"/>
          <w:szCs w:val="20"/>
          <w:b w:val="1"/>
          <w:bCs w:val="1"/>
          <w:i w:val="1"/>
          <w:iCs w:val="1"/>
          <w:color w:val="auto"/>
        </w:rPr>
        <w:t>Our business is subject to various cybersecurity and other operational risks</w:t>
      </w:r>
      <w:r>
        <w:rPr>
          <w:rFonts w:ascii="Times New Roman" w:cs="Times New Roman" w:eastAsia="Times New Roman" w:hAnsi="Times New Roman"/>
          <w:sz w:val="20"/>
          <w:szCs w:val="20"/>
          <w:color w:val="auto"/>
        </w:rPr>
        <w:t>” in Part I, Item 1A. “Risk Factors” for an additional description of cybersecurity risks and potential related impacts on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1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Our audit committee of the board of directors is responsible for overseeing the guidelines and policies governing the process by which the Company assesses and manages our exposure to risk, including cybersecurity risk, as well as any major litigation, regulatory, financial and reputational risk exposures and the steps management has taken to monitor and control such exposures. This oversight is achieved through a combination of periodic management reports, focused briefings on emerging cyber threats and vulnerabilities, updates on implemented mitigation strategies and periodic reviews of incident response plans.</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00"/>
          </w:cols>
          <w:pgMar w:left="1180" w:top="1378" w:right="1160" w:bottom="169" w:gutter="0" w:footer="0" w:header="0"/>
          <w:type w:val="continuous"/>
        </w:sectPr>
      </w:pPr>
    </w:p>
    <w:bookmarkStart w:id="29" w:name="page30"/>
    <w:bookmarkEnd w:id="29"/>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We take a risk-based approach to cybersecurity and have implemented cybersecurity policies throughout our operations that are designed to address cybersecurity threats and incidents. Our dedicated Information Security Team is responsible for identifying, assessing, detecting, and responding to any threats and vulnerabilities. The team routinely collects and processes information from a variety of sources, including from media reporting, commercial threat intelligence providers (FSARC, FS-ISAC), the Federal Bureau of Investigation and other government and law enforcement agencies. The team provides ongoing global mitigation of known cybersecurity threats to help ensure that our data and systems are protected.</w:t>
      </w:r>
    </w:p>
    <w:p>
      <w:pPr>
        <w:sectPr>
          <w:pgSz w:w="12240" w:h="15840" w:orient="portrait"/>
          <w:cols w:equalWidth="0" w:num="1">
            <w:col w:w="9880"/>
          </w:cols>
          <w:pgMar w:left="1180" w:top="1378"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880"/>
          </w:cols>
          <w:pgMar w:left="1180" w:top="1378" w:right="1180" w:bottom="169"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17"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1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“Defendants”) in New York Supreme Court, Commercial Division (the “Court”). The complaint alleges that the Individual Defendants, three former partners and one former employee of the PWP Plaintiffs, entered into a scheme while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contractual and fiduciary breaches, and from Defendants' unfair competition and tortious interference with the PWP Plaintiffs’ contracts and client relationships.</w:t>
      </w:r>
    </w:p>
    <w:p>
      <w:pPr>
        <w:spacing w:after="0" w:line="18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19"/>
          <w:szCs w:val="19"/>
          <w:color w:val="auto"/>
        </w:rPr>
        <w:t>On November 9, 2015, Defendants filed an Answer, Counterclaims, Cross-claims and a Third-Party Complaint, which contained 14 causes of action. On July 17, 2016, the Court issued a decision, dismissing half of Defendants’ claims with prejudice. On August 18, 2016, Defendants filed an Amended Answer, Counterclaims, Cross-claims and Third-Party Complaint, with seven counterclaims and cross-claims. On December 12, 2016, Defendants appealed the dismissal of three of their counterclaims and cross-claims to the New York Appellate Division, First Department (the “First Department”). On August 29, 2017, the First Department issued a decision denying Defendants’ appeal other than allowing one Defendant to proceed with his breach of fiduciary duty counterclaim. On October 27, 2017, Defendants moved the First Department for leave to appeal its decision to the New York Court of Appeals. On December 28, 2017, the First Department denied Defendants’ motion for leave. On April 24, 2018, Defendants filed a Second Amended Answer, Counterclaims, Cross-claims and Third-Party Complaint, with eight counterclaims and cross-claims. Defendants are seeking declaratory relief and damages of no less than $60.0 million, as well as statutory interest. In addition, on January 19, 2022, Defendants filed a motion for leave to renew their New York Labor Law counterclaim that the Court dismissed in 2016. On June 30, 2023, the Court issued a decision denying Defendants’ motion for leave. On January 29, 2024, Defendants filed an opening brief in the First Department appealing the June 30, 2023 decision denying their motion for leave.</w:t>
      </w:r>
    </w:p>
    <w:p>
      <w:pPr>
        <w:spacing w:after="0" w:line="185"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After the completion of discovery, both the PWP Plaintiffs and Defendants subsequently moved for summary judgment. On March 20, 2020, the parties completed briefing of their respective motions. The Court held oral argument on the motions on May 27, 2021. On May 24, 2023, the Court issued a decision and order on both motions for summary judgment (the “Summary Judgment Decision”). The Court granted the PWP Plaintiffs’ motion with respect to the restrictive covenants in the PWP Plaintiffs’ agreements, finding that they are valid and enforceable, and otherwise denied the motion. The Court denied Defendants’ motion in its entirety. On July 25, 2023, Defendants filed a notice of appeal of the Summary Judgment Decision.</w:t>
      </w:r>
    </w:p>
    <w:p>
      <w:pPr>
        <w:spacing w:after="0" w:line="184"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Court has set trial for April 29, 2024 through May 21, 2024. A final pre-trial conference has been set for April 24, 2024.</w:t>
      </w:r>
    </w:p>
    <w:p>
      <w:pPr>
        <w:spacing w:after="0" w:line="180"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believe that our 14 causes of action are meritorious. Further, we believe that we have meritorious defenses to Defendants’ remaining counterclaims and cross-claims and plan to vigorously contest them. Litigation, however, can be uncertain and there can be no assurance that any judgment for one or more of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00"/>
          </w:cols>
          <w:pgMar w:left="1180" w:top="1371" w:right="1160" w:bottom="169" w:gutter="0" w:footer="0" w:header="0"/>
          <w:type w:val="continuous"/>
        </w:sectPr>
      </w:pPr>
    </w:p>
    <w:bookmarkStart w:id="31" w:name="page32"/>
    <w:bookmarkEnd w:id="31"/>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jc w:val="both"/>
        <w:ind w:left="10"/>
        <w:spacing w:after="0" w:line="244"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jc w:val="both"/>
        <w:ind w:left="10" w:firstLine="360"/>
        <w:spacing w:after="0" w:line="221" w:lineRule="auto"/>
        <w:rPr>
          <w:sz w:val="20"/>
          <w:szCs w:val="20"/>
          <w:color w:val="auto"/>
        </w:rPr>
      </w:pPr>
      <w:r>
        <w:rPr>
          <w:rFonts w:ascii="Times New Roman" w:cs="Times New Roman" w:eastAsia="Times New Roman" w:hAnsi="Times New Roman"/>
          <w:sz w:val="20"/>
          <w:szCs w:val="20"/>
          <w:color w:val="auto"/>
        </w:rPr>
        <w:t>Our Class A common stock is listed and traded on the Nasdaq Global Select Market under the stock symbol “PWP.” As of February 20, 2024, there were approximately 52 holders of record of our Class A common stock and 2 holders of record of our Class B common stock. This does not include the number of shareholders that hold shares in “street name” through banks or broker-dealers. Our Class B common stock is not listed or quoted on any exchange and is not transferable by the holders, subject to certain limited exceptions.</w:t>
      </w:r>
    </w:p>
    <w:p>
      <w:pPr>
        <w:spacing w:after="0" w:line="181" w:lineRule="exact"/>
        <w:rPr>
          <w:sz w:val="20"/>
          <w:szCs w:val="20"/>
          <w:color w:val="auto"/>
        </w:rPr>
      </w:pPr>
    </w:p>
    <w:p>
      <w:pPr>
        <w:jc w:val="both"/>
        <w:ind w:left="10" w:right="20" w:firstLine="360"/>
        <w:spacing w:after="0" w:line="221" w:lineRule="auto"/>
        <w:rPr>
          <w:sz w:val="20"/>
          <w:szCs w:val="20"/>
          <w:color w:val="auto"/>
        </w:rPr>
      </w:pPr>
      <w:r>
        <w:rPr>
          <w:rFonts w:ascii="Times New Roman" w:cs="Times New Roman" w:eastAsia="Times New Roman" w:hAnsi="Times New Roman"/>
          <w:sz w:val="20"/>
          <w:szCs w:val="20"/>
          <w:color w:val="auto"/>
        </w:rPr>
        <w:t>We intend to pay dividends quarterly to our common stockholders. For the year ended December 31, 2023, cash dividends of $0.28 per outstanding share of Class A common stock were paid to our stockholders. The declaration of any future cash dividends and, if declared, the amount of any such dividends, will be subject to our financial condition, earnings, capital requirements, financial covenants, applicable law and other factors our board of directors deems relevant. Therefore, there can be no assurance as to what level of dividends, if any, will be paid in the future.</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21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Repurchase of Equity Securities</w:t>
      </w:r>
    </w:p>
    <w:p>
      <w:pPr>
        <w:spacing w:after="0" w:line="217" w:lineRule="exact"/>
        <w:rPr>
          <w:sz w:val="20"/>
          <w:szCs w:val="20"/>
          <w:color w:val="auto"/>
        </w:rPr>
      </w:pPr>
    </w:p>
    <w:p>
      <w:pPr>
        <w:jc w:val="both"/>
        <w:ind w:left="10" w:right="20" w:firstLine="360"/>
        <w:spacing w:after="0"/>
        <w:rPr>
          <w:sz w:val="20"/>
          <w:szCs w:val="20"/>
          <w:color w:val="auto"/>
        </w:rPr>
      </w:pPr>
      <w:r>
        <w:rPr>
          <w:rFonts w:ascii="Times New Roman" w:cs="Times New Roman" w:eastAsia="Times New Roman" w:hAnsi="Times New Roman"/>
          <w:sz w:val="20"/>
          <w:szCs w:val="20"/>
          <w:color w:val="auto"/>
        </w:rPr>
        <w:t>The following table summarizes our repurchases of equity securities during the three months ended December 31, 2023:</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Dollar Value of</w:t>
            </w:r>
          </w:p>
        </w:tc>
        <w:tc>
          <w:tcPr>
            <w:tcW w:w="0" w:type="dxa"/>
            <w:vAlign w:val="bottom"/>
          </w:tcPr>
          <w:p>
            <w:pPr>
              <w:spacing w:after="0"/>
              <w:rPr>
                <w:sz w:val="1"/>
                <w:szCs w:val="1"/>
                <w:color w:val="auto"/>
              </w:rPr>
            </w:pPr>
          </w:p>
        </w:tc>
      </w:tr>
      <w:tr>
        <w:trPr>
          <w:trHeight w:val="224"/>
        </w:trPr>
        <w:tc>
          <w:tcPr>
            <w:tcW w:w="3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gridSpan w:val="2"/>
          </w:tcPr>
          <w:p>
            <w:pPr>
              <w:ind w:left="60"/>
              <w:spacing w:after="0" w:line="224" w:lineRule="exact"/>
              <w:rPr>
                <w:sz w:val="20"/>
                <w:szCs w:val="20"/>
                <w:color w:val="auto"/>
              </w:rPr>
            </w:pPr>
            <w:r>
              <w:rPr>
                <w:rFonts w:ascii="Times New Roman" w:cs="Times New Roman" w:eastAsia="Times New Roman" w:hAnsi="Times New Roman"/>
                <w:sz w:val="20"/>
                <w:szCs w:val="20"/>
                <w:color w:val="auto"/>
              </w:rPr>
              <w:t>Shares that may yet to</w:t>
            </w:r>
          </w:p>
        </w:tc>
        <w:tc>
          <w:tcPr>
            <w:tcW w:w="0" w:type="dxa"/>
            <w:vAlign w:val="bottom"/>
          </w:tcPr>
          <w:p>
            <w:pPr>
              <w:spacing w:after="0"/>
              <w:rPr>
                <w:sz w:val="1"/>
                <w:szCs w:val="1"/>
                <w:color w:val="auto"/>
              </w:rPr>
            </w:pPr>
          </w:p>
        </w:tc>
      </w:tr>
      <w:tr>
        <w:trPr>
          <w:trHeight w:val="224"/>
        </w:trPr>
        <w:tc>
          <w:tcPr>
            <w:tcW w:w="3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Total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Total Number of</w:t>
            </w:r>
          </w:p>
        </w:tc>
        <w:tc>
          <w:tcPr>
            <w:tcW w:w="60" w:type="dxa"/>
            <w:vAlign w:val="bottom"/>
          </w:tcPr>
          <w:p>
            <w:pPr>
              <w:spacing w:after="0"/>
              <w:rPr>
                <w:sz w:val="19"/>
                <w:szCs w:val="19"/>
                <w:color w:val="auto"/>
              </w:rPr>
            </w:pPr>
          </w:p>
        </w:tc>
        <w:tc>
          <w:tcPr>
            <w:tcW w:w="1900" w:type="dxa"/>
            <w:vAlign w:val="bottom"/>
            <w:gridSpan w:val="2"/>
          </w:tcPr>
          <w:p>
            <w:pPr>
              <w:jc w:val="center"/>
              <w:spacing w:after="0" w:line="224" w:lineRule="exact"/>
              <w:rPr>
                <w:sz w:val="20"/>
                <w:szCs w:val="20"/>
                <w:color w:val="auto"/>
              </w:rPr>
            </w:pPr>
            <w:r>
              <w:rPr>
                <w:rFonts w:ascii="Times New Roman" w:cs="Times New Roman" w:eastAsia="Times New Roman" w:hAnsi="Times New Roman"/>
                <w:sz w:val="20"/>
                <w:szCs w:val="20"/>
                <w:color w:val="auto"/>
              </w:rPr>
              <w:t>be Purchased Under</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color w:val="auto"/>
              </w:rPr>
              <w:t>Average</w:t>
            </w:r>
          </w:p>
        </w:tc>
        <w:tc>
          <w:tcPr>
            <w:tcW w:w="60" w:type="dxa"/>
            <w:vAlign w:val="bottom"/>
          </w:tcPr>
          <w:p>
            <w:pPr>
              <w:spacing w:after="0"/>
              <w:rPr>
                <w:sz w:val="4"/>
                <w:szCs w:val="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Shares Purchased as</w:t>
            </w: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vMerge w:val="restart"/>
          </w:tcPr>
          <w:p>
            <w:pPr>
              <w:jc w:val="center"/>
              <w:ind w:right="160"/>
              <w:spacing w:after="0"/>
              <w:rPr>
                <w:sz w:val="20"/>
                <w:szCs w:val="20"/>
                <w:color w:val="auto"/>
              </w:rPr>
            </w:pPr>
            <w:r>
              <w:rPr>
                <w:rFonts w:ascii="Times New Roman" w:cs="Times New Roman" w:eastAsia="Times New Roman" w:hAnsi="Times New Roman"/>
                <w:sz w:val="20"/>
                <w:szCs w:val="20"/>
                <w:color w:val="auto"/>
                <w:w w:val="99"/>
              </w:rPr>
              <w:t>the Publicly</w:t>
            </w: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Period</w:t>
            </w:r>
          </w:p>
        </w:tc>
        <w:tc>
          <w:tcPr>
            <w:tcW w:w="60" w:type="dxa"/>
            <w:vAlign w:val="bottom"/>
          </w:tcPr>
          <w:p>
            <w:pPr>
              <w:spacing w:after="0"/>
              <w:rPr>
                <w:sz w:val="17"/>
                <w:szCs w:val="17"/>
                <w:color w:val="auto"/>
              </w:rPr>
            </w:pPr>
          </w:p>
        </w:tc>
        <w:tc>
          <w:tcPr>
            <w:tcW w:w="11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rPr>
              <w:t>Price Paid</w:t>
            </w:r>
          </w:p>
        </w:tc>
        <w:tc>
          <w:tcPr>
            <w:tcW w:w="60" w:type="dxa"/>
            <w:vAlign w:val="bottom"/>
          </w:tcPr>
          <w:p>
            <w:pPr>
              <w:spacing w:after="0"/>
              <w:rPr>
                <w:sz w:val="17"/>
                <w:szCs w:val="17"/>
                <w:color w:val="auto"/>
              </w:rPr>
            </w:pPr>
          </w:p>
        </w:tc>
        <w:tc>
          <w:tcPr>
            <w:tcW w:w="19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Part of Publicly</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auto"/>
              </w:rPr>
              <w:t>Announced</w:t>
            </w:r>
          </w:p>
        </w:tc>
        <w:tc>
          <w:tcPr>
            <w:tcW w:w="0" w:type="dxa"/>
            <w:vAlign w:val="bottom"/>
          </w:tcPr>
          <w:p>
            <w:pPr>
              <w:spacing w:after="0"/>
              <w:rPr>
                <w:sz w:val="1"/>
                <w:szCs w:val="1"/>
                <w:color w:val="auto"/>
              </w:rPr>
            </w:pPr>
          </w:p>
        </w:tc>
      </w:tr>
      <w:tr>
        <w:trPr>
          <w:trHeight w:val="268"/>
        </w:trPr>
        <w:tc>
          <w:tcPr>
            <w:tcW w:w="35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Repurchased</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color w:val="auto"/>
                <w:w w:val="99"/>
              </w:rPr>
              <w:t>per Unit</w:t>
            </w:r>
          </w:p>
        </w:tc>
        <w:tc>
          <w:tcPr>
            <w:tcW w:w="60" w:type="dxa"/>
            <w:vAlign w:val="bottom"/>
          </w:tcPr>
          <w:p>
            <w:pPr>
              <w:spacing w:after="0"/>
              <w:rPr>
                <w:sz w:val="23"/>
                <w:szCs w:val="23"/>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Announced Program</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center"/>
              <w:ind w:right="120"/>
              <w:spacing w:after="0" w:line="268" w:lineRule="exact"/>
              <w:rPr>
                <w:sz w:val="20"/>
                <w:szCs w:val="20"/>
                <w:color w:val="auto"/>
              </w:rPr>
            </w:pPr>
            <w:r>
              <w:rPr>
                <w:rFonts w:ascii="Times New Roman" w:cs="Times New Roman" w:eastAsia="Times New Roman" w:hAnsi="Times New Roman"/>
                <w:sz w:val="20"/>
                <w:szCs w:val="20"/>
                <w:color w:val="auto"/>
                <w:w w:val="94"/>
              </w:rPr>
              <w:t>Program</w:t>
            </w:r>
            <w:r>
              <w:rPr>
                <w:rFonts w:ascii="Times New Roman" w:cs="Times New Roman" w:eastAsia="Times New Roman" w:hAnsi="Times New Roman"/>
                <w:sz w:val="26"/>
                <w:szCs w:val="26"/>
                <w:color w:val="auto"/>
                <w:w w:val="94"/>
                <w:vertAlign w:val="superscript"/>
              </w:rPr>
              <w:t>(1)</w:t>
            </w:r>
          </w:p>
        </w:tc>
        <w:tc>
          <w:tcPr>
            <w:tcW w:w="0" w:type="dxa"/>
            <w:vAlign w:val="bottom"/>
          </w:tcPr>
          <w:p>
            <w:pPr>
              <w:spacing w:after="0"/>
              <w:rPr>
                <w:sz w:val="1"/>
                <w:szCs w:val="1"/>
                <w:color w:val="auto"/>
              </w:rPr>
            </w:pPr>
          </w:p>
        </w:tc>
      </w:tr>
      <w:tr>
        <w:trPr>
          <w:trHeight w:val="257"/>
        </w:trPr>
        <w:tc>
          <w:tcPr>
            <w:tcW w:w="3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October 1, 2023 - October 31, 2023</w:t>
            </w:r>
          </w:p>
        </w:tc>
        <w:tc>
          <w:tcPr>
            <w:tcW w:w="60" w:type="dxa"/>
            <w:vAlign w:val="bottom"/>
          </w:tcPr>
          <w:p>
            <w:pPr>
              <w:spacing w:after="0"/>
              <w:rPr>
                <w:sz w:val="22"/>
                <w:szCs w:val="22"/>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900" w:type="dxa"/>
            <w:vAlign w:val="bottom"/>
          </w:tcPr>
          <w:p>
            <w:pPr>
              <w:ind w:left="1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108,823,525</w:t>
            </w:r>
          </w:p>
        </w:tc>
        <w:tc>
          <w:tcPr>
            <w:tcW w:w="0" w:type="dxa"/>
            <w:vAlign w:val="bottom"/>
          </w:tcPr>
          <w:p>
            <w:pPr>
              <w:spacing w:after="0"/>
              <w:rPr>
                <w:sz w:val="1"/>
                <w:szCs w:val="1"/>
                <w:color w:val="auto"/>
              </w:rPr>
            </w:pPr>
          </w:p>
        </w:tc>
      </w:tr>
      <w:tr>
        <w:trPr>
          <w:trHeight w:val="285"/>
        </w:trPr>
        <w:tc>
          <w:tcPr>
            <w:tcW w:w="3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1, 2023 - November 30, 2023</w:t>
            </w:r>
          </w:p>
        </w:tc>
        <w:tc>
          <w:tcPr>
            <w:tcW w:w="6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900" w:type="dxa"/>
            <w:vAlign w:val="bottom"/>
          </w:tcPr>
          <w:p>
            <w:pPr>
              <w:ind w:left="16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108,823,525</w:t>
            </w:r>
          </w:p>
        </w:tc>
        <w:tc>
          <w:tcPr>
            <w:tcW w:w="0" w:type="dxa"/>
            <w:vAlign w:val="bottom"/>
          </w:tcPr>
          <w:p>
            <w:pPr>
              <w:spacing w:after="0"/>
              <w:rPr>
                <w:sz w:val="1"/>
                <w:szCs w:val="1"/>
                <w:color w:val="auto"/>
              </w:rPr>
            </w:pPr>
          </w:p>
        </w:tc>
      </w:tr>
      <w:tr>
        <w:trPr>
          <w:trHeight w:val="285"/>
        </w:trPr>
        <w:tc>
          <w:tcPr>
            <w:tcW w:w="3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December 1, 2023 - December 31, 2023</w:t>
            </w:r>
          </w:p>
        </w:tc>
        <w:tc>
          <w:tcPr>
            <w:tcW w:w="60" w:type="dxa"/>
            <w:vAlign w:val="bottom"/>
          </w:tcPr>
          <w:p>
            <w:pPr>
              <w:spacing w:after="0"/>
              <w:rPr>
                <w:sz w:val="24"/>
                <w:szCs w:val="24"/>
                <w:color w:val="auto"/>
              </w:rPr>
            </w:pP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9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108,823,525</w:t>
            </w:r>
          </w:p>
        </w:tc>
        <w:tc>
          <w:tcPr>
            <w:tcW w:w="0" w:type="dxa"/>
            <w:vAlign w:val="bottom"/>
          </w:tcPr>
          <w:p>
            <w:pPr>
              <w:spacing w:after="0"/>
              <w:rPr>
                <w:sz w:val="1"/>
                <w:szCs w:val="1"/>
                <w:color w:val="auto"/>
              </w:rPr>
            </w:pPr>
          </w:p>
        </w:tc>
      </w:tr>
      <w:tr>
        <w:trPr>
          <w:trHeight w:val="248"/>
        </w:trPr>
        <w:tc>
          <w:tcPr>
            <w:tcW w:w="3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60" w:type="dxa"/>
            <w:vAlign w:val="bottom"/>
          </w:tcPr>
          <w:p>
            <w:pPr>
              <w:spacing w:after="0"/>
              <w:rPr>
                <w:sz w:val="21"/>
                <w:szCs w:val="21"/>
                <w:color w:val="auto"/>
              </w:rPr>
            </w:pP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9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-755015</wp:posOffset>
            </wp:positionV>
            <wp:extent cx="6302375" cy="774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6302375" cy="7747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jc w:val="both"/>
        <w:ind w:left="370" w:right="20" w:hanging="370"/>
        <w:spacing w:after="0" w:line="255" w:lineRule="auto"/>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16, 2022, the Company’s Board of Directors initially approved a stock repurchase program and the authorized amounts under such program was increased on February 8, 2023 such that the Company is authorized to repurchase up to $200.0 million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910"/>
          </w:cols>
          <w:pgMar w:left="117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10"/>
          </w:cols>
          <w:pgMar w:left="1170" w:top="1371" w:right="1160" w:bottom="169"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13" w:lineRule="exact"/>
        <w:rPr>
          <w:sz w:val="20"/>
          <w:szCs w:val="20"/>
          <w:color w:val="auto"/>
        </w:rPr>
      </w:pPr>
    </w:p>
    <w:p>
      <w:pPr>
        <w:jc w:val="both"/>
        <w:ind w:right="20" w:firstLine="36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of our financial condition and results of operations should be read in conjunction with our Consolidated Financial Statements and related notes included elsewhere in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Overview</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For further information regarding our business, refer to “Part I. Item 1. Business” and “Part I. Item 1A. Risk Factors” of this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Environment</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Economic and global financial market conditions impact our financial performance. The market environment for advisory services has begun to inflect, which has recently driven dialogue and activity levels across the traditional M&amp;A markets.</w:t>
      </w:r>
    </w:p>
    <w:p>
      <w:pPr>
        <w:spacing w:after="0" w:line="182"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 in anticipation of a rebound in activity levels.</w:t>
      </w:r>
    </w:p>
    <w:p>
      <w:pPr>
        <w:spacing w:after="0" w:line="178"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b w:val="1"/>
          <w:bCs w:val="1"/>
          <w:i w:val="1"/>
          <w:iCs w:val="1"/>
          <w:color w:val="auto"/>
        </w:rPr>
        <w:t>Part I — Item 1A. Risk Factors</w:t>
      </w:r>
      <w:r>
        <w:rPr>
          <w:rFonts w:ascii="Times New Roman" w:cs="Times New Roman" w:eastAsia="Times New Roman" w:hAnsi="Times New Roman"/>
          <w:sz w:val="20"/>
          <w:szCs w:val="20"/>
          <w:color w:val="auto"/>
        </w:rPr>
        <w:t>” included elsewhere in this Form 10-K for a discussion of some of the factors that can affect our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 mergers, changes in clients’ senior management, and competition from other financial services firms.</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w:t>
      </w:r>
    </w:p>
    <w:p>
      <w:pPr>
        <w:spacing w:after="0" w:line="184"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1180" w:top="1371" w:right="1160" w:bottom="169"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Our operating expenses are classified as (i) total compensation and benefits expenses including equity-based compensation and (ii) non-compensation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 Expenses</w:t>
      </w:r>
    </w:p>
    <w:p>
      <w:pPr>
        <w:spacing w:after="0" w:line="21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Our compensation and benefits expenses consist of base salary, benefits, severance, payroll taxes, annual incentive compensation payable as cash bonus awards, deferred compensation awards, and the amortization of equity-based compensation awards that are subject to a service vesting condition, and in some cases, a market-based performance vesting condition. These expenses also include signing bonuses and compensation paid pursuant to guarantees for new hires.</w:t>
      </w:r>
    </w:p>
    <w:p>
      <w:pPr>
        <w:spacing w:after="0" w:line="18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Compensation is determined by management based on revenues earned, headcount, labor market conditions, and anticipated compensation requirements for our employees. Such factors can fluctuate, including headcount and revenues earned, and as a result, our compensation expenses may fluctuate materially in any particular period.</w:t>
      </w:r>
    </w:p>
    <w:p>
      <w:pPr>
        <w:spacing w:after="0" w:line="182"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amortization expense for certain equity-based awards granted by Professional Partners is allocated fully to non-controlling interests as these awards have no economic impact on, and do not dilute, PWP shareholders relative to Professional Partners. Refer to Note 12—Equity-Based Compensation in the notes to the consolidated financial statements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Non-Compensation Expenses</w:t>
      </w:r>
    </w:p>
    <w:p>
      <w:pPr>
        <w:spacing w:after="0" w:line="21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Our non-compensation expenses include the costs of professional fees, technology and infrastructure, rent and occupancy, travel and related expenses, 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(Expenses)</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Non-operating income (expenses) includes the impact of income and expense items that we consider to be non-operational in nature, which typically includes related party income, interest income and expense, and other non-operating gains (losses), including the impact of foreign exchange rate fluctuations. Non-operating income (expenses) also included the change in fair value of warrant liabilities prior to the completion of the exchange offer and solicitation relating to the Company’s then-outstanding warrants on August 23,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Non-controlling interests represent the ownership interests in PWP OpCo held by holders other than Perella Weinberg Partners, which are Professional Partners and the ILPs. Such holders hold PWP OpCo Units that are exchangeable into PWP Class A common stock on a one-for-one basis. Profits and losses of PWP OpCo are allocated to the non-controlling interests in proportion to their ownership interest regardless of their basis, with the exception of the amortization expense for certain equity-based awards granted by Professional Partners, which is allocated fully to non-controlling interests as these awards have no economic impact on, and do not dilute, PWP shareholders relative to Professional Partners.</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00"/>
          </w:cols>
          <w:pgMar w:left="1180" w:top="1369" w:right="1160" w:bottom="169"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17"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The following is a discussion of our results of operations for the years ended December 31, 2023 and 2022. For a discussion of the year ended December 31, 2022 versus 2021, refer to Item 7, “Management’s Discussion and Analysis of Financial Condition and Results of Operations - Results of Operations” in our Form 10-K for the year ended December 31, 2022.</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33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 vs. 2022</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2022 vs. 2021</w:t>
            </w:r>
          </w:p>
        </w:tc>
        <w:tc>
          <w:tcPr>
            <w:tcW w:w="0" w:type="dxa"/>
            <w:vAlign w:val="bottom"/>
          </w:tcPr>
          <w:p>
            <w:pPr>
              <w:spacing w:after="0"/>
              <w:rPr>
                <w:sz w:val="1"/>
                <w:szCs w:val="1"/>
                <w:color w:val="auto"/>
              </w:rPr>
            </w:pPr>
          </w:p>
        </w:tc>
      </w:tr>
      <w:tr>
        <w:trPr>
          <w:trHeight w:val="262"/>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b w:val="1"/>
                <w:bCs w:val="1"/>
                <w:color w:val="000000"/>
              </w:rPr>
              <w:t>Revenues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648,652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631,507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801,662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85"/>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Compensation and benefits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426,572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391,333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504,364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88"/>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Equity-based compensation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154,158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96,330</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18 %</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0" w:type="dxa"/>
            <w:vAlign w:val="bottom"/>
          </w:tcPr>
          <w:p>
            <w:pPr>
              <w:spacing w:after="0"/>
              <w:rPr>
                <w:sz w:val="1"/>
                <w:szCs w:val="1"/>
                <w:color w:val="auto"/>
              </w:rPr>
            </w:pPr>
          </w:p>
        </w:tc>
      </w:tr>
      <w:tr>
        <w:trPr>
          <w:trHeight w:val="262"/>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compensation and benefits</w:t>
            </w:r>
            <w:r>
              <w:rPr>
                <w:rFonts w:ascii="Times New Roman" w:cs="Times New Roman" w:eastAsia="Times New Roman" w:hAnsi="Times New Roman"/>
                <w:sz w:val="20"/>
                <w:szCs w:val="20"/>
                <w:color w:val="B4B4B4"/>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608,947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545,491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600,694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88"/>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Non-compensation 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154,805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133,749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134,384</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6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Total operating 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763,752</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679,240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735,078</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62"/>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b w:val="1"/>
                <w:bCs w:val="1"/>
                <w:color w:val="000000"/>
              </w:rPr>
              <w:t>Operatingincome(loss)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(115,100)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(47,733)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66,584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85"/>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Non-operating income (expenses)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Related party income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income (expense)</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05"/>
        </w:trPr>
        <w:tc>
          <w:tcPr>
            <w:tcW w:w="3360" w:type="dxa"/>
            <w:vAlign w:val="bottom"/>
          </w:tcPr>
          <w:p>
            <w:pPr>
              <w:jc w:val="right"/>
              <w:ind w:right="580"/>
              <w:spacing w:after="0" w:line="205" w:lineRule="exact"/>
              <w:rPr>
                <w:sz w:val="20"/>
                <w:szCs w:val="20"/>
                <w:color w:val="auto"/>
              </w:rPr>
            </w:pPr>
            <w:r>
              <w:rPr>
                <w:rFonts w:ascii="Times New Roman" w:cs="Times New Roman" w:eastAsia="Times New Roman" w:hAnsi="Times New Roman"/>
                <w:sz w:val="20"/>
                <w:szCs w:val="20"/>
                <w:color w:val="auto"/>
              </w:rPr>
              <w:t>Change in fair value of warrant</w:t>
            </w: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15,806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(4,897)</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60"/>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liabilities</w:t>
            </w:r>
            <w:r>
              <w:rPr>
                <w:rFonts w:ascii="Times New Roman" w:cs="Times New Roman" w:eastAsia="Times New Roman" w:hAnsi="Times New Roman"/>
                <w:sz w:val="20"/>
                <w:szCs w:val="20"/>
                <w:color w:val="B4B4B4"/>
              </w:rPr>
              <w:t>...........................................</w:t>
            </w:r>
          </w:p>
        </w:tc>
        <w:tc>
          <w:tcPr>
            <w:tcW w:w="2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Loss on debt extinguishment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(39,408)</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88"/>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Interest expense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(7,606)</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96 %</w:t>
            </w:r>
          </w:p>
        </w:tc>
        <w:tc>
          <w:tcPr>
            <w:tcW w:w="0" w:type="dxa"/>
            <w:vAlign w:val="bottom"/>
          </w:tcPr>
          <w:p>
            <w:pPr>
              <w:spacing w:after="0"/>
              <w:rPr>
                <w:sz w:val="1"/>
                <w:szCs w:val="1"/>
                <w:color w:val="auto"/>
              </w:rPr>
            </w:pPr>
          </w:p>
        </w:tc>
      </w:tr>
      <w:tr>
        <w:trPr>
          <w:trHeight w:val="182"/>
        </w:trPr>
        <w:tc>
          <w:tcPr>
            <w:tcW w:w="3360" w:type="dxa"/>
            <w:vAlign w:val="bottom"/>
          </w:tcPr>
          <w:p>
            <w:pPr>
              <w:jc w:val="right"/>
              <w:ind w:right="740"/>
              <w:spacing w:after="0" w:line="182" w:lineRule="exact"/>
              <w:rPr>
                <w:sz w:val="20"/>
                <w:szCs w:val="20"/>
                <w:color w:val="auto"/>
              </w:rPr>
            </w:pPr>
            <w:r>
              <w:rPr>
                <w:rFonts w:ascii="Times New Roman" w:cs="Times New Roman" w:eastAsia="Times New Roman" w:hAnsi="Times New Roman"/>
                <w:sz w:val="20"/>
                <w:szCs w:val="20"/>
                <w:color w:val="auto"/>
              </w:rPr>
              <w:t>Total non-operating income</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26,313</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(43,634)</w:t>
            </w:r>
          </w:p>
        </w:tc>
        <w:tc>
          <w:tcPr>
            <w:tcW w:w="60" w:type="dxa"/>
            <w:vAlign w:val="bottom"/>
            <w:vMerge w:val="restart"/>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63"/>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b w:val="1"/>
                <w:bCs w:val="1"/>
                <w:color w:val="000000"/>
              </w:rPr>
              <w:t>Income(loss)beforeincometaxes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(112,820)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88"/>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tax expense (benefit)</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18,927</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62"/>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b w:val="1"/>
                <w:bCs w:val="1"/>
                <w:color w:val="000000"/>
              </w:rPr>
              <w:t>Netincome(loss)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05"/>
        </w:trPr>
        <w:tc>
          <w:tcPr>
            <w:tcW w:w="33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Less: Net income (loss) attributable to</w:t>
            </w: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(94,617)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(49,625)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13,444</w:t>
            </w:r>
          </w:p>
        </w:tc>
        <w:tc>
          <w:tcPr>
            <w:tcW w:w="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63"/>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non-controlling interests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line="182" w:lineRule="exact"/>
              <w:rPr>
                <w:sz w:val="20"/>
                <w:szCs w:val="20"/>
                <w:color w:val="auto"/>
              </w:rPr>
            </w:pPr>
            <w:r>
              <w:rPr>
                <w:rFonts w:ascii="Times New Roman" w:cs="Times New Roman" w:eastAsia="Times New Roman" w:hAnsi="Times New Roman"/>
                <w:sz w:val="20"/>
                <w:szCs w:val="20"/>
                <w:b w:val="1"/>
                <w:bCs w:val="1"/>
                <w:color w:val="auto"/>
              </w:rPr>
              <w:t>Net income (loss) attributable to</w:t>
            </w: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(17,223)</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17,878</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(9,421)</w:t>
            </w:r>
          </w:p>
        </w:tc>
        <w:tc>
          <w:tcPr>
            <w:tcW w:w="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43"/>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Perella Weinberg Partners </w:t>
            </w:r>
            <w:r>
              <w:rPr>
                <w:rFonts w:ascii="Times New Roman" w:cs="Times New Roman" w:eastAsia="Times New Roman" w:hAnsi="Times New Roman"/>
                <w:sz w:val="20"/>
                <w:szCs w:val="20"/>
                <w:b w:val="1"/>
                <w:bCs w:val="1"/>
                <w:color w:val="B4B4B4"/>
              </w:rPr>
              <w:t>...............</w:t>
            </w:r>
          </w:p>
        </w:tc>
        <w:tc>
          <w:tcPr>
            <w:tcW w:w="2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-4107815</wp:posOffset>
            </wp:positionV>
            <wp:extent cx="6315075" cy="4283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6315075" cy="428307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NM = Not meaningful</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00"/>
          </w:cols>
          <w:pgMar w:left="1180" w:top="1371" w:right="1160" w:bottom="169"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provides revenue statistics for the years ended December 31, 2023, 2022 and 2021:</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32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90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32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0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40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128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15"/>
                <w:szCs w:val="15"/>
                <w:color w:val="auto"/>
              </w:rPr>
            </w:pPr>
          </w:p>
        </w:tc>
        <w:tc>
          <w:tcPr>
            <w:tcW w:w="1220" w:type="dxa"/>
            <w:vAlign w:val="bottom"/>
          </w:tcPr>
          <w:p>
            <w:pPr>
              <w:jc w:val="right"/>
              <w:ind w:right="180"/>
              <w:spacing w:after="0" w:line="182" w:lineRule="exact"/>
              <w:rPr>
                <w:sz w:val="20"/>
                <w:szCs w:val="20"/>
                <w:color w:val="auto"/>
              </w:rPr>
            </w:pPr>
            <w:r>
              <w:rPr>
                <w:rFonts w:ascii="Times New Roman" w:cs="Times New Roman" w:eastAsia="Times New Roman" w:hAnsi="Times New Roman"/>
                <w:sz w:val="20"/>
                <w:szCs w:val="20"/>
                <w:b w:val="1"/>
                <w:bCs w:val="1"/>
                <w:color w:val="auto"/>
              </w:rPr>
              <w:t>2023 vs.</w:t>
            </w:r>
          </w:p>
        </w:tc>
        <w:tc>
          <w:tcPr>
            <w:tcW w:w="60" w:type="dxa"/>
            <w:vAlign w:val="bottom"/>
          </w:tcPr>
          <w:p>
            <w:pPr>
              <w:spacing w:after="0"/>
              <w:rPr>
                <w:sz w:val="15"/>
                <w:szCs w:val="15"/>
                <w:color w:val="auto"/>
              </w:rPr>
            </w:pPr>
          </w:p>
        </w:tc>
        <w:tc>
          <w:tcPr>
            <w:tcW w:w="1260" w:type="dxa"/>
            <w:vAlign w:val="bottom"/>
          </w:tcPr>
          <w:p>
            <w:pPr>
              <w:jc w:val="right"/>
              <w:ind w:right="200"/>
              <w:spacing w:after="0" w:line="182" w:lineRule="exact"/>
              <w:rPr>
                <w:sz w:val="20"/>
                <w:szCs w:val="20"/>
                <w:color w:val="auto"/>
              </w:rPr>
            </w:pPr>
            <w:r>
              <w:rPr>
                <w:rFonts w:ascii="Times New Roman" w:cs="Times New Roman" w:eastAsia="Times New Roman" w:hAnsi="Times New Roman"/>
                <w:sz w:val="20"/>
                <w:szCs w:val="20"/>
                <w:b w:val="1"/>
                <w:bCs w:val="1"/>
                <w:color w:val="auto"/>
              </w:rPr>
              <w:t>2022 vs.</w:t>
            </w:r>
          </w:p>
        </w:tc>
        <w:tc>
          <w:tcPr>
            <w:tcW w:w="0" w:type="dxa"/>
            <w:vAlign w:val="bottom"/>
          </w:tcPr>
          <w:p>
            <w:pPr>
              <w:spacing w:after="0"/>
              <w:rPr>
                <w:sz w:val="1"/>
                <w:szCs w:val="1"/>
                <w:color w:val="auto"/>
              </w:rPr>
            </w:pPr>
          </w:p>
        </w:tc>
      </w:tr>
      <w:tr>
        <w:trPr>
          <w:trHeight w:val="263"/>
        </w:trPr>
        <w:tc>
          <w:tcPr>
            <w:tcW w:w="3320" w:type="dxa"/>
            <w:vAlign w:val="bottom"/>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0" w:type="dxa"/>
            <w:vAlign w:val="bottom"/>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62"/>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Total Advisory Clients </w:t>
            </w:r>
            <w:r>
              <w:rPr>
                <w:rFonts w:ascii="Times New Roman" w:cs="Times New Roman" w:eastAsia="Times New Roman" w:hAnsi="Times New Roman"/>
                <w:sz w:val="20"/>
                <w:szCs w:val="20"/>
                <w:color w:val="B4B4B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65"/>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Clients with Fees Greater than</w:t>
            </w: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$1.0 million </w:t>
            </w:r>
            <w:r>
              <w:rPr>
                <w:rFonts w:ascii="Times New Roman" w:cs="Times New Roman" w:eastAsia="Times New Roman" w:hAnsi="Times New Roman"/>
                <w:sz w:val="20"/>
                <w:szCs w:val="20"/>
                <w:color w:val="B4B4B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-518160</wp:posOffset>
            </wp:positionV>
            <wp:extent cx="6311900" cy="539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6311900" cy="539750"/>
                    </a:xfrm>
                    <a:prstGeom prst="rect">
                      <a:avLst/>
                    </a:prstGeom>
                    <a:noFill/>
                  </pic:spPr>
                </pic:pic>
              </a:graphicData>
            </a:graphic>
          </wp:anchor>
        </w:drawing>
      </w:r>
    </w:p>
    <w:p>
      <w:pPr>
        <w:spacing w:after="0" w:line="27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Revenues were $648.7 million for the year ended December 31, 2023 as compared with $631.5 million for the year ended December 31, 2022, representing an increase of 3%. Revenues attributed to mergers and acquisition activity were up year-over-year, while financing and capital solutions revenues were lower due to a few large financing fees in the prior year period, which offset positive performance in the restructuring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 Expenses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For the year ended December 31, 2023, total compensation and benefits expenses were $608.9 million, an increase of 12% compared with $545.5 million for the year ended December 31, 2022. The increase in total compensation and benefits expenses was a result of a higher compensation margin on a higher revenue base, additional equity-based compensation expense from awards granted during the first quarter of 2023, and $37.3 million of business realignment costs associated with headcount reductions in the current year (the “Business Realignment”). The Business Realignment was undertaken to improve compensation alignment and to provide for greater flexibility to advance strategic opportunities, and related costs include separation and transition benefits and the acceleration of equity-based compensation amortization (net of forfeitures) for terminated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Non-Compensation Expenses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For the year ended December 31, 2023, total non-compensation expenses were $154.8 million, an increase of 16% compared with $133.7 million for the year ended December 31, 2022. The increase in non-compensation expenses was primarily the result of higher travel and related expenses due to increases in both volume of travel and headcount, increased legal spend, elevated technology and infrastructure expenses related to certain investments, and higher rent and depreciation expenses due to overlapping rent and new assets being placed in service related to the renovation of the New York office space and relocation of the London office space. These increases were partially offset by lower recruiting and consulting fees and reduced D&amp;O insurance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(Expenses)</w:t>
      </w:r>
    </w:p>
    <w:p>
      <w:pPr>
        <w:spacing w:after="0" w:line="219"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For the year ended December 31, 2023, non-operating income was $2.3 million compared with non-operating income of $26.3 million for the year ended December 31, 2022. In the current year, non-operating income included interest income, which substantially increased from the prior year due to higher interest rates and additional investments in U.S. Treasury securities. Interest income was partially offset by a net loss from foreign exchange rate fluctuations, a non-operating loss on investment, and a charge related to a settlement reached with the staff of the SEC in connection with self-reporting relating to recordkeeping of business communications on “off-channel” messaging applications (the “Settlement”). Pursuant to the Settlement, Perella Weinberg Partners LP, Tudor, Pickering, Holt &amp; Co. Securities LLC, and Perella Weinberg Partners Capital Management LP, collectively, agreed to pay $2.5 million in the aggregate to the SEC on a joint and several liability basis. The Company recognized a charge of $1.25 million related to the Settlement, with the remainder recognized by Perella Weinberg Partners Capital Management LP (refer to Note 16—Related Party Transactions in the notes to the consolidated financial statements for information on the Company’s relationship to Perella Weinberg Partners Capital Management LP). In the prior year period, non-operating income primarily included a gain from the change in fair value of warrant liabilities and a net gain from foreign exchange rate fluctuations. For both periods, foreign exchange rate fluctuations largely related to U.S. dollar-denominated cash and intercompany receivables held by our foreign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 (Benefit)</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The Company’s income tax benefit and effective tax rate were $1.0 million and 0.9%, respectively, for the year ended December 31, 2023 compared to income tax expense and an effective tax rate of $10.3 million and (48.2)%, respectively, for the year ended December 31, 2022. The change in the effective tax rate was primarily due to the relative size of our permanent differences in relation to the pre-tax loss in the respective periods, as well as the recognition of a previously unrecognized tax benefit at one of the Company’s foreign subsidiaries during the year ended December 31, 2023.</w:t>
      </w:r>
    </w:p>
    <w:p>
      <w:pPr>
        <w:sectPr>
          <w:pgSz w:w="12240" w:h="15840" w:orient="portrait"/>
          <w:cols w:equalWidth="0" w:num="1">
            <w:col w:w="9900"/>
          </w:cols>
          <w:pgMar w:left="1180" w:top="1369" w:right="1160" w:bottom="169" w:gutter="0" w:footer="0" w:header="0"/>
        </w:sectPr>
      </w:pP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00"/>
          </w:cols>
          <w:pgMar w:left="1180" w:top="1369" w:right="1160" w:bottom="169"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regularly monitor our liquidity position, including cash and cash equivalents, working capital assets and liabilities, commitments and other liquidity requirements. Our primary sources of liquidity are our cash balances, investments in short-term marketable debt securities, the net cash generated from operations, and the available borrowing capacity under our Revolving Credit Facility. Our primary cash needs are for working capital, operating expenses (including cash compensation for our employees), repurchasing shares of the Company’s Class A common stock, withholding tax payments for vested PWP Incentive Plan Awards, income taxes, dividends and distributions, capital expenditures, making payments pursuant to the tax receivable agreement, commitments, and strategic investments. We generally pay a significant portion of our annual cash incentive compensation during the first quarter of each calendar year with respect to the prior year’s results. Therefore, levels of cash and/or investments in short-term marketable debt securities generally decline during the first quarter and build over the remainder of the year.</w:t>
      </w:r>
    </w:p>
    <w:p>
      <w:pPr>
        <w:spacing w:after="0" w:line="18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Our current assets are primarily composed of cash, investments in short-term marketable debt securities, receivables related to fees earned from providing advisory services, certain prepaid expenses and certain amounts due from related parties. Our current liabilities are primarily composed of accrued employee compensation, accounts payable and other accrued expenses. Cash includes cash held at banks, including interest-bearing money market accounts. As of December 31, 2023 and 2022, the Company had cash balances of $247.2 million and $171.6 million, respectively, and investments in short-term marketable debt securities, consisting entirely of U.S. Treasury securities, of $91.2 million and $140.1 million, respectively.</w:t>
      </w:r>
    </w:p>
    <w:p>
      <w:pPr>
        <w:spacing w:after="0" w:line="184" w:lineRule="exact"/>
        <w:rPr>
          <w:sz w:val="20"/>
          <w:szCs w:val="20"/>
          <w:color w:val="auto"/>
        </w:rPr>
      </w:pPr>
    </w:p>
    <w:p>
      <w:pPr>
        <w:jc w:val="both"/>
        <w:ind w:right="20" w:firstLine="422"/>
        <w:spacing w:after="0" w:line="224" w:lineRule="auto"/>
        <w:rPr>
          <w:sz w:val="20"/>
          <w:szCs w:val="20"/>
          <w:color w:val="auto"/>
        </w:rPr>
      </w:pPr>
      <w:r>
        <w:rPr>
          <w:rFonts w:ascii="Times New Roman" w:cs="Times New Roman" w:eastAsia="Times New Roman" w:hAnsi="Times New Roman"/>
          <w:sz w:val="20"/>
          <w:szCs w:val="20"/>
          <w:color w:val="auto"/>
        </w:rPr>
        <w:t>Our liquidity is highly dependent upon cash receipts from clients, which generally require the successful completion of transactions. Accounts receivable typically have net terms of 30 days. Accounts receivable were $47.8 million, net of a $2.2 million allowance for credit losses balance as of December 31, 2023. Accounts receivable were $67.9 million, net of a $1.1 million allowance for credit losses balance as of December 31, 2022.</w:t>
      </w:r>
    </w:p>
    <w:p>
      <w:pPr>
        <w:spacing w:after="0" w:line="18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Company has a Revolving Credit Facility with Cadence Bank with an available line of credit of $50.0 million. Additionally, up to $20.0 million of incremental revolving commitments above the $50.0 million commitment amount may be incurred under the Credit Agreement. As of December 31, 2023 and 2022, the Company had no outstanding balance related to the Revolving Credit Facility and no incremental revolving commitments were incurred. For further information on the Revolving Credit Facility, refer to Note 10—Debt in the notes to consolidated financial statements included elsewhere in this Form 10-K.</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Based on current market conditions, we believe that our cash on hand, investments in short-term marketable debt securities,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00"/>
          </w:cols>
          <w:pgMar w:left="1180" w:top="1371" w:right="1160" w:bottom="169"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summary of our operating, investing and financing cash flows is as follows: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8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Provided By (Used In)</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income (loss) </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(31,747)</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Non-cash charges and other operating activity adjustments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213,224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162,414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171,886</w:t>
            </w:r>
          </w:p>
        </w:tc>
        <w:tc>
          <w:tcPr>
            <w:tcW w:w="0" w:type="dxa"/>
            <w:vAlign w:val="bottom"/>
          </w:tcPr>
          <w:p>
            <w:pPr>
              <w:spacing w:after="0"/>
              <w:rPr>
                <w:sz w:val="1"/>
                <w:szCs w:val="1"/>
                <w:color w:val="auto"/>
              </w:rPr>
            </w:pP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operating activities </w:t>
            </w:r>
            <w:r>
              <w:rPr>
                <w:rFonts w:ascii="Times New Roman" w:cs="Times New Roman" w:eastAsia="Times New Roman" w:hAnsi="Times New Roman"/>
                <w:sz w:val="20"/>
                <w:szCs w:val="20"/>
                <w:color w:val="B4B4B4"/>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44,499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(148,440)</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58,999</w:t>
            </w:r>
          </w:p>
        </w:tc>
        <w:tc>
          <w:tcPr>
            <w:tcW w:w="0" w:type="dxa"/>
            <w:vAlign w:val="bottom"/>
          </w:tcPr>
          <w:p>
            <w:pPr>
              <w:spacing w:after="0"/>
              <w:rPr>
                <w:sz w:val="1"/>
                <w:szCs w:val="1"/>
                <w:color w:val="auto"/>
              </w:rPr>
            </w:pPr>
          </w:p>
        </w:tc>
      </w:tr>
      <w:tr>
        <w:trPr>
          <w:trHeight w:val="26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Total operating activities </w:t>
            </w:r>
            <w:r>
              <w:rPr>
                <w:rFonts w:ascii="Times New Roman" w:cs="Times New Roman" w:eastAsia="Times New Roman" w:hAnsi="Times New Roman"/>
                <w:sz w:val="20"/>
                <w:szCs w:val="20"/>
                <w:color w:val="B4B4B4"/>
                <w:w w:val="98"/>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145,883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(17,773)</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234,908</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Investing Activities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(166,231)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Financing Activities </w:t>
            </w:r>
            <w:r>
              <w:rPr>
                <w:rFonts w:ascii="Times New Roman" w:cs="Times New Roman" w:eastAsia="Times New Roman" w:hAnsi="Times New Roman"/>
                <w:sz w:val="20"/>
                <w:szCs w:val="20"/>
                <w:color w:val="B4B4B4"/>
                <w:w w:val="99"/>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(67,018)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(136,768)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(55,021)</w:t>
            </w:r>
          </w:p>
        </w:tc>
        <w:tc>
          <w:tcPr>
            <w:tcW w:w="0" w:type="dxa"/>
            <w:vAlign w:val="bottom"/>
          </w:tcPr>
          <w:p>
            <w:pPr>
              <w:spacing w:after="0"/>
              <w:rPr>
                <w:sz w:val="1"/>
                <w:szCs w:val="1"/>
                <w:color w:val="auto"/>
              </w:rPr>
            </w:pPr>
          </w:p>
        </w:tc>
      </w:tr>
      <w:tr>
        <w:trPr>
          <w:trHeight w:val="205"/>
        </w:trPr>
        <w:tc>
          <w:tcPr>
            <w:tcW w:w="58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w w:val="99"/>
              </w:rPr>
              <w:t>Effect of exchange rate changes on cash, cash equivalents and restricted</w:t>
            </w: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(9,837)</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cash </w:t>
            </w:r>
            <w:r>
              <w:rPr>
                <w:rFonts w:ascii="Times New Roman" w:cs="Times New Roman" w:eastAsia="Times New Roman" w:hAnsi="Times New Roman"/>
                <w:sz w:val="20"/>
                <w:szCs w:val="20"/>
                <w:color w:val="B4B4B4"/>
              </w:rPr>
              <w: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6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Net increase (decrease) in cash, cash equivalents and restricted cash </w:t>
            </w:r>
            <w:r>
              <w:rPr>
                <w:rFonts w:ascii="Times New Roman" w:cs="Times New Roman" w:eastAsia="Times New Roman" w:hAnsi="Times New Roman"/>
                <w:sz w:val="20"/>
                <w:szCs w:val="20"/>
                <w:color w:val="B4B4B4"/>
                <w:w w:val="99"/>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75,936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(330,609)</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173,867</w:t>
            </w:r>
          </w:p>
        </w:tc>
        <w:tc>
          <w:tcPr>
            <w:tcW w:w="0" w:type="dxa"/>
            <w:vAlign w:val="bottom"/>
          </w:tcPr>
          <w:p>
            <w:pPr>
              <w:spacing w:after="0"/>
              <w:rPr>
                <w:sz w:val="1"/>
                <w:szCs w:val="1"/>
                <w:color w:val="auto"/>
              </w:rPr>
            </w:pP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Cash, cash equivalents and restricted cash, beginning of period </w:t>
            </w:r>
            <w:r>
              <w:rPr>
                <w:rFonts w:ascii="Times New Roman" w:cs="Times New Roman" w:eastAsia="Times New Roman" w:hAnsi="Times New Roman"/>
                <w:sz w:val="20"/>
                <w:szCs w:val="20"/>
                <w:color w:val="B4B4B4"/>
                <w:w w:val="99"/>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174,166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504,775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330,908</w:t>
            </w:r>
          </w:p>
        </w:tc>
        <w:tc>
          <w:tcPr>
            <w:tcW w:w="0" w:type="dxa"/>
            <w:vAlign w:val="bottom"/>
          </w:tcPr>
          <w:p>
            <w:pPr>
              <w:spacing w:after="0"/>
              <w:rPr>
                <w:sz w:val="1"/>
                <w:szCs w:val="1"/>
                <w:color w:val="auto"/>
              </w:rPr>
            </w:pPr>
          </w:p>
        </w:tc>
      </w:tr>
      <w:tr>
        <w:trPr>
          <w:trHeight w:val="24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Cash, cash equivalents and restricted cash, end of period </w:t>
            </w:r>
            <w:r>
              <w:rPr>
                <w:rFonts w:ascii="Times New Roman" w:cs="Times New Roman" w:eastAsia="Times New Roman" w:hAnsi="Times New Roman"/>
                <w:sz w:val="20"/>
                <w:szCs w:val="20"/>
                <w:color w:val="B4B4B4"/>
                <w:w w:val="99"/>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250,102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174,166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504,775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-2498090</wp:posOffset>
            </wp:positionV>
            <wp:extent cx="6324600" cy="2517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6324600" cy="251777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2023</w:t>
      </w:r>
    </w:p>
    <w:p>
      <w:pPr>
        <w:spacing w:after="0" w:line="21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Operating activities resulted in a net cash inflow of $145.9 million primarily attributable to cash collected from clients, net of cash operating expense outflows, including discretionary bonuses paid during the first quarter of 2023 with respect to prior year compensation expense.</w:t>
      </w:r>
    </w:p>
    <w:p>
      <w:pPr>
        <w:spacing w:after="0" w:line="182"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Investing activities resulted in a net cash outflow of $5.8 million largely attributable to the purchase of leasehold improvement fixed assets associated with the renovation of the New York office space and relocation of the London office space, partially offset by a net cash inflow from investments in U.S. Treasury securities.</w:t>
      </w:r>
    </w:p>
    <w:p>
      <w:pPr>
        <w:spacing w:after="0" w:line="182"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Financing activities resulted in a net cash outflow of $67.0 million primarily due to the repurchase of shares pursuant to the stock repurchase program, distributions to partners, withholding tax payments for vested PWP Incentive Plan Awards, and dividend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2022</w:t>
      </w:r>
    </w:p>
    <w:p>
      <w:pPr>
        <w:spacing w:after="0" w:line="21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Operating activities resulted in a net cash outflow of $17.8 million primarily attributable to cash collected from clients, net of cash operating expense outflows, including discretionary bonuses paid during the first quarter of 2022 with respect to prior year compensation expense.</w:t>
      </w:r>
    </w:p>
    <w:p>
      <w:pPr>
        <w:spacing w:after="0" w:line="182"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Investing activities resulted in a net cash outflow of $166.2 million largely attributable to the investment of excess cash in U.S. Treasury securities as well as the purchase of leasehold improvement fixed assets associated with the renovation of the New York office space and relocation of the London office space.</w:t>
      </w:r>
    </w:p>
    <w:p>
      <w:pPr>
        <w:spacing w:after="0" w:line="182"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Financing activities resulted in a net cash outflow of $136.8 million primarily related to the repurchase of shares pursuant to the stock repurchase program, distributions to partners, withholding tax payments for vested of PWP Incentive Plan Awards, and dividend payments.</w:t>
      </w:r>
    </w:p>
    <w:p>
      <w:pPr>
        <w:spacing w:after="0" w:line="182"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For a discussion of the year ended December 31, 2021, refer to Item 7, “Management’s Discussion and Analysis of Financial Condition and Results of Operations - Cash Flows” in our Form 10-K for the year ended December 31,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The Company’s board of directors approved a stock repurchase program under which the Company is authorized to repurchase up to $200.0 million of the Company’s Class A common stock with no requirement to purchase any minimum number of shares. During the year ended December 31, 2023, the Company purchased 2,376,683 shares, at a cost of $22.5 million in the aggregate. As of December 31, 2023, $108.8 million remains of the combined $200.0 million share repurchase authorization.</w:t>
      </w:r>
    </w:p>
    <w:p>
      <w:pPr>
        <w:sectPr>
          <w:pgSz w:w="12240" w:h="15840" w:orient="portrait"/>
          <w:cols w:equalWidth="0" w:num="1">
            <w:col w:w="9900"/>
          </w:cols>
          <w:pgMar w:left="1180" w:top="1369" w:right="1160" w:bottom="169" w:gutter="0" w:footer="0" w:header="0"/>
        </w:sectPr>
      </w:pP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0"/>
          </w:cols>
          <w:pgMar w:left="1180" w:top="1369" w:right="1160" w:bottom="169"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Rights</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In accordance with the PWP OpCo LPA, holders of PWP OpCo Units (other than the Company) may exchange these units for (i) shares of Class A common stock on a one-for-one basis or (ii) cash from an offering of shares of Class A common stock with the form of consideration determined by the Company. See Note 11—Stockholders’ Equity in the notes to consolidated financial statements included elsewhere in this Form 10-K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Capital</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7—Regulatory Requirements in the notes to consolidated financial statements included elsewhere in this Form 10-K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Commitments and Contractual Obligations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Sponsor Share Surrender and Share Restriction Agreement</w:t>
      </w:r>
    </w:p>
    <w:p>
      <w:pPr>
        <w:spacing w:after="0" w:line="214"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Concurrent with the Business Combination Agreement, the Company and certain other parties entered into the Sponsor Share Surrender and Share Restriction Agreement with the Sponsor, which was amended on May 4, 2021. See Note 11— Stockholders’ Equity in the notes to consolidated financial statements included elsewhere in this Form 10-K for further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As of December 31, 2023, we had an amount due of $30.9 million pursuant to the tax receivable agreement, which represents management’s best estimate of the amounts currently expected to be owed in connection with the tax receivable agreement for the Business Combination and subsequent exchanges made to date. See Note 16—Related Party Transactions in the notes to consolidated financial statements included elsewhere in this Form 10-K for further information as well as the expected timing of payments.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 and Capital Expenditures</w:t>
      </w:r>
    </w:p>
    <w:p>
      <w:pPr>
        <w:spacing w:after="0" w:line="214"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We have various non-cancelable operating leases in connection with the leases of our office spaces and equipment. As of December 31, 2023, we had $175.9 million of operating lease liabilities. See Note 5—Leases in the notes to consolidated financial statements included elsewhere in this Form 10-K for further information as well as the expected timing of payments. During the current year, the Company completed construction of new office space in New York and London. As of December 31, 2023, the Company had $6 million of remaining cash payments, net of tenant improvement allowances, related to these projects.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Realignment</w:t>
      </w:r>
    </w:p>
    <w:p>
      <w:pPr>
        <w:spacing w:after="0" w:line="214"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We currently estimate that approximately $15 million of cash payments remain outstanding related to the Business Realignment, substantially all of which are expected to be paid during the first half of 2024.</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00"/>
          </w:cols>
          <w:pgMar w:left="1180" w:top="1369" w:right="1160" w:bottom="169"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Market Risk and Credit Risk</w:t>
      </w:r>
    </w:p>
    <w:p>
      <w:pPr>
        <w:spacing w:after="0" w:line="217"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Our business is not capital-intensive and we do not invest in derivative instruments. We are not subject to significant market risk (including interest rate risk and commodity price risk) or significant credit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Cash and Cash Equivalents</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 applicable. We believe our cash and cash equivalents are not subject to any material interest rate risk, equity price risk, credit risk or other market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21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2—Summary of Significant Accounting Policies in the notes to consolidated financial statements included elsewhere in this Form 10-K for further information.</w:t>
      </w:r>
    </w:p>
    <w:p>
      <w:pPr>
        <w:spacing w:after="0" w:line="18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With respect to investments, we manage our credit risk exposure by holding investments primarily with investment grade credit quality. As of December 31, 2023, the Company held investments of $91.2 million in U.S. Treasury securities with maturities of less than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 Risk</w:t>
      </w:r>
    </w:p>
    <w:p>
      <w:pPr>
        <w:spacing w:after="0" w:line="219"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The Company is exposed to exchange rate risk as a result of having foreign subsidiaries with non-U.S. dollar functional currencies as well as from 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 Canadian dollar and our reporting currency, the U.S. dollar. For the years ended December 31, 2023 and 2022, the net impact of non-functional currency-related transaction gains and losses recorded in Other income (expense) on our Consolidated Statements of Operations was a $3.3 million loss and a $6.8 million gain, respectively, primarily related to U.S. dollar-denominated cash and intercompany receivables held by our foreign subsidiaries as the U.S. dollar weakened and strengthened, respectively. For the years ended December 31, 2023 and 2022, the net impact of the fluctuation of foreign currencies recorded in Foreign currency translation gain (loss) within our Consolidated Statements of Comprehensive Income (Loss) was a $4.1 million gain and a $9.7 million loss respectively. We have not entered into any transactions to hedge our exposure to these foreign currency fluctuations using derivative instruments or other methods but may do so if we deem appropriate in the future. As of December 31, 2023, we held cash balances of $42.0 million of non-U.S. dollar currencies, composed of pound sterling, the Euro, and Canadian dollars.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00"/>
          </w:cols>
          <w:pgMar w:left="1180" w:top="1371" w:right="1160" w:bottom="169"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17"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preparation of our consolidated financial statements and related disclosures in conformity with U.S. GAAP requires management to make judgments, assumptions, and estimates that affect the amounts reported in our consolidated financial statements and accompanying notes. The following are our critical accounting estimates and judgments used in the preparation of our consolidated financial statements. We believe that these critical accounting estimates represent those that are most important to the presentation of our financial condition and results of operations and require management's most difficult, subjective and complex judgment. Due to their subjectivity, actual results could differ materially from the amounts reported. Estimates and assumptions are reviewed periodically, and the effects of revisions are reflected in the period for which they are determined to be necessary.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The services provided under contracts with clients include transaction-related advisory services, fairness opinion services, research, and underwriting services. The fee structures for the Company’s transaction-related advisory services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 Such determination of probability may require significant judgement, especially when assessed near the end of a reporting period.</w:t>
      </w:r>
    </w:p>
    <w:p>
      <w:pPr>
        <w:spacing w:after="0" w:line="186"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records deferred revenue when it receives fees from clients that have not yet been earned or when the Company has an unconditional right to consideration before all performance obligations are complete (e.g., when announcement fees are received but additional services are expected to be provided between transaction announcement and transaction close). In these cases, the deferred amount is often based on an estimate of the services remaining to be completed, if any.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 achievement of the milestone.</w:t>
      </w:r>
    </w:p>
    <w:p>
      <w:pPr>
        <w:spacing w:after="0" w:line="18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Certain fixed fees specified in the Company’s contracts, which may include upfront fees and retainers, are recognized on a systematic basis over the estimated period in which the related services are performed. Estimating contract terms may require significant judgment and often change over the course of an engagement.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Our income tax expense, deferred tax assets and deferred tax liabilities, and liabilities for unrecognized tax benefits reflect management’s best estimate of current and future taxes to be paid. We are subject to income taxes in the United States and certain foreign jurisdictions. We make estimates and judgments in determining the provision for income taxes and certain tax assets and liabilities that arise from differences in the timing of recognition of revenue and expense for tax and financial reporting purposes. Significant changes in these estimates may result in an increase or decrease to our tax provision in a subsequent period.</w:t>
      </w:r>
    </w:p>
    <w:p>
      <w:pPr>
        <w:spacing w:after="0" w:line="181"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We regularly assess the likelihood that we will be able to recover our deferred tax assets. We believe that we will ultimately recover the deferred tax assets recorded on our Consolidated Statements of Financial Condition. However, should there be a change in the likelihood of our ability to recover our deferred tax assets, our tax provision would increase with the recording of a valuation allowance in the period in which we determined that the recovery is not likely. In evaluating our ability to recover our deferred tax assets in the jurisdiction from which they arise, we consider all available positive and negative evidence, including projected future taxable income. In projecting future taxable income, we begin with historical results and incorporate certain assumptions, including revenue growth and operating margin. The assumptions about future taxable income require the use of significant judgment and are consistent with the plans and estimates we are using to manage the underlying business.</w:t>
      </w:r>
    </w:p>
    <w:p>
      <w:pPr>
        <w:spacing w:after="0" w:line="186"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calculation of our tax liabilities involves dealing with uncertainties in the application of complex tax laws and regulations. We record unrecognized tax benefits based on whether it is more-likely-than-not that uncertain tax positions will be sustained on the basis of the technical merits of the position. If it is determined an uncertain tax position is more-likely-than-not to be sustained, we recognize the largest amount of tax benefit that is more than 50% likely to be realized upon ultimate settlement with the related tax authority. It is inherently difficult and subjective to estimate such amounts, as we must determine the probability of various possible outcomes.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Refer to Note 9—Income Taxes in the notes to the consolidated financial statements.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00"/>
          </w:cols>
          <w:pgMar w:left="1180" w:top="1371" w:right="1160" w:bottom="169"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A portion of the PWP Incentive Plan Awards granted to certain employees and non-employees vest upon the occurrence of both service and market conditions being achieved. Compensation expense is recognized for these equity-based awards over the requisite vesting period in an amount equal to the fair value of the awards at the grant date, provided the requisite service period is completed, irrespective of whether the market condition is satisfied. The effect of the market condition is reflected in the grant date fair value of the award. The Company utilized a Monte Carlo simulation valuation model to determine the grant date fair value which required significant judgment for various inputs including the risk-free interest rate, dividend yield and the volatility factor.</w:t>
      </w:r>
    </w:p>
    <w:p>
      <w:pPr>
        <w:spacing w:after="0" w:line="184" w:lineRule="exact"/>
        <w:rPr>
          <w:sz w:val="20"/>
          <w:szCs w:val="20"/>
          <w:color w:val="auto"/>
        </w:rPr>
      </w:pPr>
    </w:p>
    <w:p>
      <w:pPr>
        <w:ind w:right="1480" w:firstLine="360"/>
        <w:spacing w:after="0" w:line="478" w:lineRule="auto"/>
        <w:rPr>
          <w:sz w:val="20"/>
          <w:szCs w:val="20"/>
          <w:color w:val="auto"/>
        </w:rPr>
      </w:pPr>
      <w:r>
        <w:rPr>
          <w:rFonts w:ascii="Times New Roman" w:cs="Times New Roman" w:eastAsia="Times New Roman" w:hAnsi="Times New Roman"/>
          <w:sz w:val="20"/>
          <w:szCs w:val="20"/>
          <w:color w:val="auto"/>
        </w:rPr>
        <w:t xml:space="preserve">Refer to Note 12—Equity-Based Compensation in the notes to the consolidated financial statements. </w:t>
      </w:r>
      <w:r>
        <w:rPr>
          <w:rFonts w:ascii="Times New Roman" w:cs="Times New Roman" w:eastAsia="Times New Roman" w:hAnsi="Times New Roman"/>
          <w:sz w:val="20"/>
          <w:szCs w:val="20"/>
          <w:b w:val="1"/>
          <w:bCs w:val="1"/>
          <w:color w:val="auto"/>
        </w:rPr>
        <w:t>Item 7A. Quantitative and Qualitative Disclosures About Market Risk</w:t>
      </w: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Quantitative and qualitative disclosures about market risk are set forth above in “</w:t>
      </w:r>
      <w:r>
        <w:rPr>
          <w:rFonts w:ascii="Times New Roman" w:cs="Times New Roman" w:eastAsia="Times New Roman" w:hAnsi="Times New Roman"/>
          <w:sz w:val="20"/>
          <w:szCs w:val="20"/>
          <w:b w:val="1"/>
          <w:bCs w:val="1"/>
          <w:i w:val="1"/>
          <w:iCs w:val="1"/>
          <w:color w:val="auto"/>
        </w:rPr>
        <w:t>Item 7—Management’s Discussion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Analysis of Financial Condition and Results of Operations—Market Risk and Credit Risk.</w:t>
      </w:r>
      <w:r>
        <w:rPr>
          <w:rFonts w:ascii="Times New Roman" w:cs="Times New Roman" w:eastAsia="Times New Roman" w:hAnsi="Times New Roman"/>
          <w:sz w:val="20"/>
          <w:szCs w:val="20"/>
          <w:color w:val="auto"/>
        </w:rPr>
        <w:t>”</w:t>
      </w:r>
    </w:p>
    <w:p>
      <w:pPr>
        <w:sectPr>
          <w:pgSz w:w="12240" w:h="15840" w:orient="portrait"/>
          <w:cols w:equalWidth="0" w:num="1">
            <w:col w:w="9880"/>
          </w:cols>
          <w:pgMar w:left="1180" w:top="1369"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880"/>
          </w:cols>
          <w:pgMar w:left="1180" w:top="1369" w:right="1180" w:bottom="169"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3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Report of Independent Registered Public Accounting Firm (PCAOB ID: 42)</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Consolidated Statements of Financial Condition as of December 31, 2023 and 2022</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Consolidated Statements of Operations for the Years Ended December 31, 2023, 2022, and 2021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3051F2"/>
        </w:rPr>
        <w:t>Consolidated Statements of Comprehensive Income (Loss) for the Years Ended December 31, 2023, 2022, and</w:t>
      </w:r>
    </w:p>
    <w:p>
      <w:pPr>
        <w:ind w:left="40"/>
        <w:spacing w:after="0" w:line="225" w:lineRule="auto"/>
        <w:rPr>
          <w:sz w:val="20"/>
          <w:szCs w:val="20"/>
          <w:color w:val="auto"/>
        </w:rPr>
      </w:pPr>
      <w:r>
        <w:rPr>
          <w:rFonts w:ascii="Times New Roman" w:cs="Times New Roman" w:eastAsia="Times New Roman" w:hAnsi="Times New Roman"/>
          <w:sz w:val="19"/>
          <w:szCs w:val="19"/>
          <w:color w:val="3051F2"/>
        </w:rPr>
        <w:t xml:space="preserve">2021 </w:t>
      </w:r>
      <w:r>
        <w:rPr>
          <w:rFonts w:ascii="Times New Roman" w:cs="Times New Roman" w:eastAsia="Times New Roman" w:hAnsi="Times New Roman"/>
          <w:sz w:val="19"/>
          <w:szCs w:val="19"/>
          <w:color w:val="B4B4B4"/>
        </w:rPr>
        <w:t>...............................................................................................................................................................................</w:t>
      </w:r>
    </w:p>
    <w:p>
      <w:pPr>
        <w:ind w:left="40"/>
        <w:spacing w:after="0"/>
        <w:rPr>
          <w:sz w:val="20"/>
          <w:szCs w:val="20"/>
          <w:color w:val="auto"/>
        </w:rPr>
      </w:pPr>
      <w:r>
        <w:rPr>
          <w:rFonts w:ascii="Times New Roman" w:cs="Times New Roman" w:eastAsia="Times New Roman" w:hAnsi="Times New Roman"/>
          <w:sz w:val="19"/>
          <w:szCs w:val="19"/>
          <w:u w:val="single" w:color="auto"/>
          <w:color w:val="3051F2"/>
        </w:rPr>
        <w:t>Consolidated Statements of Changes in Equity for the Years Ended December 31, 2023, 2022, and 2021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Consolidated Statements of Cash Flows for the Years Ended December 31, 2023, 2022, and 2021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Notes to Consolidated Financial Statements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50</w:t>
      </w:r>
    </w:p>
    <w:p>
      <w:pPr>
        <w:spacing w:after="0" w:line="200" w:lineRule="exact"/>
        <w:rPr>
          <w:sz w:val="20"/>
          <w:szCs w:val="20"/>
          <w:color w:val="auto"/>
        </w:rPr>
      </w:pPr>
    </w:p>
    <w:p>
      <w:pPr>
        <w:sectPr>
          <w:pgSz w:w="12240" w:h="15840" w:orient="portrait"/>
          <w:cols w:equalWidth="0" w:num="2">
            <w:col w:w="9240" w:space="400"/>
            <w:col w:w="200"/>
          </w:cols>
          <w:pgMar w:left="1180" w:top="1371" w:right="122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840"/>
          </w:cols>
          <w:pgMar w:left="1180" w:top="1371" w:right="1220" w:bottom="169" w:gutter="0" w:footer="0" w:header="0"/>
          <w:type w:val="continuous"/>
        </w:sectPr>
      </w:pPr>
    </w:p>
    <w:bookmarkStart w:id="43" w:name="page44"/>
    <w:bookmarkEnd w:id="43"/>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Perella Weinberg Partners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financial condition of Perella Weinberg Partners (the Company) as of December 31, 2023 and 2022, the related consolidated statements of operations, comprehensive income (loss), changes in equity and cash flows for each of the three years in the period ended December 31, 2023, and the related</w:t>
      </w:r>
    </w:p>
    <w:p>
      <w:pPr>
        <w:spacing w:after="0"/>
        <w:rPr>
          <w:sz w:val="20"/>
          <w:szCs w:val="20"/>
          <w:color w:val="auto"/>
        </w:rPr>
      </w:pPr>
      <w:r>
        <w:rPr>
          <w:rFonts w:ascii="Times New Roman" w:cs="Times New Roman" w:eastAsia="Times New Roman" w:hAnsi="Times New Roman"/>
          <w:sz w:val="20"/>
          <w:szCs w:val="20"/>
          <w:color w:val="auto"/>
        </w:rPr>
        <w:t>notes</w:t>
      </w:r>
      <w:r>
        <w:rPr>
          <w:sz w:val="1"/>
          <w:szCs w:val="1"/>
          <w:color w:val="auto"/>
        </w:rPr>
        <w:drawing>
          <wp:inline distT="0" distB="0" distL="0" distR="0">
            <wp:extent cx="56515" cy="1238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56515" cy="123825"/>
                    </a:xfrm>
                    <a:prstGeom prst="rect">
                      <a:avLst/>
                    </a:prstGeom>
                    <a:noFill/>
                    <a:ln>
                      <a:noFill/>
                    </a:ln>
                  </pic:spPr>
                </pic:pic>
              </a:graphicData>
            </a:graphic>
          </wp:inline>
        </w:drawing>
      </w:r>
      <w:r>
        <w:rPr>
          <w:rFonts w:ascii="Times New Roman" w:cs="Times New Roman" w:eastAsia="Times New Roman" w:hAnsi="Times New Roman"/>
          <w:sz w:val="20"/>
          <w:szCs w:val="20"/>
          <w:color w:val="auto"/>
        </w:rPr>
        <w:t>(collectively referred to as the “consolidated financial statements”). In our opinion, the consolidated financial</w:t>
      </w:r>
    </w:p>
    <w:p>
      <w:pPr>
        <w:spacing w:after="0" w:line="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We have served as the Company’s auditor since 2007.</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February 23, 2024</w:t>
      </w:r>
    </w:p>
    <w:p>
      <w:pPr>
        <w:sectPr>
          <w:pgSz w:w="12240" w:h="15840" w:orient="portrait"/>
          <w:cols w:equalWidth="0" w:num="1">
            <w:col w:w="9880"/>
          </w:cols>
          <w:pgMar w:left="1180" w:top="1371"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880"/>
          </w:cols>
          <w:pgMar w:left="1180" w:top="1371" w:right="1180" w:bottom="169" w:gutter="0" w:footer="0" w:header="0"/>
          <w:type w:val="continuous"/>
        </w:sectPr>
      </w:pPr>
    </w:p>
    <w:bookmarkStart w:id="44" w:name="page45"/>
    <w:bookmarkEnd w:id="44"/>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80"/>
        </w:trPr>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6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Cash and cash equivalents </w:t>
            </w:r>
            <w:r>
              <w:rPr>
                <w:rFonts w:ascii="Times New Roman" w:cs="Times New Roman" w:eastAsia="Times New Roman" w:hAnsi="Times New Roman"/>
                <w:sz w:val="20"/>
                <w:szCs w:val="20"/>
                <w:color w:val="B4B4B4"/>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247,171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171,570</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Restricted cash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2,596</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Investments in short-term marketable debt securities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91,174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140,110</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Accounts receivable, net of allowance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47,771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67,906</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Due from related parties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3,362</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Fixed assets, net of accumulated depreciation and amortization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93,652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48,390</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 net of accumulated amortization</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19,192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25,772</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Goodwill</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34,383</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Prepaid expenses and other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30,871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36,190</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Right-of-use lease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153,720</w:t>
            </w:r>
          </w:p>
        </w:tc>
        <w:tc>
          <w:tcPr>
            <w:tcW w:w="0" w:type="dxa"/>
            <w:vAlign w:val="bottom"/>
          </w:tcPr>
          <w:p>
            <w:pPr>
              <w:spacing w:after="0"/>
              <w:rPr>
                <w:sz w:val="1"/>
                <w:szCs w:val="1"/>
                <w:color w:val="auto"/>
              </w:rPr>
            </w:pPr>
          </w:p>
        </w:tc>
      </w:tr>
      <w:tr>
        <w:trPr>
          <w:trHeight w:val="303"/>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Deferred tax asset, net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46,453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33,094</w:t>
            </w: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assets</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761,108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717,093</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9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Accrued compensation and benefits</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233,927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217,011</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Accounts payable, accrued expenses and other liabilities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51,350</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Lease liabilities</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175,901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165,601</w:t>
            </w:r>
          </w:p>
        </w:tc>
        <w:tc>
          <w:tcPr>
            <w:tcW w:w="0" w:type="dxa"/>
            <w:vAlign w:val="bottom"/>
          </w:tcPr>
          <w:p>
            <w:pPr>
              <w:spacing w:after="0"/>
              <w:rPr>
                <w:sz w:val="1"/>
                <w:szCs w:val="1"/>
                <w:color w:val="auto"/>
              </w:rPr>
            </w:pPr>
          </w:p>
        </w:tc>
      </w:tr>
      <w:tr>
        <w:trPr>
          <w:trHeight w:val="303"/>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Amount due pursuant to tax receivable agreement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30,928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22,991</w:t>
            </w:r>
          </w:p>
        </w:tc>
        <w:tc>
          <w:tcPr>
            <w:tcW w:w="0" w:type="dxa"/>
            <w:vAlign w:val="bottom"/>
          </w:tcPr>
          <w:p>
            <w:pPr>
              <w:spacing w:after="0"/>
              <w:rPr>
                <w:sz w:val="1"/>
                <w:szCs w:val="1"/>
                <w:color w:val="auto"/>
              </w:rPr>
            </w:pPr>
          </w:p>
        </w:tc>
      </w:tr>
      <w:tr>
        <w:trPr>
          <w:trHeight w:val="28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liabilities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492,862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456,953</w:t>
            </w:r>
          </w:p>
        </w:tc>
        <w:tc>
          <w:tcPr>
            <w:tcW w:w="0" w:type="dxa"/>
            <w:vAlign w:val="bottom"/>
          </w:tcPr>
          <w:p>
            <w:pPr>
              <w:spacing w:after="0"/>
              <w:rPr>
                <w:sz w:val="1"/>
                <w:szCs w:val="1"/>
                <w:color w:val="auto"/>
              </w:rPr>
            </w:pPr>
          </w:p>
        </w:tc>
      </w:tr>
      <w:tr>
        <w:trPr>
          <w:trHeight w:val="27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17)</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960" w:type="dxa"/>
            <w:vAlign w:val="bottom"/>
          </w:tcPr>
          <w:p>
            <w:pPr>
              <w:ind w:left="240"/>
              <w:spacing w:after="0" w:line="225" w:lineRule="exact"/>
              <w:rPr>
                <w:sz w:val="20"/>
                <w:szCs w:val="20"/>
                <w:color w:val="auto"/>
              </w:rPr>
            </w:pPr>
            <w:r>
              <w:rPr>
                <w:rFonts w:ascii="Times New Roman" w:cs="Times New Roman" w:eastAsia="Times New Roman" w:hAnsi="Times New Roman"/>
                <w:sz w:val="20"/>
                <w:szCs w:val="20"/>
                <w:color w:val="auto"/>
              </w:rPr>
              <w:t>Class A common stock, par value $0.0001 per share (1,500,000,000 shares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96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authorized, 57,361,073 issued and 44,642,849 outstanding at December 31, 2023;</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6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1,500,000,000 shares authorized, 52,237,247 issued and 41,744,961 outstanding at</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6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December 31, 2022) </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40"/>
              <w:spacing w:after="0" w:line="215" w:lineRule="exact"/>
              <w:rPr>
                <w:sz w:val="20"/>
                <w:szCs w:val="20"/>
                <w:color w:val="auto"/>
              </w:rPr>
            </w:pPr>
            <w:r>
              <w:rPr>
                <w:rFonts w:ascii="Times New Roman" w:cs="Times New Roman" w:eastAsia="Times New Roman" w:hAnsi="Times New Roman"/>
                <w:sz w:val="20"/>
                <w:szCs w:val="20"/>
                <w:color w:val="auto"/>
              </w:rPr>
              <w:t>Class B common stock, par value $0.0001 per share (600,000,000 shares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6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authorized, 41,589,339 issued and outstanding at December 31, 2023; 600,000,000</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6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shares authorized, 44,563,877 issued and outstanding at December 31, 2022) </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96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auto"/>
              </w:rPr>
              <w:t>Preferred stock, par value $0.0001 per share (100,000,000 shares authorized, no</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shares issued and outstanding at December 31, 2023 and 2022) </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Additional paid-in-capital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242,129</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Retained earnings (accumulated deficit)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(18,071)</w:t>
            </w:r>
          </w:p>
        </w:tc>
        <w:tc>
          <w:tcPr>
            <w:tcW w:w="0" w:type="dxa"/>
            <w:vAlign w:val="bottom"/>
          </w:tcPr>
          <w:p>
            <w:pPr>
              <w:spacing w:after="0"/>
              <w:rPr>
                <w:sz w:val="1"/>
                <w:szCs w:val="1"/>
                <w:color w:val="auto"/>
              </w:rPr>
            </w:pPr>
          </w:p>
        </w:tc>
      </w:tr>
      <w:tr>
        <w:trPr>
          <w:trHeight w:val="300"/>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Accumulated other comprehensive income (loss)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(6,538)</w:t>
            </w:r>
          </w:p>
        </w:tc>
        <w:tc>
          <w:tcPr>
            <w:tcW w:w="0" w:type="dxa"/>
            <w:vAlign w:val="bottom"/>
          </w:tcPr>
          <w:p>
            <w:pPr>
              <w:spacing w:after="0"/>
              <w:rPr>
                <w:sz w:val="1"/>
                <w:szCs w:val="1"/>
                <w:color w:val="auto"/>
              </w:rPr>
            </w:pPr>
          </w:p>
        </w:tc>
      </w:tr>
      <w:tr>
        <w:trPr>
          <w:trHeight w:val="205"/>
        </w:trPr>
        <w:tc>
          <w:tcPr>
            <w:tcW w:w="696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auto"/>
              </w:rPr>
              <w:t>Treasury stock, at cost (12,718,224 and 10,492,286 shares of Class A common</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(100,747)</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(80,067)</w:t>
            </w:r>
          </w:p>
        </w:tc>
        <w:tc>
          <w:tcPr>
            <w:tcW w:w="0" w:type="dxa"/>
            <w:vAlign w:val="bottom"/>
          </w:tcPr>
          <w:p>
            <w:pPr>
              <w:spacing w:after="0"/>
              <w:rPr>
                <w:sz w:val="1"/>
                <w:szCs w:val="1"/>
                <w:color w:val="auto"/>
              </w:rPr>
            </w:pPr>
          </w:p>
        </w:tc>
      </w:tr>
      <w:tr>
        <w:trPr>
          <w:trHeight w:val="263"/>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stock at December 31, 2023 and December 31, 2022, respectively)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Perella Weinberg Partners equity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137,462</w:t>
            </w:r>
          </w:p>
        </w:tc>
        <w:tc>
          <w:tcPr>
            <w:tcW w:w="0" w:type="dxa"/>
            <w:vAlign w:val="bottom"/>
          </w:tcPr>
          <w:p>
            <w:pPr>
              <w:spacing w:after="0"/>
              <w:rPr>
                <w:sz w:val="1"/>
                <w:szCs w:val="1"/>
                <w:color w:val="auto"/>
              </w:rPr>
            </w:pPr>
          </w:p>
        </w:tc>
      </w:tr>
      <w:tr>
        <w:trPr>
          <w:trHeight w:val="303"/>
        </w:trPr>
        <w:tc>
          <w:tcPr>
            <w:tcW w:w="696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Non-controlling interests </w:t>
            </w:r>
            <w:r>
              <w:rPr>
                <w:rFonts w:ascii="Times New Roman" w:cs="Times New Roman" w:eastAsia="Times New Roman" w:hAnsi="Times New Roman"/>
                <w:sz w:val="20"/>
                <w:szCs w:val="20"/>
                <w:color w:val="B4B4B4"/>
                <w:w w:val="99"/>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115,590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122,678</w:t>
            </w:r>
          </w:p>
        </w:tc>
        <w:tc>
          <w:tcPr>
            <w:tcW w:w="0" w:type="dxa"/>
            <w:vAlign w:val="bottom"/>
          </w:tcPr>
          <w:p>
            <w:pPr>
              <w:spacing w:after="0"/>
              <w:rPr>
                <w:sz w:val="1"/>
                <w:szCs w:val="1"/>
                <w:color w:val="auto"/>
              </w:rPr>
            </w:pPr>
          </w:p>
        </w:tc>
      </w:tr>
      <w:tr>
        <w:trPr>
          <w:trHeight w:val="28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equity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268,246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260,140</w:t>
            </w: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liabilities and equity </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761,108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717,093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-6565265</wp:posOffset>
            </wp:positionV>
            <wp:extent cx="6296025" cy="6584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6296025" cy="658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00"/>
          </w:cols>
          <w:pgMar w:left="1240" w:top="201" w:right="1200" w:bottom="0" w:gutter="0" w:footer="0" w:header="0"/>
        </w:sectPr>
      </w:pP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800"/>
          </w:cols>
          <w:pgMar w:left="1240" w:top="201" w:right="1200" w:bottom="0" w:gutter="0" w:footer="0" w:header="0"/>
          <w:type w:val="continuous"/>
        </w:sectPr>
      </w:pPr>
    </w:p>
    <w:bookmarkStart w:id="45" w:name="page46"/>
    <w:bookmarkEnd w:id="45"/>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00" w:lineRule="exact"/>
        <w:rPr>
          <w:sz w:val="20"/>
          <w:szCs w:val="20"/>
          <w:color w:val="auto"/>
        </w:rPr>
      </w:pPr>
    </w:p>
    <w:p>
      <w:pPr>
        <w:spacing w:after="0" w:line="312"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6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b w:val="1"/>
                <w:bCs w:val="1"/>
                <w:color w:val="000000"/>
              </w:rPr>
              <w:t>Revenues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631,507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801,662</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Compensation and benefits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426,572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391,333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504,364</w:t>
            </w:r>
          </w:p>
        </w:tc>
        <w:tc>
          <w:tcPr>
            <w:tcW w:w="0" w:type="dxa"/>
            <w:vAlign w:val="bottom"/>
          </w:tcPr>
          <w:p>
            <w:pPr>
              <w:spacing w:after="0"/>
              <w:rPr>
                <w:sz w:val="1"/>
                <w:szCs w:val="1"/>
                <w:color w:val="auto"/>
              </w:rPr>
            </w:pP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Equity-based compensation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154,158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96,330</w:t>
            </w:r>
          </w:p>
        </w:tc>
        <w:tc>
          <w:tcPr>
            <w:tcW w:w="0" w:type="dxa"/>
            <w:vAlign w:val="bottom"/>
          </w:tcPr>
          <w:p>
            <w:pPr>
              <w:spacing w:after="0"/>
              <w:rPr>
                <w:sz w:val="1"/>
                <w:szCs w:val="1"/>
                <w:color w:val="auto"/>
              </w:rPr>
            </w:pPr>
          </w:p>
        </w:tc>
      </w:tr>
      <w:tr>
        <w:trPr>
          <w:trHeight w:val="26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compensation and benefits </w:t>
            </w:r>
            <w:r>
              <w:rPr>
                <w:rFonts w:ascii="Times New Roman" w:cs="Times New Roman" w:eastAsia="Times New Roman" w:hAnsi="Times New Roman"/>
                <w:sz w:val="20"/>
                <w:szCs w:val="20"/>
                <w:color w:val="B4B4B4"/>
              </w:rPr>
              <w: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608,947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545,491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600,694</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Professional fees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34,824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41,891</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Technology and infrastructure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30,084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28,355</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Rent and occupancy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26,891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24,898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26,406</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Travel and related expenses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6,261</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General, administrative and other expenses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16,982</w:t>
            </w:r>
          </w:p>
        </w:tc>
        <w:tc>
          <w:tcPr>
            <w:tcW w:w="0" w:type="dxa"/>
            <w:vAlign w:val="bottom"/>
          </w:tcPr>
          <w:p>
            <w:pPr>
              <w:spacing w:after="0"/>
              <w:rPr>
                <w:sz w:val="1"/>
                <w:szCs w:val="1"/>
                <w:color w:val="auto"/>
              </w:rPr>
            </w:pP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Depreciation and amortization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14,679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10,694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14,489</w:t>
            </w:r>
          </w:p>
        </w:tc>
        <w:tc>
          <w:tcPr>
            <w:tcW w:w="0" w:type="dxa"/>
            <w:vAlign w:val="bottom"/>
          </w:tcPr>
          <w:p>
            <w:pPr>
              <w:spacing w:after="0"/>
              <w:rPr>
                <w:sz w:val="1"/>
                <w:szCs w:val="1"/>
                <w:color w:val="auto"/>
              </w:rPr>
            </w:pPr>
          </w:p>
        </w:tc>
      </w:tr>
      <w:tr>
        <w:trPr>
          <w:trHeight w:val="26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expenses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763,752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679,240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735,078</w:t>
            </w:r>
          </w:p>
        </w:tc>
        <w:tc>
          <w:tcPr>
            <w:tcW w:w="0" w:type="dxa"/>
            <w:vAlign w:val="bottom"/>
          </w:tcPr>
          <w:p>
            <w:pPr>
              <w:spacing w:after="0"/>
              <w:rPr>
                <w:sz w:val="1"/>
                <w:szCs w:val="1"/>
                <w:color w:val="auto"/>
              </w:rPr>
            </w:pPr>
          </w:p>
        </w:tc>
      </w:tr>
      <w:tr>
        <w:trPr>
          <w:trHeight w:val="26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b w:val="1"/>
                <w:bCs w:val="1"/>
                <w:color w:val="000000"/>
              </w:rPr>
              <w:t>Operatingincome(loss)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(115,100)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(47,733)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66,584</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Non-operating income (expenses)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Related party income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7,516</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income (expense)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Change in fair value of warrant liabilities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(4,897)</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Loss on extinguishment of debt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(39,408)</w:t>
            </w:r>
          </w:p>
        </w:tc>
        <w:tc>
          <w:tcPr>
            <w:tcW w:w="0" w:type="dxa"/>
            <w:vAlign w:val="bottom"/>
          </w:tcPr>
          <w:p>
            <w:pPr>
              <w:spacing w:after="0"/>
              <w:rPr>
                <w:sz w:val="1"/>
                <w:szCs w:val="1"/>
                <w:color w:val="auto"/>
              </w:rPr>
            </w:pP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Interest expense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(7,606)</w:t>
            </w:r>
          </w:p>
        </w:tc>
        <w:tc>
          <w:tcPr>
            <w:tcW w:w="0" w:type="dxa"/>
            <w:vAlign w:val="bottom"/>
          </w:tcPr>
          <w:p>
            <w:pPr>
              <w:spacing w:after="0"/>
              <w:rPr>
                <w:sz w:val="1"/>
                <w:szCs w:val="1"/>
                <w:color w:val="auto"/>
              </w:rPr>
            </w:pPr>
          </w:p>
        </w:tc>
      </w:tr>
      <w:tr>
        <w:trPr>
          <w:trHeight w:val="26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non-operating income (expenses)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26,313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(43,634)</w:t>
            </w:r>
          </w:p>
        </w:tc>
        <w:tc>
          <w:tcPr>
            <w:tcW w:w="0" w:type="dxa"/>
            <w:vAlign w:val="bottom"/>
          </w:tcPr>
          <w:p>
            <w:pPr>
              <w:spacing w:after="0"/>
              <w:rPr>
                <w:sz w:val="1"/>
                <w:szCs w:val="1"/>
                <w:color w:val="auto"/>
              </w:rPr>
            </w:pPr>
          </w:p>
        </w:tc>
      </w:tr>
      <w:tr>
        <w:trPr>
          <w:trHeight w:val="26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b w:val="1"/>
                <w:bCs w:val="1"/>
                <w:color w:val="000000"/>
              </w:rPr>
              <w:t>Income(loss)beforeincometaxes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(112,820)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22,950</w:t>
            </w:r>
          </w:p>
        </w:tc>
        <w:tc>
          <w:tcPr>
            <w:tcW w:w="0" w:type="dxa"/>
            <w:vAlign w:val="bottom"/>
          </w:tcPr>
          <w:p>
            <w:pPr>
              <w:spacing w:after="0"/>
              <w:rPr>
                <w:sz w:val="1"/>
                <w:szCs w:val="1"/>
                <w:color w:val="auto"/>
              </w:rPr>
            </w:pP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Income tax expense (benefit)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18,927</w:t>
            </w:r>
          </w:p>
        </w:tc>
        <w:tc>
          <w:tcPr>
            <w:tcW w:w="0" w:type="dxa"/>
            <w:vAlign w:val="bottom"/>
          </w:tcPr>
          <w:p>
            <w:pPr>
              <w:spacing w:after="0"/>
              <w:rPr>
                <w:sz w:val="1"/>
                <w:szCs w:val="1"/>
                <w:color w:val="auto"/>
              </w:rPr>
            </w:pPr>
          </w:p>
        </w:tc>
      </w:tr>
      <w:tr>
        <w:trPr>
          <w:trHeight w:val="26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b w:val="1"/>
                <w:bCs w:val="1"/>
                <w:color w:val="000000"/>
              </w:rPr>
              <w:t>Netincome(loss)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4,023</w:t>
            </w:r>
          </w:p>
        </w:tc>
        <w:tc>
          <w:tcPr>
            <w:tcW w:w="0" w:type="dxa"/>
            <w:vAlign w:val="bottom"/>
          </w:tcPr>
          <w:p>
            <w:pPr>
              <w:spacing w:after="0"/>
              <w:rPr>
                <w:sz w:val="1"/>
                <w:szCs w:val="1"/>
                <w:color w:val="auto"/>
              </w:rPr>
            </w:pP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Less: Net income (loss) attributable to non-controlling interests </w:t>
            </w:r>
            <w:r>
              <w:rPr>
                <w:rFonts w:ascii="Times New Roman" w:cs="Times New Roman" w:eastAsia="Times New Roman" w:hAnsi="Times New Roman"/>
                <w:sz w:val="20"/>
                <w:szCs w:val="20"/>
                <w:color w:val="B4B4B4"/>
                <w:w w:val="99"/>
              </w:rPr>
              <w: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(94,617)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13,444</w:t>
            </w:r>
          </w:p>
        </w:tc>
        <w:tc>
          <w:tcPr>
            <w:tcW w:w="0" w:type="dxa"/>
            <w:vAlign w:val="bottom"/>
          </w:tcPr>
          <w:p>
            <w:pPr>
              <w:spacing w:after="0"/>
              <w:rPr>
                <w:sz w:val="1"/>
                <w:szCs w:val="1"/>
                <w:color w:val="auto"/>
              </w:rPr>
            </w:pPr>
          </w:p>
        </w:tc>
      </w:tr>
      <w:tr>
        <w:trPr>
          <w:trHeight w:val="24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4B4B4"/>
              </w:rPr>
              <w:t>.............</w:t>
            </w:r>
            <w:r>
              <w:rPr>
                <w:rFonts w:ascii="Times New Roman" w:cs="Times New Roman" w:eastAsia="Times New Roman" w:hAnsi="Times New Roman"/>
                <w:sz w:val="20"/>
                <w:szCs w:val="20"/>
                <w:b w:val="1"/>
                <w:bCs w:val="1"/>
                <w:color w:val="000000"/>
              </w:rPr>
              <w:t>Netincome(loss)attributabletoPerellaWeinbergPartners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17,878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line="202" w:lineRule="exact"/>
              <w:rPr>
                <w:sz w:val="20"/>
                <w:szCs w:val="20"/>
                <w:color w:val="auto"/>
              </w:rPr>
            </w:pPr>
            <w:r>
              <w:rPr>
                <w:rFonts w:ascii="Times New Roman" w:cs="Times New Roman" w:eastAsia="Times New Roman" w:hAnsi="Times New Roman"/>
                <w:sz w:val="20"/>
                <w:szCs w:val="20"/>
                <w:b w:val="1"/>
                <w:bCs w:val="1"/>
                <w:color w:val="auto"/>
              </w:rPr>
              <w:t>Net income (loss) per share attributable to Class A common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5820" w:type="dxa"/>
            <w:vAlign w:val="bottom"/>
          </w:tcPr>
          <w:p>
            <w:pPr>
              <w:spacing w:after="0" w:line="285" w:lineRule="exact"/>
              <w:rPr>
                <w:sz w:val="20"/>
                <w:szCs w:val="20"/>
                <w:color w:val="auto"/>
              </w:rPr>
            </w:pPr>
            <w:r>
              <w:rPr>
                <w:rFonts w:ascii="Times New Roman" w:cs="Times New Roman" w:eastAsia="Times New Roman" w:hAnsi="Times New Roman"/>
                <w:sz w:val="20"/>
                <w:szCs w:val="20"/>
                <w:b w:val="1"/>
                <w:bCs w:val="1"/>
                <w:color w:val="auto"/>
              </w:rPr>
              <w:t xml:space="preserve">shareholders </w:t>
            </w:r>
            <w:r>
              <w:rPr>
                <w:rFonts w:ascii="Times New Roman" w:cs="Times New Roman" w:eastAsia="Times New Roman" w:hAnsi="Times New Roman"/>
                <w:sz w:val="26"/>
                <w:szCs w:val="26"/>
                <w:b w:val="1"/>
                <w:bCs w:val="1"/>
                <w:color w:val="auto"/>
                <w:vertAlign w:val="superscript"/>
              </w:rPr>
              <w:t>(1)</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(0.66)</w:t>
            </w:r>
          </w:p>
        </w:tc>
        <w:tc>
          <w:tcPr>
            <w:tcW w:w="0" w:type="dxa"/>
            <w:vAlign w:val="bottom"/>
          </w:tcPr>
          <w:p>
            <w:pPr>
              <w:spacing w:after="0"/>
              <w:rPr>
                <w:sz w:val="1"/>
                <w:szCs w:val="1"/>
                <w:color w:val="auto"/>
              </w:rPr>
            </w:pPr>
          </w:p>
        </w:tc>
      </w:tr>
      <w:tr>
        <w:trPr>
          <w:trHeight w:val="310"/>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Weighted-average shares of Class A common stock outstanding </w:t>
            </w:r>
            <w:r>
              <w:rPr>
                <w:rFonts w:ascii="Times New Roman" w:cs="Times New Roman" w:eastAsia="Times New Roman" w:hAnsi="Times New Roman"/>
                <w:sz w:val="26"/>
                <w:szCs w:val="26"/>
                <w:b w:val="1"/>
                <w:bCs w:val="1"/>
                <w:color w:val="auto"/>
                <w:vertAlign w:val="superscript"/>
              </w:rPr>
              <w:t>(1)</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43,273,939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43,837,640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42,595,712</w:t>
            </w:r>
          </w:p>
        </w:tc>
        <w:tc>
          <w:tcPr>
            <w:tcW w:w="0" w:type="dxa"/>
            <w:vAlign w:val="bottom"/>
          </w:tcPr>
          <w:p>
            <w:pPr>
              <w:spacing w:after="0"/>
              <w:rPr>
                <w:sz w:val="1"/>
                <w:szCs w:val="1"/>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86,779,052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89,755,632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92,749,911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-5728335</wp:posOffset>
            </wp:positionV>
            <wp:extent cx="6324600" cy="5749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6324600" cy="5749925"/>
                    </a:xfrm>
                    <a:prstGeom prst="rect">
                      <a:avLst/>
                    </a:prstGeom>
                    <a:noFill/>
                  </pic:spPr>
                </pic:pic>
              </a:graphicData>
            </a:graphic>
          </wp:anchor>
        </w:drawing>
      </w:r>
    </w:p>
    <w:p>
      <w:pPr>
        <w:spacing w:after="0" w:line="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jc w:val="both"/>
        <w:ind w:left="370" w:hanging="370"/>
        <w:spacing w:after="0" w:line="253" w:lineRule="auto"/>
        <w:tabs>
          <w:tab w:leader="none" w:pos="3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2021, net income (loss) per share of Class A common stock and weighted-average shares of Class A common stock outstanding is representative of the period from June 24, 2021 through December 31, 2021, the period following the Business Combination, as defined in Note 1—Organization and Nature of Business. For more information, refer to Note 14—Net Income (Loss) Per Share Attributable to Class A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10"/>
          </w:cols>
          <w:pgMar w:left="1170" w:top="201" w:right="1160" w:bottom="169" w:gutter="0" w:footer="0" w:header="0"/>
        </w:sectPr>
      </w:pPr>
    </w:p>
    <w:p>
      <w:pPr>
        <w:spacing w:after="0" w:line="25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910"/>
          </w:cols>
          <w:pgMar w:left="1170" w:top="201" w:right="1160" w:bottom="169" w:gutter="0" w:footer="0" w:header="0"/>
          <w:type w:val="continuous"/>
        </w:sectPr>
      </w:pPr>
    </w:p>
    <w:bookmarkStart w:id="46" w:name="page47"/>
    <w:bookmarkEnd w:id="46"/>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6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4B4B4"/>
              </w:rPr>
              <w:t>.....................................................................................</w:t>
            </w:r>
            <w:r>
              <w:rPr>
                <w:rFonts w:ascii="Times New Roman" w:cs="Times New Roman" w:eastAsia="Times New Roman" w:hAnsi="Times New Roman"/>
                <w:sz w:val="20"/>
                <w:szCs w:val="20"/>
                <w:b w:val="1"/>
                <w:bCs w:val="1"/>
                <w:color w:val="000000"/>
              </w:rPr>
              <w:t>Netincome(loss)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(31,747)</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4,023</w:t>
            </w:r>
          </w:p>
        </w:tc>
        <w:tc>
          <w:tcPr>
            <w:tcW w:w="0" w:type="dxa"/>
            <w:vAlign w:val="bottom"/>
          </w:tcPr>
          <w:p>
            <w:pPr>
              <w:spacing w:after="0"/>
              <w:rPr>
                <w:sz w:val="1"/>
                <w:szCs w:val="1"/>
                <w:color w:val="auto"/>
              </w:rPr>
            </w:pP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Foreign currency translation gain (loss), net of tax</w:t>
            </w:r>
            <w:r>
              <w:rPr>
                <w:rFonts w:ascii="Times New Roman" w:cs="Times New Roman" w:eastAsia="Times New Roman" w:hAnsi="Times New Roman"/>
                <w:sz w:val="20"/>
                <w:szCs w:val="20"/>
                <w:color w:val="B4B4B4"/>
                <w:w w:val="99"/>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(1,481)</w:t>
            </w:r>
          </w:p>
        </w:tc>
        <w:tc>
          <w:tcPr>
            <w:tcW w:w="0" w:type="dxa"/>
            <w:vAlign w:val="bottom"/>
          </w:tcPr>
          <w:p>
            <w:pPr>
              <w:spacing w:after="0"/>
              <w:rPr>
                <w:sz w:val="1"/>
                <w:szCs w:val="1"/>
                <w:color w:val="auto"/>
              </w:rPr>
            </w:pPr>
          </w:p>
        </w:tc>
      </w:tr>
      <w:tr>
        <w:trPr>
          <w:trHeight w:val="26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4B4B4"/>
              </w:rPr>
              <w:t>................................................................</w:t>
            </w:r>
            <w:r>
              <w:rPr>
                <w:rFonts w:ascii="Times New Roman" w:cs="Times New Roman" w:eastAsia="Times New Roman" w:hAnsi="Times New Roman"/>
                <w:sz w:val="20"/>
                <w:szCs w:val="20"/>
                <w:b w:val="1"/>
                <w:bCs w:val="1"/>
                <w:color w:val="000000"/>
              </w:rPr>
              <w:t>Comprehensiveincome(loss)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(107,709)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(41,429)</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2,542</w:t>
            </w:r>
          </w:p>
        </w:tc>
        <w:tc>
          <w:tcPr>
            <w:tcW w:w="0" w:type="dxa"/>
            <w:vAlign w:val="bottom"/>
          </w:tcPr>
          <w:p>
            <w:pPr>
              <w:spacing w:after="0"/>
              <w:rPr>
                <w:sz w:val="1"/>
                <w:szCs w:val="1"/>
                <w:color w:val="auto"/>
              </w:rPr>
            </w:pPr>
          </w:p>
        </w:tc>
      </w:tr>
      <w:tr>
        <w:trPr>
          <w:trHeight w:val="205"/>
        </w:trPr>
        <w:tc>
          <w:tcPr>
            <w:tcW w:w="5820" w:type="dxa"/>
            <w:vAlign w:val="bottom"/>
          </w:tcPr>
          <w:p>
            <w:pPr>
              <w:jc w:val="right"/>
              <w:ind w:right="400"/>
              <w:spacing w:after="0" w:line="205" w:lineRule="exact"/>
              <w:rPr>
                <w:sz w:val="20"/>
                <w:szCs w:val="20"/>
                <w:color w:val="auto"/>
              </w:rPr>
            </w:pPr>
            <w:r>
              <w:rPr>
                <w:rFonts w:ascii="Times New Roman" w:cs="Times New Roman" w:eastAsia="Times New Roman" w:hAnsi="Times New Roman"/>
                <w:sz w:val="20"/>
                <w:szCs w:val="20"/>
                <w:color w:val="auto"/>
                <w:w w:val="99"/>
              </w:rPr>
              <w:t>Less: Comprehensive income (loss) attributable to non-controlling</w:t>
            </w: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(92,544)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(54,515)</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12,883</w:t>
            </w:r>
          </w:p>
        </w:tc>
        <w:tc>
          <w:tcPr>
            <w:tcW w:w="0" w:type="dxa"/>
            <w:vAlign w:val="bottom"/>
          </w:tcPr>
          <w:p>
            <w:pPr>
              <w:spacing w:after="0"/>
              <w:rPr>
                <w:sz w:val="1"/>
                <w:szCs w:val="1"/>
                <w:color w:val="auto"/>
              </w:rPr>
            </w:pPr>
          </w:p>
        </w:tc>
      </w:tr>
      <w:tr>
        <w:trPr>
          <w:trHeight w:val="26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interests </w:t>
            </w:r>
            <w:r>
              <w:rPr>
                <w:rFonts w:ascii="Times New Roman" w:cs="Times New Roman" w:eastAsia="Times New Roman" w:hAnsi="Times New Roman"/>
                <w:sz w:val="20"/>
                <w:szCs w:val="20"/>
                <w:color w:val="B4B4B4"/>
                <w:w w:val="99"/>
              </w:rPr>
              <w: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820" w:type="dxa"/>
            <w:vAlign w:val="bottom"/>
          </w:tcPr>
          <w:p>
            <w:pPr>
              <w:jc w:val="right"/>
              <w:ind w:right="400"/>
              <w:spacing w:after="0" w:line="182" w:lineRule="exact"/>
              <w:rPr>
                <w:sz w:val="20"/>
                <w:szCs w:val="20"/>
                <w:color w:val="auto"/>
              </w:rPr>
            </w:pPr>
            <w:r>
              <w:rPr>
                <w:rFonts w:ascii="Times New Roman" w:cs="Times New Roman" w:eastAsia="Times New Roman" w:hAnsi="Times New Roman"/>
                <w:sz w:val="20"/>
                <w:szCs w:val="20"/>
                <w:b w:val="1"/>
                <w:bCs w:val="1"/>
                <w:color w:val="auto"/>
                <w:w w:val="99"/>
              </w:rPr>
              <w:t>Comprehensive income (loss) attributable to Perella Weinberg</w:t>
            </w:r>
          </w:p>
        </w:tc>
        <w:tc>
          <w:tcPr>
            <w:tcW w:w="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(15,165)</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13,086</w:t>
            </w:r>
          </w:p>
        </w:tc>
        <w:tc>
          <w:tcPr>
            <w:tcW w:w="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(10,341)</w:t>
            </w:r>
          </w:p>
        </w:tc>
        <w:tc>
          <w:tcPr>
            <w:tcW w:w="0" w:type="dxa"/>
            <w:vAlign w:val="bottom"/>
          </w:tcPr>
          <w:p>
            <w:pPr>
              <w:spacing w:after="0"/>
              <w:rPr>
                <w:sz w:val="1"/>
                <w:szCs w:val="1"/>
                <w:color w:val="auto"/>
              </w:rPr>
            </w:pPr>
          </w:p>
        </w:tc>
      </w:tr>
      <w:tr>
        <w:trPr>
          <w:trHeight w:val="24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Partners </w:t>
            </w:r>
            <w:r>
              <w:rPr>
                <w:rFonts w:ascii="Times New Roman" w:cs="Times New Roman" w:eastAsia="Times New Roman" w:hAnsi="Times New Roman"/>
                <w:sz w:val="20"/>
                <w:szCs w:val="20"/>
                <w:b w:val="1"/>
                <w:bCs w:val="1"/>
                <w:color w:val="B4B4B4"/>
                <w:w w:val="99"/>
              </w:rPr>
              <w:t>...................................................................................................</w:t>
            </w:r>
          </w:p>
        </w:tc>
        <w:tc>
          <w:tcPr>
            <w:tcW w:w="3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-1164590</wp:posOffset>
            </wp:positionV>
            <wp:extent cx="6324600" cy="1184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6324600" cy="118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60"/>
          </w:cols>
          <w:pgMar w:left="1220" w:top="201" w:right="116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860"/>
          </w:cols>
          <w:pgMar w:left="1220" w:top="201" w:right="1160" w:bottom="169" w:gutter="0" w:footer="0" w:header="0"/>
          <w:type w:val="continuous"/>
        </w:sectPr>
      </w:pPr>
    </w:p>
    <w:bookmarkStart w:id="47" w:name="page48"/>
    <w:bookmarkEnd w:id="47"/>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Class A</w:t>
            </w:r>
          </w:p>
        </w:tc>
        <w:tc>
          <w:tcPr>
            <w:tcW w:w="6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1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Non-</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Partners’</w:t>
            </w:r>
          </w:p>
        </w:tc>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8"/>
              </w:rPr>
              <w:t>Earnings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6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Common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4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10"/>
                <w:szCs w:val="10"/>
                <w:color w:val="auto"/>
              </w:rPr>
            </w:pPr>
          </w:p>
        </w:tc>
        <w:tc>
          <w:tcPr>
            <w:tcW w:w="86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60" w:type="dxa"/>
            <w:vAlign w:val="bottom"/>
          </w:tcPr>
          <w:p>
            <w:pPr>
              <w:spacing w:after="0"/>
              <w:rPr>
                <w:sz w:val="10"/>
                <w:szCs w:val="10"/>
                <w:color w:val="auto"/>
              </w:rPr>
            </w:pPr>
          </w:p>
        </w:tc>
        <w:tc>
          <w:tcPr>
            <w:tcW w:w="92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60" w:type="dxa"/>
            <w:vAlign w:val="bottom"/>
          </w:tcPr>
          <w:p>
            <w:pPr>
              <w:spacing w:after="0"/>
              <w:rPr>
                <w:sz w:val="10"/>
                <w:szCs w:val="10"/>
                <w:color w:val="auto"/>
              </w:rPr>
            </w:pPr>
          </w:p>
        </w:tc>
        <w:tc>
          <w:tcPr>
            <w:tcW w:w="78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Controlling</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6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Balance at December 31, 2020 </w:t>
            </w:r>
            <w:r>
              <w:rPr>
                <w:rFonts w:ascii="Times New Roman" w:cs="Times New Roman" w:eastAsia="Times New Roman" w:hAnsi="Times New Roman"/>
                <w:sz w:val="12"/>
                <w:szCs w:val="12"/>
                <w:b w:val="1"/>
                <w:bCs w:val="1"/>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76,509</w:t>
            </w: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74,183</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prior to Business Combination</w:t>
            </w:r>
            <w:r>
              <w:rPr>
                <w:rFonts w:ascii="Times New Roman" w:cs="Times New Roman" w:eastAsia="Times New Roman" w:hAnsi="Times New Roman"/>
                <w:sz w:val="12"/>
                <w:szCs w:val="12"/>
                <w:color w:val="B4B4B4"/>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59,857</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59,857</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w w:val="99"/>
              </w:rPr>
              <w:t xml:space="preserve">Equity-based compensation prior to Business Combination </w:t>
            </w:r>
            <w:r>
              <w:rPr>
                <w:rFonts w:ascii="Times New Roman" w:cs="Times New Roman" w:eastAsia="Times New Roman" w:hAnsi="Times New Roman"/>
                <w:sz w:val="12"/>
                <w:szCs w:val="12"/>
                <w:color w:val="B4B4B4"/>
                <w:w w:val="99"/>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11,761</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11,761</w:t>
            </w:r>
          </w:p>
        </w:tc>
        <w:tc>
          <w:tcPr>
            <w:tcW w:w="0" w:type="dxa"/>
            <w:vAlign w:val="bottom"/>
          </w:tcPr>
          <w:p>
            <w:pPr>
              <w:spacing w:after="0"/>
              <w:rPr>
                <w:sz w:val="1"/>
                <w:szCs w:val="1"/>
                <w:color w:val="auto"/>
              </w:rPr>
            </w:pPr>
          </w:p>
        </w:tc>
      </w:tr>
      <w:tr>
        <w:trPr>
          <w:trHeight w:val="204"/>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translation gain (loss) prior to Business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Combination </w:t>
            </w:r>
            <w:r>
              <w:rPr>
                <w:rFonts w:ascii="Times New Roman" w:cs="Times New Roman" w:eastAsia="Times New Roman" w:hAnsi="Times New Roman"/>
                <w:sz w:val="12"/>
                <w:szCs w:val="12"/>
                <w:color w:val="B4B4B4"/>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Distributions to partners prior to Business Combination </w:t>
            </w:r>
            <w:r>
              <w:rPr>
                <w:rFonts w:ascii="Times New Roman" w:cs="Times New Roman" w:eastAsia="Times New Roman" w:hAnsi="Times New Roman"/>
                <w:sz w:val="12"/>
                <w:szCs w:val="12"/>
                <w:color w:val="B4B4B4"/>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(47,389)</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(47,389)</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Other, prior to Business Combination </w:t>
            </w:r>
            <w:r>
              <w:rPr>
                <w:rFonts w:ascii="Times New Roman" w:cs="Times New Roman" w:eastAsia="Times New Roman" w:hAnsi="Times New Roman"/>
                <w:sz w:val="12"/>
                <w:szCs w:val="12"/>
                <w:color w:val="B4B4B4"/>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Effect of Business Combination </w:t>
            </w:r>
            <w:r>
              <w:rPr>
                <w:rFonts w:ascii="Times New Roman" w:cs="Times New Roman" w:eastAsia="Times New Roman" w:hAnsi="Times New Roman"/>
                <w:sz w:val="12"/>
                <w:szCs w:val="12"/>
                <w:color w:val="B4B4B4"/>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(101,112)</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42,956,667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50,154,199</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133,832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154,619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188,322</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Net income (loss) after Business Combination </w:t>
            </w:r>
            <w:r>
              <w:rPr>
                <w:rFonts w:ascii="Times New Roman" w:cs="Times New Roman" w:eastAsia="Times New Roman" w:hAnsi="Times New Roman"/>
                <w:sz w:val="12"/>
                <w:szCs w:val="12"/>
                <w:color w:val="B4B4B4"/>
              </w:rPr>
              <w:t>........................</w:t>
            </w:r>
          </w:p>
        </w:tc>
        <w:tc>
          <w:tcPr>
            <w:tcW w:w="1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(9,421)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(46,413)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(55,834)</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Equity-based awards after Business Combination </w:t>
            </w:r>
            <w:r>
              <w:rPr>
                <w:rFonts w:ascii="Times New Roman" w:cs="Times New Roman" w:eastAsia="Times New Roman" w:hAnsi="Times New Roman"/>
                <w:sz w:val="12"/>
                <w:szCs w:val="12"/>
                <w:color w:val="B4B4B4"/>
              </w:rPr>
              <w:t>...................</w:t>
            </w:r>
          </w:p>
        </w:tc>
        <w:tc>
          <w:tcPr>
            <w:tcW w:w="1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45,594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39,678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85,272</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w w:val="99"/>
              </w:rPr>
              <w:t xml:space="preserve">Distributions to partners after Business Combination </w:t>
            </w:r>
            <w:r>
              <w:rPr>
                <w:rFonts w:ascii="Times New Roman" w:cs="Times New Roman" w:eastAsia="Times New Roman" w:hAnsi="Times New Roman"/>
                <w:sz w:val="12"/>
                <w:szCs w:val="12"/>
                <w:color w:val="B4B4B4"/>
                <w:w w:val="99"/>
              </w:rPr>
              <w:t>..............</w:t>
            </w:r>
          </w:p>
        </w:tc>
        <w:tc>
          <w:tcPr>
            <w:tcW w:w="1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(18,542)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(18,542)</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Liability awards reclassification to equity</w:t>
            </w:r>
            <w:r>
              <w:rPr>
                <w:rFonts w:ascii="Times New Roman" w:cs="Times New Roman" w:eastAsia="Times New Roman" w:hAnsi="Times New Roman"/>
                <w:sz w:val="12"/>
                <w:szCs w:val="12"/>
                <w:color w:val="B4B4B4"/>
              </w:rPr>
              <w:t>................................</w:t>
            </w:r>
          </w:p>
        </w:tc>
        <w:tc>
          <w:tcPr>
            <w:tcW w:w="1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3,912</w:t>
            </w:r>
          </w:p>
        </w:tc>
        <w:tc>
          <w:tcPr>
            <w:tcW w:w="0" w:type="dxa"/>
            <w:vAlign w:val="bottom"/>
          </w:tcPr>
          <w:p>
            <w:pPr>
              <w:spacing w:after="0"/>
              <w:rPr>
                <w:sz w:val="1"/>
                <w:szCs w:val="1"/>
                <w:color w:val="auto"/>
              </w:rPr>
            </w:pPr>
          </w:p>
        </w:tc>
      </w:tr>
      <w:tr>
        <w:trPr>
          <w:trHeight w:val="204"/>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Class A common stock for vested PWP Incentive</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Plan Awards </w:t>
            </w:r>
            <w:r>
              <w:rPr>
                <w:rFonts w:ascii="Times New Roman" w:cs="Times New Roman" w:eastAsia="Times New Roman" w:hAnsi="Times New Roman"/>
                <w:sz w:val="12"/>
                <w:szCs w:val="12"/>
                <w:color w:val="B4B4B4"/>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692,652</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4"/>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Withholding tax payments on vested PWP Incentive Plan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Awards</w:t>
            </w:r>
            <w:r>
              <w:rPr>
                <w:rFonts w:ascii="Times New Roman" w:cs="Times New Roman" w:eastAsia="Times New Roman" w:hAnsi="Times New Roman"/>
                <w:sz w:val="12"/>
                <w:szCs w:val="12"/>
                <w:color w:val="B4B4B4"/>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(10,462)</w:t>
            </w:r>
          </w:p>
        </w:tc>
        <w:tc>
          <w:tcPr>
            <w:tcW w:w="0" w:type="dxa"/>
            <w:vAlign w:val="bottom"/>
          </w:tcPr>
          <w:p>
            <w:pPr>
              <w:spacing w:after="0"/>
              <w:rPr>
                <w:sz w:val="1"/>
                <w:szCs w:val="1"/>
                <w:color w:val="auto"/>
              </w:rPr>
            </w:pPr>
          </w:p>
        </w:tc>
      </w:tr>
      <w:tr>
        <w:trPr>
          <w:trHeight w:val="204"/>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Dividends declared ($0.14 per share of Class A common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stock) </w:t>
            </w:r>
            <w:r>
              <w:rPr>
                <w:rFonts w:ascii="Times New Roman" w:cs="Times New Roman" w:eastAsia="Times New Roman" w:hAnsi="Times New Roman"/>
                <w:sz w:val="12"/>
                <w:szCs w:val="12"/>
                <w:color w:val="B4B4B4"/>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(8,424)</w:t>
            </w:r>
          </w:p>
        </w:tc>
        <w:tc>
          <w:tcPr>
            <w:tcW w:w="0" w:type="dxa"/>
            <w:vAlign w:val="bottom"/>
          </w:tcPr>
          <w:p>
            <w:pPr>
              <w:spacing w:after="0"/>
              <w:rPr>
                <w:sz w:val="1"/>
                <w:szCs w:val="1"/>
                <w:color w:val="auto"/>
              </w:rPr>
            </w:pPr>
          </w:p>
        </w:tc>
      </w:tr>
      <w:tr>
        <w:trPr>
          <w:trHeight w:val="204"/>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translation gain (loss) after Business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Combination </w:t>
            </w:r>
            <w:r>
              <w:rPr>
                <w:rFonts w:ascii="Times New Roman" w:cs="Times New Roman" w:eastAsia="Times New Roman" w:hAnsi="Times New Roman"/>
                <w:sz w:val="12"/>
                <w:szCs w:val="12"/>
                <w:color w:val="B4B4B4"/>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(2,007)</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Other, after Business Combination</w:t>
            </w:r>
            <w:r>
              <w:rPr>
                <w:rFonts w:ascii="Times New Roman" w:cs="Times New Roman" w:eastAsia="Times New Roman" w:hAnsi="Times New Roman"/>
                <w:sz w:val="12"/>
                <w:szCs w:val="12"/>
                <w:color w:val="B4B4B4"/>
              </w:rPr>
              <w:t>...........................................</w:t>
            </w:r>
          </w:p>
        </w:tc>
        <w:tc>
          <w:tcPr>
            <w:tcW w:w="1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Treasury stock purchase </w:t>
            </w:r>
            <w:r>
              <w:rPr>
                <w:rFonts w:ascii="Times New Roman" w:cs="Times New Roman" w:eastAsia="Times New Roman" w:hAnsi="Times New Roman"/>
                <w:sz w:val="12"/>
                <w:szCs w:val="12"/>
                <w:color w:val="B4B4B4"/>
              </w:rPr>
              <w:t>...........................................................</w:t>
            </w:r>
          </w:p>
        </w:tc>
        <w:tc>
          <w:tcPr>
            <w:tcW w:w="1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0" w:type="dxa"/>
            <w:vAlign w:val="bottom"/>
          </w:tcPr>
          <w:p>
            <w:pPr>
              <w:spacing w:after="0"/>
              <w:rPr>
                <w:sz w:val="1"/>
                <w:szCs w:val="1"/>
                <w:color w:val="auto"/>
              </w:rPr>
            </w:pPr>
          </w:p>
        </w:tc>
      </w:tr>
      <w:tr>
        <w:trPr>
          <w:trHeight w:val="20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w w:val="99"/>
              </w:rPr>
              <w:t xml:space="preserve">Change in ownership interests </w:t>
            </w:r>
            <w:r>
              <w:rPr>
                <w:rFonts w:ascii="Times New Roman" w:cs="Times New Roman" w:eastAsia="Times New Roman" w:hAnsi="Times New Roman"/>
                <w:sz w:val="12"/>
                <w:szCs w:val="12"/>
                <w:color w:val="B4B4B4"/>
                <w:w w:val="99"/>
              </w:rPr>
              <w:t>..................................................</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(15,845)</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15,845</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Balance at December 31, 2021 </w:t>
            </w:r>
            <w:r>
              <w:rPr>
                <w:rFonts w:ascii="Times New Roman" w:cs="Times New Roman" w:eastAsia="Times New Roman" w:hAnsi="Times New Roman"/>
                <w:sz w:val="12"/>
                <w:szCs w:val="12"/>
                <w:b w:val="1"/>
                <w:bCs w:val="1"/>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43,649,319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50,154,199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145,033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271,352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-2907665</wp:posOffset>
            </wp:positionV>
            <wp:extent cx="8572500" cy="2927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8572500" cy="292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5840" w:h="12240" w:orient="landscape"/>
          <w:cols w:equalWidth="0" w:num="1">
            <w:col w:w="13380"/>
          </w:cols>
          <w:pgMar w:left="1260" w:top="201" w:right="120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46</w:t>
      </w:r>
    </w:p>
    <w:p>
      <w:pPr>
        <w:sectPr>
          <w:pgSz w:w="15840" w:h="12240" w:orient="landscape"/>
          <w:cols w:equalWidth="0" w:num="1">
            <w:col w:w="13380"/>
          </w:cols>
          <w:pgMar w:left="1260" w:top="201" w:right="1200" w:bottom="169" w:gutter="0" w:footer="0" w:header="0"/>
          <w:type w:val="continuous"/>
        </w:sectPr>
      </w:pPr>
    </w:p>
    <w:bookmarkStart w:id="48" w:name="page49"/>
    <w:bookmarkEnd w:id="4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 –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Class A</w:t>
            </w:r>
          </w:p>
        </w:tc>
        <w:tc>
          <w:tcPr>
            <w:tcW w:w="6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Class A</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60"/>
              <w:spacing w:after="0" w:line="129"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Non-</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8"/>
              </w:rPr>
              <w:t>Earnings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6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60" w:type="dxa"/>
            <w:vAlign w:val="bottom"/>
          </w:tcPr>
          <w:p>
            <w:pPr>
              <w:spacing w:after="0"/>
              <w:rPr>
                <w:sz w:val="10"/>
                <w:szCs w:val="10"/>
                <w:color w:val="auto"/>
              </w:rPr>
            </w:pPr>
          </w:p>
        </w:tc>
        <w:tc>
          <w:tcPr>
            <w:tcW w:w="102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7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Balance at December 31, 2021 </w:t>
            </w:r>
            <w:r>
              <w:rPr>
                <w:rFonts w:ascii="Times New Roman" w:cs="Times New Roman" w:eastAsia="Times New Roman" w:hAnsi="Times New Roman"/>
                <w:sz w:val="12"/>
                <w:szCs w:val="12"/>
                <w:b w:val="1"/>
                <w:bCs w:val="1"/>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43,649,319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50,154,199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158,131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145,033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271,352</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17,878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(49,625)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(31,747)</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Equity-based awards</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81,804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74,616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156,420</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Distributions to partners </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(44,455)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(44,455)</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Class A common stock for vested PWP Incentive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Plan Awards </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1,426,073</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51,730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Withholding tax payments on vested PWP Incentive Plan</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Awards</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(9,703)</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Dividends declared ($0.28 per share of Class A common stock)</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(17,874)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(17,352)</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Foreign currency translation gain (loss) </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(9,682)</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1,935</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Class A common stock and exchange of PWP</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OpCo Units with corresponding Class B common stock for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cash using Offering proceeds (Note 11—Stockholders’ Equity) </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3,502,033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(3,498,534)</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Exchange of PWP OpCo Units and corresponding Class B</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common stock for Class A common stock (Note 11—</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Stockholders’ Equity) </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2,093,874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(2,091,788)</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Warrant exchange for Class A common stock </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1,565,948</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11,999</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Treasury stock purchases</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(9,544,016)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(68,687)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(68,687)</w:t>
            </w:r>
          </w:p>
        </w:tc>
        <w:tc>
          <w:tcPr>
            <w:tcW w:w="0" w:type="dxa"/>
            <w:vAlign w:val="bottom"/>
          </w:tcPr>
          <w:p>
            <w:pPr>
              <w:spacing w:after="0"/>
              <w:rPr>
                <w:sz w:val="1"/>
                <w:szCs w:val="1"/>
                <w:color w:val="auto"/>
              </w:rPr>
            </w:pPr>
          </w:p>
        </w:tc>
      </w:tr>
      <w:tr>
        <w:trPr>
          <w:trHeight w:val="20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w w:val="99"/>
              </w:rPr>
              <w:t xml:space="preserve">Change in ownership interests </w:t>
            </w:r>
            <w:r>
              <w:rPr>
                <w:rFonts w:ascii="Times New Roman" w:cs="Times New Roman" w:eastAsia="Times New Roman" w:hAnsi="Times New Roman"/>
                <w:sz w:val="12"/>
                <w:szCs w:val="12"/>
                <w:color w:val="B4B4B4"/>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3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Balance at December 31, 2022 </w:t>
            </w:r>
            <w:r>
              <w:rPr>
                <w:rFonts w:ascii="Times New Roman" w:cs="Times New Roman" w:eastAsia="Times New Roman" w:hAnsi="Times New Roman"/>
                <w:sz w:val="12"/>
                <w:szCs w:val="12"/>
                <w:b w:val="1"/>
                <w:bCs w:val="1"/>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52,237,247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44,563,877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(10,492,286)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(80,067)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242,129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122,678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260,140</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(17,224)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(94,616)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(111,840)</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Equity-based awards</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78,216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184,464</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Distributions to partners</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(14,169)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(14,169)</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Class A common stock for vested PWP Incentive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Plan Awards </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2,146,320</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150,745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Withholding tax payments on vested PWP Incentive Plan</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Awards</w:t>
            </w:r>
            <w:r>
              <w:rPr>
                <w:rFonts w:ascii="Times New Roman" w:cs="Times New Roman" w:eastAsia="Times New Roman" w:hAnsi="Times New Roman"/>
                <w:sz w:val="12"/>
                <w:szCs w:val="12"/>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(16,743)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(16,743)</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Dividends declared ($0.28 per share of Class A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(19,257)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(18,715)</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translation gain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4,131</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1,982</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Exchange of PWP OpCo Units and corresponding Class B</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common stock for Class A common stock (Note 11—</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2,977,506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(2,974,538)</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1,484</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Treasury stock purchase</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(2,376,683)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(22,489)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(22,489)</w:t>
            </w:r>
          </w:p>
        </w:tc>
        <w:tc>
          <w:tcPr>
            <w:tcW w:w="0" w:type="dxa"/>
            <w:vAlign w:val="bottom"/>
          </w:tcPr>
          <w:p>
            <w:pPr>
              <w:spacing w:after="0"/>
              <w:rPr>
                <w:sz w:val="1"/>
                <w:szCs w:val="1"/>
                <w:color w:val="auto"/>
              </w:rPr>
            </w:pPr>
          </w:p>
        </w:tc>
      </w:tr>
      <w:tr>
        <w:trPr>
          <w:trHeight w:val="20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Change in ownership interests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(20,668)</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20,668</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Balance at December 31, 2023 </w:t>
            </w:r>
            <w:r>
              <w:rPr>
                <w:rFonts w:ascii="Times New Roman" w:cs="Times New Roman" w:eastAsia="Times New Roman" w:hAnsi="Times New Roman"/>
                <w:sz w:val="12"/>
                <w:szCs w:val="12"/>
                <w:b w:val="1"/>
                <w:bCs w:val="1"/>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57,361,073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41,589,339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(12,718,224)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(100,747)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312,523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115,590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268,246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-4422140</wp:posOffset>
            </wp:positionV>
            <wp:extent cx="8601075" cy="4441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8601075" cy="444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5840" w:h="12240" w:orient="landscape"/>
          <w:cols w:equalWidth="0" w:num="1">
            <w:col w:w="13420"/>
          </w:cols>
          <w:pgMar w:left="1240" w:top="201" w:right="118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47</w:t>
      </w:r>
    </w:p>
    <w:p>
      <w:pPr>
        <w:sectPr>
          <w:pgSz w:w="15840" w:h="12240" w:orient="landscape"/>
          <w:cols w:equalWidth="0" w:num="1">
            <w:col w:w="13420"/>
          </w:cols>
          <w:pgMar w:left="1240" w:top="201" w:right="1180" w:bottom="169" w:gutter="0" w:footer="0" w:header="0"/>
          <w:type w:val="continuous"/>
        </w:sectPr>
      </w:pPr>
    </w:p>
    <w:bookmarkStart w:id="49" w:name="page50"/>
    <w:bookmarkEnd w:id="49"/>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7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780" w:type="dxa"/>
            <w:vAlign w:val="bottom"/>
          </w:tcPr>
          <w:p>
            <w:pPr>
              <w:ind w:left="240"/>
              <w:spacing w:after="0" w:line="220" w:lineRule="exact"/>
              <w:rPr>
                <w:sz w:val="20"/>
                <w:szCs w:val="20"/>
                <w:color w:val="auto"/>
              </w:rPr>
            </w:pPr>
            <w:r>
              <w:rPr>
                <w:rFonts w:ascii="Times New Roman" w:cs="Times New Roman" w:eastAsia="Times New Roman" w:hAnsi="Times New Roman"/>
                <w:sz w:val="20"/>
                <w:szCs w:val="20"/>
                <w:color w:val="auto"/>
                <w:w w:val="99"/>
              </w:rPr>
              <w:t xml:space="preserve">Net income (loss) </w:t>
            </w:r>
            <w:r>
              <w:rPr>
                <w:rFonts w:ascii="Times New Roman" w:cs="Times New Roman" w:eastAsia="Times New Roman" w:hAnsi="Times New Roman"/>
                <w:sz w:val="20"/>
                <w:szCs w:val="20"/>
                <w:color w:val="B4B4B4"/>
                <w:w w:val="99"/>
              </w:rPr>
              <w:t>.................................................................................</w:t>
            </w:r>
          </w:p>
        </w:tc>
        <w:tc>
          <w:tcPr>
            <w:tcW w:w="300" w:type="dxa"/>
            <w:vAlign w:val="bottom"/>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(111,840)</w:t>
            </w:r>
          </w:p>
        </w:tc>
        <w:tc>
          <w:tcPr>
            <w:tcW w:w="36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(31,747)</w:t>
            </w:r>
          </w:p>
        </w:tc>
        <w:tc>
          <w:tcPr>
            <w:tcW w:w="480" w:type="dxa"/>
            <w:vAlign w:val="bottom"/>
            <w:gridSpan w:val="2"/>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4,023</w:t>
            </w:r>
          </w:p>
        </w:tc>
        <w:tc>
          <w:tcPr>
            <w:tcW w:w="0" w:type="dxa"/>
            <w:vAlign w:val="bottom"/>
          </w:tcPr>
          <w:p>
            <w:pPr>
              <w:spacing w:after="0"/>
              <w:rPr>
                <w:sz w:val="1"/>
                <w:szCs w:val="1"/>
                <w:color w:val="auto"/>
              </w:rPr>
            </w:pPr>
          </w:p>
        </w:tc>
      </w:tr>
      <w:tr>
        <w:trPr>
          <w:trHeight w:val="200"/>
        </w:trPr>
        <w:tc>
          <w:tcPr>
            <w:tcW w:w="578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Adjustments to reconcile net loss to net cash provided by (used in)</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operating activities: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Loss on debt extinguishment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39,408</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Equity-based awards vesting expense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184,464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156,420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97,033</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14,679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14,489</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Change in fair value of warrant liabilities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(15,806)</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4,897</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Foreign currency revaluation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(4,692)</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Non-cash operating lease expense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15,948</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17,361</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Deferred taxes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(3,716)</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Bad debt expense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w:t>
            </w:r>
          </w:p>
        </w:tc>
        <w:tc>
          <w:tcPr>
            <w:tcW w:w="0" w:type="dxa"/>
            <w:vAlign w:val="bottom"/>
          </w:tcPr>
          <w:p>
            <w:pPr>
              <w:spacing w:after="0"/>
              <w:rPr>
                <w:sz w:val="1"/>
                <w:szCs w:val="1"/>
                <w:color w:val="auto"/>
              </w:rPr>
            </w:pPr>
          </w:p>
        </w:tc>
      </w:tr>
      <w:tr>
        <w:trPr>
          <w:trHeight w:val="240"/>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Decrease (increase) in operating assets: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Accounts receivable, net of allowance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18,798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(24,339)</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(7,127)</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Due from related parties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(3,612)</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Prepaid expenses and other assets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(15,205)</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Increase (decrease) in operating liabilities: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Accrued compensation and benefits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15,906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(97,135)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97,912</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accrued expenses and other liabilities</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5,113</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Lease liabilities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(18,082)</w:t>
            </w:r>
          </w:p>
        </w:tc>
        <w:tc>
          <w:tcPr>
            <w:tcW w:w="0" w:type="dxa"/>
            <w:vAlign w:val="bottom"/>
          </w:tcPr>
          <w:p>
            <w:pPr>
              <w:spacing w:after="0"/>
              <w:rPr>
                <w:sz w:val="1"/>
                <w:szCs w:val="1"/>
                <w:color w:val="auto"/>
              </w:rPr>
            </w:pPr>
          </w:p>
        </w:tc>
      </w:tr>
      <w:tr>
        <w:trPr>
          <w:trHeight w:val="28"/>
        </w:trPr>
        <w:tc>
          <w:tcPr>
            <w:tcW w:w="57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780" w:type="dxa"/>
            <w:vAlign w:val="bottom"/>
            <w:vMerge w:val="continue"/>
          </w:tcPr>
          <w:p>
            <w:pPr>
              <w:jc w:val="right"/>
              <w:spacing w:after="0" w:line="152" w:lineRule="exact"/>
              <w:rPr>
                <w:sz w:val="20"/>
                <w:szCs w:val="20"/>
                <w:color w:val="auto"/>
              </w:rPr>
            </w:pPr>
            <w:r>
              <w:rPr>
                <w:rFonts w:ascii="Times New Roman" w:cs="Times New Roman" w:eastAsia="Times New Roman" w:hAnsi="Times New Roman"/>
                <w:sz w:val="17"/>
                <w:szCs w:val="17"/>
                <w:color w:val="B4B4B4"/>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145,883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(17,773)</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234,908</w:t>
            </w:r>
          </w:p>
        </w:tc>
        <w:tc>
          <w:tcPr>
            <w:tcW w:w="0" w:type="dxa"/>
            <w:vAlign w:val="bottom"/>
          </w:tcPr>
          <w:p>
            <w:pPr>
              <w:spacing w:after="0"/>
              <w:rPr>
                <w:sz w:val="1"/>
                <w:szCs w:val="1"/>
                <w:color w:val="auto"/>
              </w:rPr>
            </w:pPr>
          </w:p>
        </w:tc>
      </w:tr>
      <w:tr>
        <w:trPr>
          <w:trHeight w:val="192"/>
        </w:trPr>
        <w:tc>
          <w:tcPr>
            <w:tcW w:w="5780" w:type="dxa"/>
            <w:vAlign w:val="bottom"/>
          </w:tcPr>
          <w:p>
            <w:pPr>
              <w:spacing w:after="0" w:line="192"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Purchases of fixed assets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(57,598)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(26,560)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(1,462)</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Purchases of investments in short-term marketable debt securities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(89,259)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(139,171)</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Maturities of investments in short-term marketable debt securities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140,551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w:t>
            </w:r>
          </w:p>
        </w:tc>
        <w:tc>
          <w:tcPr>
            <w:tcW w:w="0" w:type="dxa"/>
            <w:vAlign w:val="bottom"/>
          </w:tcPr>
          <w:p>
            <w:pPr>
              <w:spacing w:after="0"/>
              <w:rPr>
                <w:sz w:val="1"/>
                <w:szCs w:val="1"/>
                <w:color w:val="auto"/>
              </w:rPr>
            </w:pPr>
          </w:p>
        </w:tc>
      </w:tr>
      <w:tr>
        <w:trPr>
          <w:trHeight w:val="28"/>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780" w:type="dxa"/>
            <w:vAlign w:val="bottom"/>
            <w:vMerge w:val="continue"/>
          </w:tcPr>
          <w:p>
            <w:pPr>
              <w:jc w:val="right"/>
              <w:spacing w:after="0" w:line="152" w:lineRule="exact"/>
              <w:rPr>
                <w:sz w:val="20"/>
                <w:szCs w:val="20"/>
                <w:color w:val="auto"/>
              </w:rPr>
            </w:pPr>
            <w:r>
              <w:rPr>
                <w:rFonts w:ascii="Times New Roman" w:cs="Times New Roman" w:eastAsia="Times New Roman" w:hAnsi="Times New Roman"/>
                <w:sz w:val="17"/>
                <w:szCs w:val="17"/>
                <w:color w:val="B4B4B4"/>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(5,818)</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(166,231)</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(2,440)</w:t>
            </w:r>
          </w:p>
        </w:tc>
        <w:tc>
          <w:tcPr>
            <w:tcW w:w="0" w:type="dxa"/>
            <w:vAlign w:val="bottom"/>
          </w:tcPr>
          <w:p>
            <w:pPr>
              <w:spacing w:after="0"/>
              <w:rPr>
                <w:sz w:val="1"/>
                <w:szCs w:val="1"/>
                <w:color w:val="auto"/>
              </w:rPr>
            </w:pPr>
          </w:p>
        </w:tc>
      </w:tr>
      <w:tr>
        <w:trPr>
          <w:trHeight w:val="192"/>
        </w:trPr>
        <w:tc>
          <w:tcPr>
            <w:tcW w:w="5780" w:type="dxa"/>
            <w:vAlign w:val="bottom"/>
          </w:tcPr>
          <w:p>
            <w:pPr>
              <w:spacing w:after="0" w:line="192" w:lineRule="exact"/>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Proceeds from Business Combination, including PIPE Investment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355,021</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Payment of Business Combination costs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(23,895)</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Principal payment on Revolving Credit Facility</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(27,690)</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Redemption of Convertible Notes</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(160,930)</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Redemption of partners’ interests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(104,540)</w:t>
            </w:r>
          </w:p>
        </w:tc>
        <w:tc>
          <w:tcPr>
            <w:tcW w:w="0" w:type="dxa"/>
            <w:vAlign w:val="bottom"/>
          </w:tcPr>
          <w:p>
            <w:pPr>
              <w:spacing w:after="0"/>
              <w:rPr>
                <w:sz w:val="1"/>
                <w:szCs w:val="1"/>
                <w:color w:val="auto"/>
              </w:rPr>
            </w:pPr>
          </w:p>
        </w:tc>
      </w:tr>
      <w:tr>
        <w:trPr>
          <w:trHeight w:val="25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Proceeds from the Offering, net of underwriting discount </w:t>
            </w:r>
            <w:r>
              <w:rPr>
                <w:rFonts w:ascii="Times New Roman" w:cs="Times New Roman" w:eastAsia="Times New Roman" w:hAnsi="Times New Roman"/>
                <w:sz w:val="20"/>
                <w:szCs w:val="20"/>
                <w:color w:val="B4B4B4"/>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36,526</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0"/>
        </w:trPr>
        <w:tc>
          <w:tcPr>
            <w:tcW w:w="578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Exchange of PWP OpCo Units and corresponding Class B common</w:t>
            </w: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(36,526)</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5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 xml:space="preserve">stock for cash using Offering proceeds </w:t>
            </w:r>
            <w:r>
              <w:rPr>
                <w:rFonts w:ascii="Times New Roman" w:cs="Times New Roman" w:eastAsia="Times New Roman" w:hAnsi="Times New Roman"/>
                <w:sz w:val="20"/>
                <w:szCs w:val="20"/>
                <w:color w:val="B4B4B4"/>
              </w:rPr>
              <w:t>................................................</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Payment of offering costs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Distributions to partners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(14,169)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(44,455)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(65,931)</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Dividends paid on Class A and Class B common stock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(5,990)</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Withholding tax payments for vested PWP Incentive Plan Awards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(16,743)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(10,462)</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Treasury stock purchases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(22,489)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(68,452)</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Payments pursuant to tax receivable agreement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Debt issuance costs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Proceeds from Partner Promissory Note </w:t>
            </w:r>
            <w:r>
              <w:rPr>
                <w:rFonts w:ascii="Times New Roman" w:cs="Times New Roman" w:eastAsia="Times New Roman" w:hAnsi="Times New Roman"/>
                <w:sz w:val="20"/>
                <w:szCs w:val="20"/>
                <w:color w:val="B4B4B4"/>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w:t>
            </w:r>
          </w:p>
        </w:tc>
        <w:tc>
          <w:tcPr>
            <w:tcW w:w="0" w:type="dxa"/>
            <w:vAlign w:val="bottom"/>
          </w:tcPr>
          <w:p>
            <w:pPr>
              <w:spacing w:after="0"/>
              <w:rPr>
                <w:sz w:val="1"/>
                <w:szCs w:val="1"/>
                <w:color w:val="auto"/>
              </w:rPr>
            </w:pPr>
          </w:p>
        </w:tc>
      </w:tr>
      <w:tr>
        <w:trPr>
          <w:trHeight w:val="23"/>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780" w:type="dxa"/>
            <w:vAlign w:val="bottom"/>
            <w:vMerge w:val="continue"/>
          </w:tcPr>
          <w:p>
            <w:pPr>
              <w:jc w:val="right"/>
              <w:spacing w:after="0" w:line="157" w:lineRule="exact"/>
              <w:rPr>
                <w:sz w:val="20"/>
                <w:szCs w:val="20"/>
                <w:color w:val="auto"/>
              </w:rPr>
            </w:pPr>
            <w:r>
              <w:rPr>
                <w:rFonts w:ascii="Times New Roman" w:cs="Times New Roman" w:eastAsia="Times New Roman" w:hAnsi="Times New Roman"/>
                <w:sz w:val="18"/>
                <w:szCs w:val="18"/>
                <w:color w:val="B4B4B4"/>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(67,018)</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(136,768)</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(55,021)</w:t>
            </w:r>
          </w:p>
        </w:tc>
        <w:tc>
          <w:tcPr>
            <w:tcW w:w="0" w:type="dxa"/>
            <w:vAlign w:val="bottom"/>
          </w:tcPr>
          <w:p>
            <w:pPr>
              <w:spacing w:after="0"/>
              <w:rPr>
                <w:sz w:val="1"/>
                <w:szCs w:val="1"/>
                <w:color w:val="auto"/>
              </w:rPr>
            </w:pPr>
          </w:p>
        </w:tc>
      </w:tr>
      <w:tr>
        <w:trPr>
          <w:trHeight w:val="182"/>
        </w:trPr>
        <w:tc>
          <w:tcPr>
            <w:tcW w:w="578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Effect of exchange rate changes on cash, cash equivalents and</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(9,837)</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(3,580)</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restricted cash </w:t>
            </w:r>
            <w:r>
              <w:rPr>
                <w:rFonts w:ascii="Times New Roman" w:cs="Times New Roman" w:eastAsia="Times New Roman" w:hAnsi="Times New Roman"/>
                <w:sz w:val="20"/>
                <w:szCs w:val="20"/>
                <w:color w:val="B4B4B4"/>
                <w:w w:val="99"/>
              </w:rPr>
              <w:t>...........................................................................................</w:t>
            </w: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780" w:type="dxa"/>
            <w:vAlign w:val="bottom"/>
            <w:vMerge w:val="continue"/>
          </w:tcPr>
          <w:p>
            <w:pPr>
              <w:jc w:val="right"/>
              <w:spacing w:after="0" w:line="157" w:lineRule="exact"/>
              <w:rPr>
                <w:sz w:val="20"/>
                <w:szCs w:val="20"/>
                <w:color w:val="auto"/>
              </w:rPr>
            </w:pPr>
            <w:r>
              <w:rPr>
                <w:rFonts w:ascii="Times New Roman" w:cs="Times New Roman" w:eastAsia="Times New Roman" w:hAnsi="Times New Roman"/>
                <w:sz w:val="18"/>
                <w:szCs w:val="18"/>
                <w:color w:val="B4B4B4"/>
              </w:rPr>
              <w:t>......</w:t>
            </w:r>
          </w:p>
        </w:tc>
        <w:tc>
          <w:tcPr>
            <w:tcW w:w="300" w:type="dxa"/>
            <w:vAlign w:val="bottom"/>
          </w:tcPr>
          <w:p>
            <w:pPr>
              <w:spacing w:after="0"/>
              <w:rPr>
                <w:sz w:val="17"/>
                <w:szCs w:val="17"/>
                <w:color w:val="auto"/>
              </w:rPr>
            </w:pPr>
          </w:p>
        </w:tc>
        <w:tc>
          <w:tcPr>
            <w:tcW w:w="102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75,936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(330,609)</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173,867</w:t>
            </w:r>
          </w:p>
        </w:tc>
        <w:tc>
          <w:tcPr>
            <w:tcW w:w="0" w:type="dxa"/>
            <w:vAlign w:val="bottom"/>
          </w:tcPr>
          <w:p>
            <w:pPr>
              <w:spacing w:after="0"/>
              <w:rPr>
                <w:sz w:val="1"/>
                <w:szCs w:val="1"/>
                <w:color w:val="auto"/>
              </w:rPr>
            </w:pPr>
          </w:p>
        </w:tc>
      </w:tr>
      <w:tr>
        <w:trPr>
          <w:trHeight w:val="240"/>
        </w:trPr>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Cash, cash equivalents and restricted cash, beginning of period </w:t>
            </w:r>
            <w:r>
              <w:rPr>
                <w:rFonts w:ascii="Times New Roman" w:cs="Times New Roman" w:eastAsia="Times New Roman" w:hAnsi="Times New Roman"/>
                <w:sz w:val="20"/>
                <w:szCs w:val="20"/>
                <w:color w:val="B4B4B4"/>
                <w:w w:val="98"/>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174,166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504,775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330,908</w:t>
            </w:r>
          </w:p>
        </w:tc>
        <w:tc>
          <w:tcPr>
            <w:tcW w:w="0" w:type="dxa"/>
            <w:vAlign w:val="bottom"/>
          </w:tcPr>
          <w:p>
            <w:pPr>
              <w:spacing w:after="0"/>
              <w:rPr>
                <w:sz w:val="1"/>
                <w:szCs w:val="1"/>
                <w:color w:val="auto"/>
              </w:rPr>
            </w:pPr>
          </w:p>
        </w:tc>
      </w:tr>
      <w:tr>
        <w:trPr>
          <w:trHeight w:val="28"/>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end of period</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5780" w:type="dxa"/>
            <w:vAlign w:val="bottom"/>
            <w:vMerge w:val="continue"/>
          </w:tcPr>
          <w:p>
            <w:pPr>
              <w:jc w:val="right"/>
              <w:spacing w:after="0" w:line="152" w:lineRule="exact"/>
              <w:rPr>
                <w:sz w:val="20"/>
                <w:szCs w:val="20"/>
                <w:color w:val="auto"/>
              </w:rPr>
            </w:pPr>
            <w:r>
              <w:rPr>
                <w:rFonts w:ascii="Times New Roman" w:cs="Times New Roman" w:eastAsia="Times New Roman" w:hAnsi="Times New Roman"/>
                <w:sz w:val="17"/>
                <w:szCs w:val="17"/>
                <w:color w:val="B4B4B4"/>
              </w:rPr>
              <w:t>........................</w:t>
            </w:r>
          </w:p>
        </w:tc>
        <w:tc>
          <w:tcPr>
            <w:tcW w:w="300" w:type="dxa"/>
            <w:vAlign w:val="bottom"/>
            <w:tcBorders>
              <w:bottom w:val="single" w:sz="8" w:color="auto"/>
            </w:tcBorders>
          </w:tcPr>
          <w:p>
            <w:pPr>
              <w:jc w:val="right"/>
              <w:ind w:right="40"/>
              <w:spacing w:after="0" w:line="195"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250,102</w:t>
            </w:r>
          </w:p>
        </w:tc>
        <w:tc>
          <w:tcPr>
            <w:tcW w:w="6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60"/>
              <w:spacing w:after="0" w:line="19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174,166</w:t>
            </w:r>
          </w:p>
        </w:tc>
        <w:tc>
          <w:tcPr>
            <w:tcW w:w="60" w:type="dxa"/>
            <w:vAlign w:val="bottom"/>
            <w:vMerge w:val="continue"/>
          </w:tcPr>
          <w:p>
            <w:pPr>
              <w:spacing w:after="0"/>
              <w:rPr>
                <w:sz w:val="16"/>
                <w:szCs w:val="16"/>
                <w:color w:val="auto"/>
              </w:rPr>
            </w:pPr>
          </w:p>
        </w:tc>
        <w:tc>
          <w:tcPr>
            <w:tcW w:w="420" w:type="dxa"/>
            <w:vAlign w:val="bottom"/>
            <w:tcBorders>
              <w:bottom w:val="single" w:sz="8" w:color="auto"/>
            </w:tcBorders>
          </w:tcPr>
          <w:p>
            <w:pPr>
              <w:jc w:val="right"/>
              <w:ind w:right="160"/>
              <w:spacing w:after="0" w:line="19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504,775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-7574915</wp:posOffset>
            </wp:positionV>
            <wp:extent cx="6315075" cy="7594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6315075" cy="7594600"/>
                    </a:xfrm>
                    <a:prstGeom prst="rect">
                      <a:avLst/>
                    </a:prstGeom>
                    <a:noFill/>
                  </pic:spPr>
                </pic:pic>
              </a:graphicData>
            </a:graphic>
          </wp:anchor>
        </w:drawing>
      </w: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20"/>
          </w:cols>
          <w:pgMar w:left="1240" w:top="291" w:right="118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820"/>
          </w:cols>
          <w:pgMar w:left="1240" w:top="291" w:right="1180" w:bottom="169" w:gutter="0" w:footer="0" w:header="0"/>
          <w:type w:val="continuous"/>
        </w:sectPr>
      </w:pPr>
    </w:p>
    <w:bookmarkStart w:id="50" w:name="page51"/>
    <w:bookmarkEnd w:id="5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7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non-cash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Lease liabilities arising from obtaining right-of-use lease assets</w:t>
            </w:r>
            <w:r>
              <w:rPr>
                <w:rFonts w:ascii="Times New Roman" w:cs="Times New Roman" w:eastAsia="Times New Roman" w:hAnsi="Times New Roman"/>
                <w:sz w:val="20"/>
                <w:szCs w:val="20"/>
                <w:color w:val="B4B4B4"/>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131,232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4,111</w:t>
            </w:r>
          </w:p>
        </w:tc>
        <w:tc>
          <w:tcPr>
            <w:tcW w:w="0" w:type="dxa"/>
            <w:vAlign w:val="bottom"/>
          </w:tcPr>
          <w:p>
            <w:pPr>
              <w:spacing w:after="0"/>
              <w:rPr>
                <w:sz w:val="1"/>
                <w:szCs w:val="1"/>
                <w:color w:val="auto"/>
              </w:rPr>
            </w:pPr>
          </w:p>
        </w:tc>
      </w:tr>
      <w:tr>
        <w:trPr>
          <w:trHeight w:val="285"/>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Accrued capital expenditures </w:t>
            </w:r>
            <w:r>
              <w:rPr>
                <w:rFonts w:ascii="Times New Roman" w:cs="Times New Roman" w:eastAsia="Times New Roman" w:hAnsi="Times New Roman"/>
                <w:sz w:val="20"/>
                <w:szCs w:val="20"/>
                <w:color w:val="B4B4B4"/>
                <w:w w:val="99"/>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16,395</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578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auto"/>
              </w:rPr>
              <w:t>Accrued dividends and dividend equivalent units on unvested PWP</w:t>
            </w: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7,278</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5,711</w:t>
            </w:r>
          </w:p>
        </w:tc>
        <w:tc>
          <w:tcPr>
            <w:tcW w:w="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0" w:type="dxa"/>
            <w:vAlign w:val="bottom"/>
          </w:tcPr>
          <w:p>
            <w:pPr>
              <w:spacing w:after="0"/>
              <w:rPr>
                <w:sz w:val="1"/>
                <w:szCs w:val="1"/>
                <w:color w:val="auto"/>
              </w:rPr>
            </w:pPr>
          </w:p>
        </w:tc>
      </w:tr>
      <w:tr>
        <w:trPr>
          <w:trHeight w:val="260"/>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Incentive Plan Awards </w:t>
            </w:r>
            <w:r>
              <w:rPr>
                <w:rFonts w:ascii="Times New Roman" w:cs="Times New Roman" w:eastAsia="Times New Roman" w:hAnsi="Times New Roman"/>
                <w:sz w:val="20"/>
                <w:szCs w:val="20"/>
                <w:color w:val="B4B4B4"/>
                <w:w w:val="99"/>
              </w:rPr>
              <w:t>.........................................................................</w:t>
            </w:r>
          </w:p>
        </w:tc>
        <w:tc>
          <w:tcPr>
            <w:tcW w:w="30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Non-cash paydown of Partner promissory notes </w:t>
            </w:r>
            <w:r>
              <w:rPr>
                <w:rFonts w:ascii="Times New Roman" w:cs="Times New Roman" w:eastAsia="Times New Roman" w:hAnsi="Times New Roman"/>
                <w:sz w:val="20"/>
                <w:szCs w:val="20"/>
                <w:color w:val="B4B4B4"/>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578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auto"/>
              </w:rPr>
              <w:t>Deferred tax effect resulting from exchanges of PWP OpCo Units,</w:t>
            </w: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1,485</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1,362</w:t>
            </w:r>
          </w:p>
        </w:tc>
        <w:tc>
          <w:tcPr>
            <w:tcW w:w="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net of amounts payable under tax receivable agreement </w:t>
            </w:r>
            <w:r>
              <w:rPr>
                <w:rFonts w:ascii="Times New Roman" w:cs="Times New Roman" w:eastAsia="Times New Roman" w:hAnsi="Times New Roman"/>
                <w:sz w:val="20"/>
                <w:szCs w:val="20"/>
                <w:color w:val="B4B4B4"/>
              </w:rPr>
              <w:t>.....................</w:t>
            </w:r>
          </w:p>
        </w:tc>
        <w:tc>
          <w:tcPr>
            <w:tcW w:w="30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Accrued treasury stock purchases </w:t>
            </w:r>
            <w:r>
              <w:rPr>
                <w:rFonts w:ascii="Times New Roman" w:cs="Times New Roman" w:eastAsia="Times New Roman" w:hAnsi="Times New Roman"/>
                <w:sz w:val="20"/>
                <w:szCs w:val="20"/>
                <w:color w:val="B4B4B4"/>
                <w:w w:val="99"/>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Liability awards reclassification to equity </w:t>
            </w:r>
            <w:r>
              <w:rPr>
                <w:rFonts w:ascii="Times New Roman" w:cs="Times New Roman" w:eastAsia="Times New Roman" w:hAnsi="Times New Roman"/>
                <w:sz w:val="20"/>
                <w:szCs w:val="20"/>
                <w:color w:val="B4B4B4"/>
                <w:w w:val="99"/>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3,912</w:t>
            </w:r>
          </w:p>
        </w:tc>
        <w:tc>
          <w:tcPr>
            <w:tcW w:w="0" w:type="dxa"/>
            <w:vAlign w:val="bottom"/>
          </w:tcPr>
          <w:p>
            <w:pPr>
              <w:spacing w:after="0"/>
              <w:rPr>
                <w:sz w:val="1"/>
                <w:szCs w:val="1"/>
                <w:color w:val="auto"/>
              </w:rPr>
            </w:pPr>
          </w:p>
        </w:tc>
      </w:tr>
      <w:tr>
        <w:trPr>
          <w:trHeight w:val="285"/>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Net assets of deconsolidated affiliate </w:t>
            </w:r>
            <w:r>
              <w:rPr>
                <w:rFonts w:ascii="Times New Roman" w:cs="Times New Roman" w:eastAsia="Times New Roman" w:hAnsi="Times New Roman"/>
                <w:sz w:val="20"/>
                <w:szCs w:val="20"/>
                <w:color w:val="B4B4B4"/>
                <w:w w:val="99"/>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0" w:type="dxa"/>
            <w:vAlign w:val="bottom"/>
          </w:tcPr>
          <w:p>
            <w:pPr>
              <w:spacing w:after="0"/>
              <w:rPr>
                <w:sz w:val="1"/>
                <w:szCs w:val="1"/>
                <w:color w:val="auto"/>
              </w:rPr>
            </w:pPr>
          </w:p>
        </w:tc>
      </w:tr>
      <w:tr>
        <w:trPr>
          <w:trHeight w:val="273"/>
        </w:trPr>
        <w:tc>
          <w:tcPr>
            <w:tcW w:w="5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cash flow information</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Cash paid for income taxes </w:t>
            </w:r>
            <w:r>
              <w:rPr>
                <w:rFonts w:ascii="Times New Roman" w:cs="Times New Roman" w:eastAsia="Times New Roman" w:hAnsi="Times New Roman"/>
                <w:sz w:val="20"/>
                <w:szCs w:val="20"/>
                <w:color w:val="B4B4B4"/>
                <w:w w:val="99"/>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25,995</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12,547</w:t>
            </w:r>
          </w:p>
        </w:tc>
        <w:tc>
          <w:tcPr>
            <w:tcW w:w="0" w:type="dxa"/>
            <w:vAlign w:val="bottom"/>
          </w:tcPr>
          <w:p>
            <w:pPr>
              <w:spacing w:after="0"/>
              <w:rPr>
                <w:sz w:val="1"/>
                <w:szCs w:val="1"/>
                <w:color w:val="auto"/>
              </w:rPr>
            </w:pPr>
          </w:p>
        </w:tc>
      </w:tr>
      <w:tr>
        <w:trPr>
          <w:trHeight w:val="285"/>
        </w:trPr>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Cash paid for interest </w:t>
            </w:r>
            <w:r>
              <w:rPr>
                <w:rFonts w:ascii="Times New Roman" w:cs="Times New Roman" w:eastAsia="Times New Roman" w:hAnsi="Times New Roman"/>
                <w:sz w:val="20"/>
                <w:szCs w:val="20"/>
                <w:color w:val="B4B4B4"/>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-2223135</wp:posOffset>
            </wp:positionV>
            <wp:extent cx="6302375" cy="2244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6302375" cy="224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20"/>
          </w:cols>
          <w:pgMar w:left="1240" w:top="291" w:right="118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820"/>
          </w:cols>
          <w:pgMar w:left="1240" w:top="291" w:right="1180" w:bottom="169"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1—Organization and Nature of Business</w:t>
      </w:r>
    </w:p>
    <w:p>
      <w:pPr>
        <w:spacing w:after="0" w:line="217"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including advice related to strategic and financial decisions, mergers and acquisitions (“M&amp;A”) execution, shareholder and defense advisory, financing and capital solutions advice with resources focused on restructuring and liability management, capital markets advisory, private capital placement, as well as specialized underwriting and research services primarily for the energy and related industries.</w:t>
      </w:r>
    </w:p>
    <w:p>
      <w:pPr>
        <w:spacing w:after="0" w:line="184"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operations of PWP OpCo are conducted through a wholly-owned subsidiary, Perella Weinberg Partners Group LP, and its subsidiaries which are consolidated in these financial statements. PWP GP LLC (“PWP GP”) is the general partner that controls PWP OpCo. The limited partner interests of PWP OpCo are held by the Company, Investor Limited Partners (the “ILPs”), and PWP Professional Partners LP (together with its successors and assigns, as applicable,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 Stockholders’ Equity for additional information.</w:t>
      </w:r>
    </w:p>
    <w:p>
      <w:pPr>
        <w:spacing w:after="0" w:line="184"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Perella Weinberg Partners (formerly known as FinTech Acquisition Corp. IV (“FTIV”)) was incorporated in Delaware on November 20, 2018 as a special purpose acquisition company for the purpose of acquiring businesses or assets through a business combination. On June 24, 2021, the Company consummated a business combination pursuant to a Business Combination Agreement, among various parties, resulting in FTIV acquiring partnership interests in PWP OpCo, and PWP OpCo becoming jointly-owned by Perella Weinberg Partners, Professional Partners and existing partners as part of an umbrella limited partnership C-corporation (Up-C) structure (the “Business Combination”). See Note 3—Business Combination for additional discussion related to the transaction.</w:t>
      </w:r>
    </w:p>
    <w:p>
      <w:pPr>
        <w:spacing w:after="0" w:line="184"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On December 31, 2023,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 Professional Partners LP. The principal purpose of the internal reorganization was to simplify the structure for the partners in Professional Partners with respect to their indirect interests in PWP OpCo. There was no consideration exchanged in connection with the Division, which is not expected to affect the respective rights or economic interests of the Company, PWP GP, or any limited partner with respect to PWP OpCo.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consolidated financial statements of the Company have been prepared in accordance with generally accepted accounting principles in the United States (“U.S. GAAP”) and all intercompany balances and transactions have been eliminated.</w:t>
      </w:r>
    </w:p>
    <w:p>
      <w:pPr>
        <w:spacing w:after="0" w:line="182"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consolidated financial statements included in this Annual Report on Form 10-K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900"/>
          </w:cols>
          <w:pgMar w:left="1180" w:top="201" w:right="1160" w:bottom="169"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In preparing the consolidated financial statements, management makes certain estimates regarding the measurement of amounts due pursuant to the tax receivable agreement, measurement and timing of revenue recognition, assumptions used in the provision for income taxes, measurement of equity-based compensation, evaluation of goodwill and intangible assets, fair value measurement of financial instruments, and other matters that affect the reported amounts and disclosures of contingencies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 represents cash that is not readily available for general purpose cash needs. As of December 31, 2023 and 2022, the Company had no cash equivalents and had restricted cash of $2.9 million and $2.6 million, respectively, maintained as collateral for letters of credit related to certain office leases. The sum of Cash and cash equivalents and Restricted cash on the Consolidated Statements of Financial Condition corresponds to the total cash, cash equivalents, and restricted cash presented on the Consolidated Statements of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Short-Term Marketable Debt Securities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invests in short-term marketable debt securities to manage excess liquidity. As of December 31, 2023, these investments consisted solely of U.S. Treasury securities held by a consolidated broker-dealer subsidiary and were carried at fair value with changes in fair value included in Other income (expense) on the Consolidated Statements of Operations, as is required for broker-dealers. In general, these investments are recorded on the Consolidated Statements of Financial Condition within Cash and cash equivalents for investments with an original maturity from the date of purchase of three months or less, and within Investments in short-term marketable debt securities for those with original maturities longer than three months but less than one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 of Allowance</w:t>
      </w:r>
    </w:p>
    <w:p>
      <w:pPr>
        <w:spacing w:after="0" w:line="219"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Accounts receivable are presented net of allowance for credit losses based on the Company’s assessment of collectability. The Company regularly reviews its accounts receivable for collectability and an allowance is recognized for expected credit losses, if required. The Company maintains an allowance for credit losses that, in management’s opinion, provides for an adequate reserve to cover estimated losses on accounts receivable. The Company determines the adequacy of the allowance by reviewing specific client receivables as well as estimating the probability of loss on total client receivables based on the Company’s historical credit loss experience and taking into consideration current market conditions and supportable forecasts that affect the collectability of the reported amount. The Company updates its expected credit loss rates periodically and maintains a quarterly allowance review process to consider current factors that would require an adjustment to the credit loss allowance. Changes to expected credit losses during the period are included in General, administrative and other expenses on the Consolidated Statements of Operations. After concluding that a reserved accounts receivable is no longer collectible, the Company reduces both the gross receivable and the allowance for credit losses.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Consolidation</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2023 and December 31, 2022, the net assets of PWP OpCo were $249.6 million and $237.9 million, respectively. As of December 31, 2023 and December 31, 2022, the Company did not consolidate any VIEs other than PWP OpCo.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Company’s financial instruments are generally recorded at fair value or at amounts that approximate fair value. The carrying values of cash, restricted cash, accounts receivable, amounts due from related parties, accounts payable and certain accrued liabilities approximate their fair values due to the short-term nature of these items.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00"/>
          </w:cols>
          <w:pgMar w:left="1180" w:top="201" w:right="1160" w:bottom="169"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Fixed Assets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Assets</w:t>
      </w:r>
    </w:p>
    <w:p>
      <w:pPr>
        <w:spacing w:after="0" w:line="219"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Generally, prepaid expenses comprise the majority of Prepaid expenses and other assets on the Consolidated Statements of Financial Condition and represent upfront payments for various services, including subscriptions, cloud computing arrangements, software licenses and insurance, which are amortized over the life, related service period or policy. Income tax receivables are another substantial component of Prepaid expenses and other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Repurchases of Common Stock</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Shares of the Company’s Class A common stock may be repurchased from time to time in open market transactions, in privately negotiated transactions or otherwise. The Company may structure such repurchases as either a purchase of treasury stock or a retirement of shares. The Company records its purchases of treasury stock at cost as a separate component of equity. The Company may re-issue treasury stock using the first-in-first-out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Management’s best estimate of the amounts expected to be owed in connection with the tax receivable agreement at each reporting date are reported within Amount due pursuant to tax receivable agreement on the Consolidated Statements of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219"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 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tests intangible assets for impairment whenever events or circumstances indicate that the carrying amount of such assets may not be recoverable.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Company leases office space and certain office equipment, which are classified as operating leases. Right-of-use assets represent the Company’s right to use the underlying assets for their lease terms and lease liabilities represent the Company’s obligation to make lease payments arising from these leases. Certain non-U.S. lease payments are variable as they are subject to change based on the prevailing applicable index. The Company does not recognize right-of-use assets and lease liabilities for short-term leases with a lease term of 12 months or less. The Company elected the practical expedient not to separate lease components and non-lease components in calculating the net present value of its lease payments; thus, the measurement of the right-of-use asset and corresponding lease obligation uses one single combined component. Lease expense is recognized on a straight-line basis over the lease term. The Company subleased certain portions its office space through October 2023 and such income was recognized on a straight-line basis over the term of the lease.</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00"/>
          </w:cols>
          <w:pgMar w:left="1180" w:top="201" w:right="1160" w:bottom="169"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and is calculated based on multiple factors, including current market conditions, the Company’s credit rating, the terms of the Company’s recent debt issuances and/or current revolving credit facilities, and the expected lease term. The Company estimates the expected lease terms by assuming the exercise of renewal options and extensions where a significant penalty could be incurred and such renewal or extension is at the sole discretion of the Company. Certain lease agreements are secured by security deposits, which are reflected in Prepaid expenses and other assets on the Consolidated Statements of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Certain non-U.S. subsidiaries are subject to income taxes in their respective local jurisdictions.</w:t>
      </w:r>
    </w:p>
    <w:p>
      <w:pPr>
        <w:spacing w:after="0" w:line="184"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 Income tax expense (benefit)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taxable temporary differences and tax planning strategies.</w:t>
      </w:r>
    </w:p>
    <w:p>
      <w:pPr>
        <w:spacing w:after="0" w:line="18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analyzes its tax positions for all U.S. federal, state and local and foreign tax jurisdictions where it is required to file income tax returns. The Company records unrecognized tax benefits based on whether it is more-likely-than-not that the uncertain tax position will be sustained based on the technical 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 any, related to unrecognized tax benefits in Income tax expense (benefit) on the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Currencies</w:t>
      </w:r>
    </w:p>
    <w:p>
      <w:pPr>
        <w:spacing w:after="0" w:line="219"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In the normal course of business, the Company and its subsidiaries may enter into transactions denominated in a non-functional currency. The Company recognized net foreign exchange gains (losses) arising from such transactions of $(3.3) million, $6.8 million and $(0.2) million during the years ended December 31, 2023, 2022, and 2021, respectively, which are included in Other income (expense) on the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 average exchange rate throughout the period. Cumulative translation adjustments arising from the translation of non-U.S. dollar denominated operations are included as a component of Accumulated other comprehensive loss on the Consolidated Statements of Changes in Equity.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00"/>
          </w:cols>
          <w:pgMar w:left="1180" w:top="201" w:right="1160" w:bottom="169"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Transaction-Related Advisory Services</w:t>
      </w:r>
    </w:p>
    <w:p>
      <w:pPr>
        <w:spacing w:after="0" w:line="214"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The Company provides transaction-related advisory services to its clients to assist with corporate finance activities that include, but are not limited to,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84"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The Company recognizes revenue from providing advisory services when or as its performance obligations are fulfilled. The majority of the Company’s advisory revenue is recognized over time since the Company provides most of its advisory services on an ongoing basis, which, for example, may include evaluating and selecting one of multiple strategies. During such engagements, the Company’s clients continuously benefit from the ongoing financial and strategic advice throughout the engagement.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these fees are often constrained until substantially all services have been provided, specified conditions have been met and/or certain milestones have been achieved, and it is probable that a significant revenue reversal will not occur in a future period. Such determination of probability may require significant judgment. In some cases, a portion of the variable fees received may be deferred based on an estimate of the services remaining to be completed, if any (e.g., when announcement fees are earned but additional services are expected to be provided between transaction announcement and transaction close).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 achievement of the milestone. Certain fixed fees specified in the Company’s contracts, which may include upfront fees and retainers, are recognized on a systematic basis over the estimated period in which the related services are performed. Payments for transaction-related advisory services are generally due upon completion of a specified event or, for retainer fees, periodically over the course of the engagement.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Fairness Opinion Services</w:t>
      </w:r>
    </w:p>
    <w:p>
      <w:pPr>
        <w:spacing w:after="0" w:line="214"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that the fairness opinion is delivered at which time the client receives the benefit of the fairness opinion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Trading, and Underwriting Services</w:t>
      </w:r>
    </w:p>
    <w:p>
      <w:pPr>
        <w:spacing w:after="0" w:line="214"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The Company provides research on the energy and related industries and associated equity and commodity markets. The Company’s research clients continuously benefit from the research provided throughout arrangements between the Company and such clients, and, accordingly, over time revenue recognition matches the transfer of such benefits. Research clients compensate the Company via direct payment, trading commissions generated through the Company’s trading desk, or commission sharing agreements. As of January 2024, the Company closed its trading desk but will continue to be compensated for research services through direct payments and a commission sharing agreement.</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The Company recognizes underwriting revenue at a point in time, typically on the pricing date of the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Costs and Contract Balances</w:t>
      </w:r>
    </w:p>
    <w:p>
      <w:pPr>
        <w:spacing w:after="0" w:line="21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reimbursed by the client for certain of these out-of-pocket expenses, which are recognized over time and recorded within Revenues on the Consolidated Statements of Operations.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00"/>
          </w:cols>
          <w:pgMar w:left="1180" w:top="201" w:right="1160" w:bottom="169"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1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Company typically earns interest on cash at banks and short-term investments, which is recorded on an accrual basis within Other income (expense) on the Consolidated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Compensation and benefits expense consists of salaries, bonuses (discretionary awards and guaranteed amounts), severance, deferred compensation, as well as payroll and related taxes and benefits for the Company’s employees. In all instances, compensation expense is accrued over the requisite service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Equity-Based Compensation</w:t>
      </w:r>
    </w:p>
    <w:p>
      <w:pPr>
        <w:spacing w:after="0" w:line="219"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Equity-based compensation relates to equity-based awards granted to employees and partners of the Company. In all instances of equity-based awards, compensation expense is recognized over the requisite vesting period or requisite service period in an amount equal to the fair value of the awards at the grant date. Equity-based compensation expense for employees and partners is included in Equity-based compensation on the Consolidated Statements of Operations and equity-based compensation expense for non-employees is included in Professional fees on the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consolidated financial statements. Profits and losses of PWP OpCo are allocated to the non-controlling interests in proportion to their ownership interest regardless of their basis, with an exception for certain equity-based compensation expense which is fully attributed to non-controlling interests. Refer to Note 12—Equity-Based Compensation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Share</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Basic net income (loss) per share is calculated by dividing net income (loss) attributable to Class A common shareholders by the weighted-average shares of Class A common stock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 and Litigation</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on the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(Loss)</w:t>
      </w:r>
    </w:p>
    <w:p>
      <w:pPr>
        <w:spacing w:after="0" w:line="21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Comprehensive income (loss) consists of Net income (loss) and Other comprehensive income (loss). The Company’s Other comprehensive income (loss) is composed of foreign currency translation gains and losses.</w:t>
      </w:r>
    </w:p>
    <w:p>
      <w:pPr>
        <w:sectPr>
          <w:pgSz w:w="12240" w:h="15840" w:orient="portrait"/>
          <w:cols w:equalWidth="0" w:num="1">
            <w:col w:w="9900"/>
          </w:cols>
          <w:pgMar w:left="1180" w:top="201" w:right="1160" w:bottom="169" w:gutter="0" w:footer="0" w:header="0"/>
        </w:sect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900"/>
          </w:cols>
          <w:pgMar w:left="1180" w:top="201" w:right="1160" w:bottom="169"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1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There were no recently adopted accounting pronouncements that had a material effect on the Company’s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Adoption of Accounting Pronouncements</w:t>
      </w:r>
    </w:p>
    <w:p>
      <w:pPr>
        <w:spacing w:after="0" w:line="219"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 xml:space="preserve">In November 2023, the Financial Accounting Standards Board (“FASB”) issued Accounting Standards Update 2023-07, </w:t>
      </w:r>
      <w:r>
        <w:rPr>
          <w:rFonts w:ascii="Times New Roman" w:cs="Times New Roman" w:eastAsia="Times New Roman" w:hAnsi="Times New Roman"/>
          <w:sz w:val="20"/>
          <w:szCs w:val="20"/>
          <w:b w:val="1"/>
          <w:bCs w:val="1"/>
          <w:i w:val="1"/>
          <w:iCs w:val="1"/>
          <w:color w:val="auto"/>
        </w:rPr>
        <w:t>Improvements to Reportable Segment Disclosures</w:t>
      </w:r>
      <w:r>
        <w:rPr>
          <w:rFonts w:ascii="Times New Roman" w:cs="Times New Roman" w:eastAsia="Times New Roman" w:hAnsi="Times New Roman"/>
          <w:sz w:val="20"/>
          <w:szCs w:val="20"/>
          <w:color w:val="auto"/>
        </w:rPr>
        <w:t xml:space="preserve"> (“ASU 2023-07”), which amends the guidance in Accounting Standards Codification (“ASC” or the “Codification”) Topic 280, Segment Reporting, to require enhanced disclosures about reportable segments on an annual and interim basis. The amendments will require disclosure of significant segment expenses, identification of the chief operating decision maker (“CODM”), and an explanation of how the CODM uses the reported measure(s) of segment profit or loss in assessing segment performance and deciding how to allocate resources. ASU 2023-07 clarifies that an entity that has a single reportable segment is subject to all the disclosures required by the amendments and all existing segment disclosures in Topic 280. The amendments in ASU 2023-07 are effective for the Company beginning with the annual period ended December 31, 2024 and interim periods within the year ended December 31, 2025. The amendments are required to be applied retrospectively to all period presented and early adoption is permitted. The Company is currently assessing the impact of ASU 2023-07 and identifying the additional disclosures that will be required with regard to the Company’s single reportable segment.</w:t>
      </w:r>
    </w:p>
    <w:p>
      <w:pPr>
        <w:spacing w:after="0" w:line="187" w:lineRule="exact"/>
        <w:rPr>
          <w:sz w:val="20"/>
          <w:szCs w:val="20"/>
          <w:color w:val="auto"/>
        </w:rPr>
      </w:pPr>
    </w:p>
    <w:p>
      <w:pPr>
        <w:jc w:val="both"/>
        <w:ind w:firstLine="360"/>
        <w:spacing w:after="0" w:line="218" w:lineRule="auto"/>
        <w:rPr>
          <w:sz w:val="20"/>
          <w:szCs w:val="20"/>
          <w:color w:val="auto"/>
        </w:rPr>
      </w:pPr>
      <w:r>
        <w:rPr>
          <w:rFonts w:ascii="Times New Roman" w:cs="Times New Roman" w:eastAsia="Times New Roman" w:hAnsi="Times New Roman"/>
          <w:sz w:val="20"/>
          <w:szCs w:val="20"/>
          <w:color w:val="auto"/>
        </w:rPr>
        <w:t xml:space="preserve">In December 2023, the FASB issued Accounting Standards Update 2023-09, </w:t>
      </w:r>
      <w:r>
        <w:rPr>
          <w:rFonts w:ascii="Times New Roman" w:cs="Times New Roman" w:eastAsia="Times New Roman" w:hAnsi="Times New Roman"/>
          <w:sz w:val="20"/>
          <w:szCs w:val="20"/>
          <w:b w:val="1"/>
          <w:bCs w:val="1"/>
          <w:i w:val="1"/>
          <w:iCs w:val="1"/>
          <w:color w:val="auto"/>
        </w:rPr>
        <w:t>Improvements to Income Tax Disclosures</w:t>
      </w:r>
      <w:r>
        <w:rPr>
          <w:rFonts w:ascii="Times New Roman" w:cs="Times New Roman" w:eastAsia="Times New Roman" w:hAnsi="Times New Roman"/>
          <w:sz w:val="20"/>
          <w:szCs w:val="20"/>
          <w:color w:val="auto"/>
        </w:rPr>
        <w:t xml:space="preserve"> (“ASU 2023-09”), which amends the guidance in ASC Topic 740, Income Taxes (“ASC 740”), to improve the transparency of income tax disclosures by requiring (1) consistent categories and greater disaggregation of information in the rate reconciliation and (2) income taxes paid disaggregated by jurisdiction. The amendments in ASU 2023-09 are effective for the Company beginning with the annual period ended December 31, 2025. The amendments are to be applied prospectively with both retrospective application and early adoption permitted. The Company is currently assessing the impact of ASU 2023-09 on its income tax disclosures.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3—Business Combination</w:t>
      </w:r>
    </w:p>
    <w:p>
      <w:pPr>
        <w:spacing w:after="0" w:line="21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On June 24, 2021 (the date of the “Closing”), the Company consummated the Business Combination resulting in FTIV acquiring partnership interests in PWP OpCo, and PWP OpCo becoming jointly-owned by Perella Weinberg Partners, Professional Partners and existing partners as part of an Up-C structure. FTIV was renamed “Perella Weinberg Partners.” The Business Combination was treated as a reverse recapitalization transaction between entities under common control, whereby the carrying value of the net assets of FTIV were treated as an equity contribution with no incremental goodwill or intangible assets.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connection with the consummation of the Business Combination, the following occurred:</w:t>
      </w:r>
    </w:p>
    <w:p>
      <w:pPr>
        <w:spacing w:after="0" w:line="210" w:lineRule="exact"/>
        <w:rPr>
          <w:sz w:val="20"/>
          <w:szCs w:val="20"/>
          <w:color w:val="auto"/>
        </w:rPr>
      </w:pPr>
    </w:p>
    <w:p>
      <w:pPr>
        <w:jc w:val="both"/>
        <w:ind w:left="720" w:right="20" w:hanging="370"/>
        <w:spacing w:after="0" w:line="224"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FTIV acquired newly-issued common units of PWP OpCo in exchange for $355.0 million in cash and 42,956,667 shares of Class A common stock. The cash contributed equated to $125.0 million in proceeds from certain private investors (the “PIPE Investment”) plus the outstanding cash balances and marketable securities held in a trust account of FTIV as of Closing;</w:t>
      </w:r>
    </w:p>
    <w:p>
      <w:pPr>
        <w:spacing w:after="0" w:line="181" w:lineRule="exact"/>
        <w:rPr>
          <w:rFonts w:ascii="Times New Roman" w:cs="Times New Roman" w:eastAsia="Times New Roman" w:hAnsi="Times New Roman"/>
          <w:sz w:val="20"/>
          <w:szCs w:val="20"/>
          <w:color w:val="auto"/>
        </w:rPr>
      </w:pPr>
    </w:p>
    <w:p>
      <w:pPr>
        <w:jc w:val="both"/>
        <w:ind w:left="720" w:hanging="370"/>
        <w:spacing w:after="0" w:line="22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81" w:lineRule="exact"/>
        <w:rPr>
          <w:rFonts w:ascii="Times New Roman" w:cs="Times New Roman" w:eastAsia="Times New Roman" w:hAnsi="Times New Roman"/>
          <w:sz w:val="20"/>
          <w:szCs w:val="20"/>
          <w:color w:val="auto"/>
        </w:rPr>
      </w:pPr>
    </w:p>
    <w:p>
      <w:pPr>
        <w:jc w:val="both"/>
        <w:ind w:left="720" w:right="20" w:hanging="370"/>
        <w:spacing w:after="0" w:line="229"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 and</w:t>
      </w:r>
    </w:p>
    <w:p>
      <w:pPr>
        <w:spacing w:after="0" w:line="181" w:lineRule="exact"/>
        <w:rPr>
          <w:rFonts w:ascii="Times New Roman" w:cs="Times New Roman" w:eastAsia="Times New Roman" w:hAnsi="Times New Roman"/>
          <w:sz w:val="20"/>
          <w:szCs w:val="20"/>
          <w:color w:val="auto"/>
        </w:rPr>
      </w:pPr>
    </w:p>
    <w:p>
      <w:pPr>
        <w:ind w:left="720" w:right="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PWP OpCo redeemed PWP OpCo Units held by certain electing ILPs in the amount of $80.5 million and PWP OpCo Units held by certain electing former working partners in the amount of $28.6 million.</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900"/>
          </w:cols>
          <w:pgMar w:left="1180" w:top="201" w:right="1160" w:bottom="169"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In conjunction with the Business Combination, the Company incurred approximately $2.9 million in transaction expenses, which were recorded in Professional fees on the Consolidated Statements of Operations, as well as $27.6 million of offering costs which were offset against the proceeds of the Business Combination. The Business Combination resulted in an increase to the Company’s deferred tax assets, with a corresponding increase to the Amount due pursuant to tax receivable agreement, primarily related to a step-up in the tax basis of certain assets that will be recovered as those assets are amortized. The Company recognized warrant liabilities with a fair value of $22.9 million on the date of the Closing, and such warrants were subsequently exchanged for shares of the Company’s Class A common stock during the year ended December 31, 2022. Refer to Note 11—Stockholders’ Equity and Note 16—Related Party Transactions for additional information on the Business Combination and certain other related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4—Revenue and Receivables from Contracts with Customers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disaggregates the Company’s revenue between over time and point in time recognition:</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Over time</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609,598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609,392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749,067</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Point in time </w:t>
            </w:r>
            <w:r>
              <w:rPr>
                <w:rFonts w:ascii="Times New Roman" w:cs="Times New Roman" w:eastAsia="Times New Roman" w:hAnsi="Times New Roman"/>
                <w:sz w:val="20"/>
                <w:szCs w:val="20"/>
                <w:color w:val="B4B4B4"/>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39,054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22,115</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52,595</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revenues </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648,652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631,507</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801,662</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Reimbursable expenses billed to clients were $6.2 million, $3.2 million, and $5.0 million for the years ended December 31, 2023, 2022, and 2021,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Obligations and Contract Balances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As of December 31, 2023, the aggregate amount of the transaction price, as defined in the Codification, allocated to performance obligations yet to be satisfied was $0.5 million and the Company generally expects to recognize this revenue within the next twelve months. Such amounts primarily relate to the Company’s performance obligations of providing transaction-related advisory services. The Company recognized revenue of $273.2 million, $333.2 million, and $313.2 million, respectively, during the years ended December 31, 2023, 2022, and 2021, related to performance obligations that were satisfied or partially satisfied in prior periods. These amounts were recognized upon the resolution of revenue constraints and uncertainties in the respective periods and were generally related to transaction-related advisory services.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As of December 31, 2023 and 2022, the Company recorded $0.9 million and $5.0 million, respectively, for contract liabilities which are presented within Accounts payable, accrued expenses and other liabilities on the Consolidated Statements of Financial Condition. The Company recognized previously deferred revenue of $4.6 million, $5.6 million and $10.6 million for the years ended December 31, 2023, 2022, and 2021, respectively, which was primarily related to transaction-related advisory services that are recognized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and Allowance for Credit Losses</w:t>
      </w:r>
    </w:p>
    <w:p>
      <w:pPr>
        <w:spacing w:after="0" w:line="219" w:lineRule="exact"/>
        <w:rPr>
          <w:sz w:val="20"/>
          <w:szCs w:val="20"/>
          <w:color w:val="auto"/>
        </w:rPr>
      </w:pPr>
    </w:p>
    <w:p>
      <w:pPr>
        <w:jc w:val="both"/>
        <w:ind w:right="20" w:firstLine="421"/>
        <w:spacing w:after="0" w:line="216" w:lineRule="auto"/>
        <w:rPr>
          <w:sz w:val="20"/>
          <w:szCs w:val="20"/>
          <w:color w:val="auto"/>
        </w:rPr>
      </w:pPr>
      <w:r>
        <w:rPr>
          <w:rFonts w:ascii="Times New Roman" w:cs="Times New Roman" w:eastAsia="Times New Roman" w:hAnsi="Times New Roman"/>
          <w:sz w:val="20"/>
          <w:szCs w:val="20"/>
          <w:color w:val="auto"/>
        </w:rPr>
        <w:t>As of December 31, 2023 and 2022, $7.1 million and $5.1 million, respectively, of accrued revenue was included in Accounts receivable, net of allowance on the Consolidated Statements of Financial Condition. These amounts have been recognized as revenue in accordance with the Company’s revenue recognition policies but remain unbilled at the end of the period. As of December 31, 2023, certain accounts receivable in the aggregate amount of $17.3 million were individually greater than 10% of the Company’s gross accounts receivable and were concentrated with two clients. Of that amount, $9.4 million was subsequently received after year end. As of December 31, 2022, certain accounts receivable in the aggregate amount of $28.4 million were individually greater than 10% of the Company’s gross accounts receivable and were concentrated with two clients. Of that amount, all was subsequently received after year end.</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900"/>
          </w:cols>
          <w:pgMar w:left="1180" w:top="201" w:right="1160" w:bottom="169" w:gutter="0" w:footer="0" w:header="0"/>
          <w:type w:val="continuous"/>
        </w:sectPr>
      </w:pPr>
    </w:p>
    <w:bookmarkStart w:id="59" w:name="page60"/>
    <w:bookmarkEnd w:id="59"/>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allowance for credit losses activity for the years ended December 31, 2023, 2022, and 2021 was as follows:</w:t>
      </w:r>
    </w:p>
    <w:p>
      <w:pPr>
        <w:spacing w:after="0" w:line="27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Beginning Balance </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Bad debt expense</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Write-offs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Recoveries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currency translation and other adjustments </w:t>
            </w:r>
            <w:r>
              <w:rPr>
                <w:rFonts w:ascii="Times New Roman" w:cs="Times New Roman" w:eastAsia="Times New Roman" w:hAnsi="Times New Roman"/>
                <w:sz w:val="20"/>
                <w:szCs w:val="20"/>
                <w:color w:val="B4B4B4"/>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Ending Balance </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1,851</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324600" cy="1136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6324600" cy="1136650"/>
                    </a:xfrm>
                    <a:prstGeom prst="rect">
                      <a:avLst/>
                    </a:prstGeom>
                    <a:noFill/>
                  </pic:spPr>
                </pic:pic>
              </a:graphicData>
            </a:graphic>
          </wp:anchor>
        </w:drawing>
      </w: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5—Leases</w:t>
      </w:r>
    </w:p>
    <w:p>
      <w:pPr>
        <w:spacing w:after="0" w:line="217" w:lineRule="exact"/>
        <w:rPr>
          <w:sz w:val="20"/>
          <w:szCs w:val="20"/>
          <w:color w:val="auto"/>
        </w:rPr>
      </w:pPr>
    </w:p>
    <w:p>
      <w:pPr>
        <w:jc w:val="both"/>
        <w:ind w:left="10" w:right="20" w:firstLine="360"/>
        <w:spacing w:after="0"/>
        <w:rPr>
          <w:sz w:val="20"/>
          <w:szCs w:val="20"/>
          <w:color w:val="auto"/>
        </w:rPr>
      </w:pPr>
      <w:r>
        <w:rPr>
          <w:rFonts w:ascii="Times New Roman" w:cs="Times New Roman" w:eastAsia="Times New Roman" w:hAnsi="Times New Roman"/>
          <w:sz w:val="20"/>
          <w:szCs w:val="20"/>
          <w:color w:val="auto"/>
        </w:rPr>
        <w:t>The Company leases office space and equipment under operating lease agreements. See summary below of significant new leases and lease modifications.</w:t>
      </w:r>
    </w:p>
    <w:p>
      <w:pPr>
        <w:spacing w:after="0" w:line="180"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During the year ended December 31, 2022, the Company entered into certain significant lease agreements and amendments related to its New York, Los Angeles, and London office leases, which resulted in a combined $128.6 million increase to Lease liabilities and a corresponding increase to Right-of-use lease assets.</w:t>
      </w:r>
    </w:p>
    <w:p>
      <w:pPr>
        <w:spacing w:after="0" w:line="182"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Other information as it relates to the Company’s operating leases is as follows:</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80" w:type="dxa"/>
            <w:vAlign w:val="bottom"/>
            <w:gridSpan w:val="8"/>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5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Weighted-averagediscountrate-operatingleases</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4.7 %</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8"/>
              </w:rPr>
              <w:t xml:space="preserve">Weighted-average remaining lease term - operating leases </w:t>
            </w:r>
            <w:r>
              <w:rPr>
                <w:rFonts w:ascii="Times New Roman" w:cs="Times New Roman" w:eastAsia="Times New Roman" w:hAnsi="Times New Roman"/>
                <w:sz w:val="20"/>
                <w:szCs w:val="20"/>
                <w:color w:val="B4B4B4"/>
                <w:w w:val="88"/>
              </w:rPr>
              <w:t>.............................................</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14.3 years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14.9 years</w:t>
            </w:r>
          </w:p>
        </w:tc>
        <w:tc>
          <w:tcPr>
            <w:tcW w:w="0" w:type="dxa"/>
            <w:vAlign w:val="bottom"/>
          </w:tcPr>
          <w:p>
            <w:pPr>
              <w:spacing w:after="0"/>
              <w:rPr>
                <w:sz w:val="1"/>
                <w:szCs w:val="1"/>
                <w:color w:val="auto"/>
              </w:rPr>
            </w:pPr>
          </w:p>
        </w:tc>
      </w:tr>
      <w:tr>
        <w:trPr>
          <w:trHeight w:val="628"/>
        </w:trPr>
        <w:tc>
          <w:tcPr>
            <w:tcW w:w="5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1"/>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0" w:type="dxa"/>
            <w:vAlign w:val="bottom"/>
          </w:tcPr>
          <w:p>
            <w:pPr>
              <w:spacing w:after="0"/>
              <w:rPr>
                <w:sz w:val="1"/>
                <w:szCs w:val="1"/>
                <w:color w:val="auto"/>
              </w:rPr>
            </w:pPr>
          </w:p>
        </w:tc>
      </w:tr>
      <w:tr>
        <w:trPr>
          <w:trHeight w:val="265"/>
        </w:trPr>
        <w:tc>
          <w:tcPr>
            <w:tcW w:w="58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Operatingleasecost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20,558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20,140</w:t>
            </w:r>
          </w:p>
        </w:tc>
        <w:tc>
          <w:tcPr>
            <w:tcW w:w="6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Variable lease cost</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3,788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2,550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Sublease income - operating leases </w:t>
            </w:r>
            <w:r>
              <w:rPr>
                <w:rFonts w:ascii="Times New Roman" w:cs="Times New Roman" w:eastAsia="Times New Roman" w:hAnsi="Times New Roman"/>
                <w:sz w:val="20"/>
                <w:szCs w:val="20"/>
                <w:color w:val="B4B4B4"/>
                <w:w w:val="99"/>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(682)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(2,957)</w:t>
            </w:r>
          </w:p>
        </w:tc>
        <w:tc>
          <w:tcPr>
            <w:tcW w:w="0" w:type="dxa"/>
            <w:vAlign w:val="bottom"/>
          </w:tcPr>
          <w:p>
            <w:pPr>
              <w:spacing w:after="0"/>
              <w:rPr>
                <w:sz w:val="1"/>
                <w:szCs w:val="1"/>
                <w:color w:val="auto"/>
              </w:rPr>
            </w:pPr>
          </w:p>
        </w:tc>
      </w:tr>
      <w:tr>
        <w:trPr>
          <w:trHeight w:val="245"/>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Totalnetleasecost</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23,844</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22,008</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20,765</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 xml:space="preserve">Net cash outflows (inflows) on operating leases </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B4B4B4"/>
                <w:w w:val="99"/>
              </w:rPr>
              <w:t>...................................</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5860" w:type="dxa"/>
            <w:vAlign w:val="bottom"/>
            <w:vMerge w:val="continue"/>
          </w:tcPr>
          <w:p>
            <w:pPr>
              <w:spacing w:after="0"/>
              <w:rPr>
                <w:sz w:val="24"/>
                <w:szCs w:val="24"/>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(4,536)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17,057</w:t>
            </w:r>
          </w:p>
        </w:tc>
        <w:tc>
          <w:tcPr>
            <w:tcW w:w="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860" w:type="dxa"/>
            <w:vAlign w:val="bottom"/>
          </w:tcPr>
          <w:p>
            <w:pPr>
              <w:jc w:val="right"/>
              <w:ind w:right="4323"/>
              <w:spacing w:after="0"/>
              <w:rPr>
                <w:sz w:val="20"/>
                <w:szCs w:val="20"/>
                <w:color w:val="auto"/>
              </w:rPr>
            </w:pPr>
            <w:r>
              <w:rPr>
                <w:rFonts w:ascii="Times New Roman" w:cs="Times New Roman" w:eastAsia="Times New Roman" w:hAnsi="Times New Roman"/>
                <w:sz w:val="16"/>
                <w:szCs w:val="16"/>
                <w:color w:val="auto"/>
                <w:w w:val="98"/>
              </w:rPr>
              <w:t>__________________</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-2201545</wp:posOffset>
            </wp:positionV>
            <wp:extent cx="6283325" cy="387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6283325" cy="387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-1261745</wp:posOffset>
            </wp:positionV>
            <wp:extent cx="6324600" cy="1130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324600" cy="1130300"/>
                    </a:xfrm>
                    <a:prstGeom prst="rect">
                      <a:avLst/>
                    </a:prstGeom>
                    <a:noFill/>
                  </pic:spPr>
                </pic:pic>
              </a:graphicData>
            </a:graphic>
          </wp:anchor>
        </w:drawing>
      </w:r>
    </w:p>
    <w:p>
      <w:pPr>
        <w:ind w:left="370" w:hanging="370"/>
        <w:spacing w:after="0"/>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lease incentives received, including landlord contributions to tenant improvements.</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10"/>
          </w:cols>
          <w:pgMar w:left="1170" w:top="201" w:right="1160" w:bottom="169" w:gutter="0" w:footer="0" w:header="0"/>
          <w:type w:val="continuous"/>
        </w:sectPr>
      </w:pPr>
    </w:p>
    <w:bookmarkStart w:id="60" w:name="page61"/>
    <w:bookmarkEnd w:id="60"/>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As of December 31, 2023, the maturities of undiscounted operating lease liabilities of the Company are as follows:</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7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Years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6324600" cy="1679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1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2024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2025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2026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2027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2028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Thereafter </w:t>
      </w:r>
      <w:r>
        <w:rPr>
          <w:rFonts w:ascii="Times New Roman" w:cs="Times New Roman" w:eastAsia="Times New Roman" w:hAnsi="Times New Roman"/>
          <w:sz w:val="19"/>
          <w:szCs w:val="19"/>
          <w:color w:val="B4B4B4"/>
        </w:rPr>
        <w:t>.........................................................................................................................................................</w:t>
      </w:r>
    </w:p>
    <w:p>
      <w:pPr>
        <w:spacing w:after="0" w:line="4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Total lease payments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B4B4B4"/>
        </w:rPr>
        <w:t>....................................................................................................................................</w:t>
      </w:r>
    </w:p>
    <w:p>
      <w:pPr>
        <w:spacing w:after="0" w:line="3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Less: Imputed Interest</w:t>
      </w:r>
      <w:r>
        <w:rPr>
          <w:rFonts w:ascii="Times New Roman" w:cs="Times New Roman" w:eastAsia="Times New Roman" w:hAnsi="Times New Roman"/>
          <w:sz w:val="20"/>
          <w:szCs w:val="20"/>
          <w:color w:val="B4B4B4"/>
        </w:rPr>
        <w:t>......................................................................................................................................</w:t>
      </w:r>
    </w:p>
    <w:p>
      <w:pPr>
        <w:spacing w:after="0" w:line="33"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Total lease liabilities </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20"/>
          <w:szCs w:val="20"/>
          <w:b w:val="1"/>
          <w:bCs w:val="1"/>
          <w:color w:val="auto"/>
        </w:rPr>
        <w:t>Operating</w:t>
      </w:r>
    </w:p>
    <w:p>
      <w:pPr>
        <w:jc w:val="center"/>
        <w:ind w:right="58"/>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33" w:lineRule="exact"/>
        <w:rPr>
          <w:sz w:val="20"/>
          <w:szCs w:val="20"/>
          <w:color w:val="auto"/>
        </w:rPr>
      </w:pPr>
    </w:p>
    <w:p>
      <w:pPr>
        <w:ind w:left="722" w:hanging="722"/>
        <w:spacing w:after="0"/>
        <w:tabs>
          <w:tab w:leader="none" w:pos="72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2,862</w:t>
      </w:r>
    </w:p>
    <w:p>
      <w:pPr>
        <w:spacing w:after="0" w:line="55" w:lineRule="exact"/>
        <w:rPr>
          <w:rFonts w:ascii="Times New Roman" w:cs="Times New Roman" w:eastAsia="Times New Roman" w:hAnsi="Times New Roman"/>
          <w:sz w:val="20"/>
          <w:szCs w:val="20"/>
          <w:color w:val="auto"/>
        </w:rPr>
      </w:pPr>
    </w:p>
    <w:p>
      <w:pPr>
        <w:ind w:left="62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18,740</w:t>
      </w:r>
    </w:p>
    <w:p>
      <w:pPr>
        <w:spacing w:after="0" w:line="55" w:lineRule="exact"/>
        <w:rPr>
          <w:rFonts w:ascii="Times New Roman" w:cs="Times New Roman" w:eastAsia="Times New Roman" w:hAnsi="Times New Roman"/>
          <w:sz w:val="20"/>
          <w:szCs w:val="20"/>
          <w:color w:val="auto"/>
        </w:rPr>
      </w:pPr>
    </w:p>
    <w:p>
      <w:pPr>
        <w:ind w:left="62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19,818</w:t>
      </w:r>
    </w:p>
    <w:p>
      <w:pPr>
        <w:spacing w:after="0" w:line="55" w:lineRule="exact"/>
        <w:rPr>
          <w:rFonts w:ascii="Times New Roman" w:cs="Times New Roman" w:eastAsia="Times New Roman" w:hAnsi="Times New Roman"/>
          <w:sz w:val="20"/>
          <w:szCs w:val="20"/>
          <w:color w:val="auto"/>
        </w:rPr>
      </w:pPr>
    </w:p>
    <w:p>
      <w:pPr>
        <w:ind w:left="62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18,980</w:t>
      </w:r>
    </w:p>
    <w:p>
      <w:pPr>
        <w:spacing w:after="0" w:line="55" w:lineRule="exact"/>
        <w:rPr>
          <w:rFonts w:ascii="Times New Roman" w:cs="Times New Roman" w:eastAsia="Times New Roman" w:hAnsi="Times New Roman"/>
          <w:sz w:val="20"/>
          <w:szCs w:val="20"/>
          <w:color w:val="auto"/>
        </w:rPr>
      </w:pPr>
    </w:p>
    <w:p>
      <w:pPr>
        <w:ind w:left="62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17,358</w:t>
      </w:r>
    </w:p>
    <w:p>
      <w:pPr>
        <w:spacing w:after="0" w:line="55"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20"/>
          <w:szCs w:val="20"/>
          <w:color w:val="auto"/>
        </w:rPr>
        <w:t>173,559</w:t>
      </w:r>
    </w:p>
    <w:p>
      <w:pPr>
        <w:spacing w:after="0" w:line="55"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20"/>
          <w:szCs w:val="20"/>
          <w:color w:val="auto"/>
        </w:rPr>
        <w:t>251,317</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(75,416)</w:t>
      </w:r>
    </w:p>
    <w:p>
      <w:pPr>
        <w:spacing w:after="0" w:line="55" w:lineRule="exact"/>
        <w:rPr>
          <w:sz w:val="20"/>
          <w:szCs w:val="20"/>
          <w:color w:val="auto"/>
        </w:rPr>
      </w:pPr>
    </w:p>
    <w:p>
      <w:pPr>
        <w:ind w:left="522" w:hanging="522"/>
        <w:spacing w:after="0"/>
        <w:tabs>
          <w:tab w:leader="none" w:pos="52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175,901</w:t>
      </w:r>
    </w:p>
    <w:p>
      <w:pPr>
        <w:spacing w:after="0" w:line="93" w:lineRule="exact"/>
        <w:rPr>
          <w:sz w:val="20"/>
          <w:szCs w:val="20"/>
          <w:color w:val="auto"/>
        </w:rPr>
      </w:pPr>
    </w:p>
    <w:p>
      <w:pPr>
        <w:sectPr>
          <w:pgSz w:w="12240" w:h="15840" w:orient="portrait"/>
          <w:cols w:equalWidth="0" w:num="2">
            <w:col w:w="8550" w:space="98"/>
            <w:col w:w="1262"/>
          </w:cols>
          <w:pgMar w:left="1170" w:top="201" w:right="1160" w:bottom="169" w:gutter="0" w:footer="0" w:header="0"/>
          <w:type w:val="continuous"/>
        </w:sectPr>
      </w:pP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tabs>
          <w:tab w:leader="none" w:pos="37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future lease payments are presented net of expected lease incentives, including landlord contributions to tenant improvements.</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6—Goodwill and Intangible Assets</w:t>
      </w:r>
    </w:p>
    <w:p>
      <w:pPr>
        <w:spacing w:after="0" w:line="217" w:lineRule="exact"/>
        <w:rPr>
          <w:sz w:val="20"/>
          <w:szCs w:val="20"/>
          <w:color w:val="auto"/>
        </w:rPr>
      </w:pPr>
    </w:p>
    <w:p>
      <w:pPr>
        <w:jc w:val="both"/>
        <w:ind w:left="10" w:firstLine="360"/>
        <w:spacing w:after="0" w:line="229" w:lineRule="auto"/>
        <w:rPr>
          <w:sz w:val="20"/>
          <w:szCs w:val="20"/>
          <w:color w:val="auto"/>
        </w:rPr>
      </w:pPr>
      <w:r>
        <w:rPr>
          <w:rFonts w:ascii="Times New Roman" w:cs="Times New Roman" w:eastAsia="Times New Roman" w:hAnsi="Times New Roman"/>
          <w:sz w:val="20"/>
          <w:szCs w:val="20"/>
          <w:color w:val="auto"/>
        </w:rPr>
        <w:t>In connection with a business combination in 2016, the Company recorded goodwill in the amount of $34.4 million. Based on the Company’s quantitative assessment for impairment, no goodwill impairment was recorded during the years ended December 31, 2023, 2022, and 2021.</w:t>
      </w:r>
    </w:p>
    <w:p>
      <w:pPr>
        <w:spacing w:after="0" w:line="182"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following table provides the detail of the Company’s intangible assets:</w:t>
      </w:r>
    </w:p>
    <w:p>
      <w:pPr>
        <w:spacing w:after="0" w:line="27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080" w:type="dxa"/>
            <w:vAlign w:val="bottom"/>
            <w:tcBorders>
              <w:bottom w:val="single" w:sz="8" w:color="auto"/>
            </w:tcBorders>
          </w:tcPr>
          <w:p>
            <w:pPr>
              <w:spacing w:after="0"/>
              <w:rPr>
                <w:sz w:val="23"/>
                <w:szCs w:val="23"/>
                <w:color w:val="auto"/>
              </w:rPr>
            </w:pPr>
          </w:p>
        </w:tc>
      </w:tr>
      <w:tr>
        <w:trPr>
          <w:trHeight w:val="182"/>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300"/>
              <w:spacing w:after="0" w:line="182" w:lineRule="exact"/>
              <w:rPr>
                <w:sz w:val="20"/>
                <w:szCs w:val="20"/>
                <w:color w:val="auto"/>
              </w:rPr>
            </w:pPr>
            <w:r>
              <w:rPr>
                <w:rFonts w:ascii="Times New Roman" w:cs="Times New Roman" w:eastAsia="Times New Roman" w:hAnsi="Times New Roman"/>
                <w:sz w:val="20"/>
                <w:szCs w:val="20"/>
                <w:b w:val="1"/>
                <w:bCs w:val="1"/>
                <w:color w:val="auto"/>
              </w:rPr>
              <w:t>Gross</w:t>
            </w:r>
          </w:p>
        </w:tc>
        <w:tc>
          <w:tcPr>
            <w:tcW w:w="60" w:type="dxa"/>
            <w:vAlign w:val="bottom"/>
          </w:tcPr>
          <w:p>
            <w:pPr>
              <w:spacing w:after="0"/>
              <w:rPr>
                <w:sz w:val="15"/>
                <w:szCs w:val="15"/>
                <w:color w:val="auto"/>
              </w:rPr>
            </w:pPr>
          </w:p>
        </w:tc>
        <w:tc>
          <w:tcPr>
            <w:tcW w:w="1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5"/>
                <w:szCs w:val="15"/>
                <w:color w:val="auto"/>
              </w:rPr>
            </w:pPr>
          </w:p>
        </w:tc>
        <w:tc>
          <w:tcPr>
            <w:tcW w:w="13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20"/>
                <w:szCs w:val="20"/>
                <w:b w:val="1"/>
                <w:bCs w:val="1"/>
                <w:color w:val="auto"/>
              </w:rPr>
              <w:t>Net Carrying</w:t>
            </w:r>
          </w:p>
        </w:tc>
      </w:tr>
      <w:tr>
        <w:trPr>
          <w:trHeight w:val="263"/>
        </w:trPr>
        <w:tc>
          <w:tcPr>
            <w:tcW w:w="5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6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Customerrelationships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13,825</w:t>
            </w: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Trade names and trademarks </w:t>
            </w:r>
            <w:r>
              <w:rPr>
                <w:rFonts w:ascii="Times New Roman" w:cs="Times New Roman" w:eastAsia="Times New Roman" w:hAnsi="Times New Roman"/>
                <w:sz w:val="20"/>
                <w:szCs w:val="20"/>
                <w:color w:val="B4B4B4"/>
                <w:w w:val="98"/>
              </w:rPr>
              <w:t>.....................................................................</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18,400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(13,033)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5,367</w:t>
            </w:r>
          </w:p>
        </w:tc>
      </w:tr>
      <w:tr>
        <w:trPr>
          <w:trHeight w:val="24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19,192</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24600" cy="593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98"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080" w:type="dxa"/>
            <w:vAlign w:val="bottom"/>
            <w:tcBorders>
              <w:bottom w:val="single" w:sz="8" w:color="auto"/>
            </w:tcBorders>
          </w:tcPr>
          <w:p>
            <w:pPr>
              <w:spacing w:after="0"/>
              <w:rPr>
                <w:sz w:val="23"/>
                <w:szCs w:val="23"/>
                <w:color w:val="auto"/>
              </w:rPr>
            </w:pPr>
          </w:p>
        </w:tc>
      </w:tr>
      <w:tr>
        <w:trPr>
          <w:trHeight w:val="182"/>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300"/>
              <w:spacing w:after="0" w:line="182" w:lineRule="exact"/>
              <w:rPr>
                <w:sz w:val="20"/>
                <w:szCs w:val="20"/>
                <w:color w:val="auto"/>
              </w:rPr>
            </w:pPr>
            <w:r>
              <w:rPr>
                <w:rFonts w:ascii="Times New Roman" w:cs="Times New Roman" w:eastAsia="Times New Roman" w:hAnsi="Times New Roman"/>
                <w:sz w:val="20"/>
                <w:szCs w:val="20"/>
                <w:b w:val="1"/>
                <w:bCs w:val="1"/>
                <w:color w:val="auto"/>
              </w:rPr>
              <w:t>Gross</w:t>
            </w:r>
          </w:p>
        </w:tc>
        <w:tc>
          <w:tcPr>
            <w:tcW w:w="60" w:type="dxa"/>
            <w:vAlign w:val="bottom"/>
          </w:tcPr>
          <w:p>
            <w:pPr>
              <w:spacing w:after="0"/>
              <w:rPr>
                <w:sz w:val="15"/>
                <w:szCs w:val="15"/>
                <w:color w:val="auto"/>
              </w:rPr>
            </w:pPr>
          </w:p>
        </w:tc>
        <w:tc>
          <w:tcPr>
            <w:tcW w:w="1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5"/>
                <w:szCs w:val="15"/>
                <w:color w:val="auto"/>
              </w:rPr>
            </w:pPr>
          </w:p>
        </w:tc>
        <w:tc>
          <w:tcPr>
            <w:tcW w:w="13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20"/>
                <w:szCs w:val="20"/>
                <w:b w:val="1"/>
                <w:bCs w:val="1"/>
                <w:color w:val="auto"/>
              </w:rPr>
              <w:t>Net Carrying</w:t>
            </w:r>
          </w:p>
        </w:tc>
      </w:tr>
      <w:tr>
        <w:trPr>
          <w:trHeight w:val="263"/>
        </w:trPr>
        <w:tc>
          <w:tcPr>
            <w:tcW w:w="5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6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Customerrelationships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18,565</w:t>
            </w: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Trade names and trademarks </w:t>
            </w:r>
            <w:r>
              <w:rPr>
                <w:rFonts w:ascii="Times New Roman" w:cs="Times New Roman" w:eastAsia="Times New Roman" w:hAnsi="Times New Roman"/>
                <w:sz w:val="20"/>
                <w:szCs w:val="20"/>
                <w:color w:val="B4B4B4"/>
                <w:w w:val="98"/>
              </w:rPr>
              <w:t>.....................................................................</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18,400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(11,193)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7,207</w:t>
            </w:r>
          </w:p>
        </w:tc>
      </w:tr>
      <w:tr>
        <w:trPr>
          <w:trHeight w:val="24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25,772</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24600" cy="593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jc w:val="both"/>
        <w:ind w:left="10" w:right="20" w:firstLine="360"/>
        <w:spacing w:after="0" w:line="221" w:lineRule="auto"/>
        <w:rPr>
          <w:sz w:val="20"/>
          <w:szCs w:val="20"/>
          <w:color w:val="auto"/>
        </w:rPr>
      </w:pPr>
      <w:r>
        <w:rPr>
          <w:rFonts w:ascii="Times New Roman" w:cs="Times New Roman" w:eastAsia="Times New Roman" w:hAnsi="Times New Roman"/>
          <w:sz w:val="20"/>
          <w:szCs w:val="20"/>
          <w:color w:val="auto"/>
        </w:rPr>
        <w:t>The intangible assets. amortized over an average useful life of 10 years, resulted in amortization expense of $6.6 million for each of the years ended December 31, 2023, 2022, and 2021, all of which is included in Depreciation and amortization on the Consolidated Statements of Operations. Amortization of intangible assets held at December 31, 2023 is expected to be $6.6 million for each of the years ending December 31, 2024 and 2025, and $6.0 million for the year ending December 31, 2026. These intangible assets will be fully amortized by November 30, 2026.</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7—Regulatory Requirements</w:t>
      </w:r>
    </w:p>
    <w:p>
      <w:pPr>
        <w:spacing w:after="0" w:line="217" w:lineRule="exact"/>
        <w:rPr>
          <w:sz w:val="20"/>
          <w:szCs w:val="20"/>
          <w:color w:val="auto"/>
        </w:rPr>
      </w:pPr>
    </w:p>
    <w:p>
      <w:pPr>
        <w:jc w:val="both"/>
        <w:ind w:left="10"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has a number of consolidated subsidiaries registered as broker-dealers with regulatory agencies in their respective countries. None of the Securities and Exchange Commission (“SEC”) regulated subsidiaries hold funds or securities for, or owe money or securities to, clients or carry accounts of or for clients, and as such are all exempt from the SEC Customer Protection Rule (Rule 15c3-3). As of December 31, 2023 and 2022, all regulated subsidiaries were in excess of their applicable minimum capital requirements. As a result of the minimum capital requirements and various regulations on these broker dealers, a portion of the capital of each subsidiary of the Company is restricted and may be unavailable to pay its creditors.</w:t>
      </w:r>
    </w:p>
    <w:p>
      <w:pPr>
        <w:sectPr>
          <w:pgSz w:w="12240" w:h="15840" w:orient="portrait"/>
          <w:cols w:equalWidth="0" w:num="1">
            <w:col w:w="9910"/>
          </w:cols>
          <w:pgMar w:left="1170" w:top="201" w:right="1160" w:bottom="169"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910"/>
          </w:cols>
          <w:pgMar w:left="1170" w:top="201" w:right="1160" w:bottom="169" w:gutter="0" w:footer="0" w:header="0"/>
          <w:type w:val="continuous"/>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8—Fixed Assets</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Fixed assets are recorded at cost less accumulated depreciation and amortization and consist of the following as of</w:t>
      </w:r>
    </w:p>
    <w:p>
      <w:pPr>
        <w:spacing w:after="0"/>
        <w:rPr>
          <w:sz w:val="20"/>
          <w:szCs w:val="20"/>
          <w:color w:val="auto"/>
        </w:rPr>
      </w:pPr>
      <w:r>
        <w:rPr>
          <w:rFonts w:ascii="Times New Roman" w:cs="Times New Roman" w:eastAsia="Times New Roman" w:hAnsi="Times New Roman"/>
          <w:sz w:val="20"/>
          <w:szCs w:val="20"/>
          <w:color w:val="auto"/>
        </w:rPr>
        <w:t>December 31, 2023 and 2022:</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Leasehold improvements </w:t>
            </w:r>
            <w:r>
              <w:rPr>
                <w:rFonts w:ascii="Times New Roman" w:cs="Times New Roman" w:eastAsia="Times New Roman" w:hAnsi="Times New Roman"/>
                <w:sz w:val="20"/>
                <w:szCs w:val="20"/>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r>
              <w:rPr>
                <w:rFonts w:ascii="Times New Roman" w:cs="Times New Roman" w:eastAsia="Times New Roman" w:hAnsi="Times New Roman"/>
                <w:sz w:val="20"/>
                <w:szCs w:val="20"/>
                <w:color w:val="B4B4B4"/>
              </w:rPr>
              <w:t>........................................................................................................</w:t>
            </w:r>
          </w:p>
        </w:tc>
        <w:tc>
          <w:tcPr>
            <w:tcW w:w="160" w:type="dxa"/>
            <w:vAlign w:val="bottom"/>
          </w:tcPr>
          <w:p>
            <w:pPr>
              <w:spacing w:after="0"/>
              <w:rPr>
                <w:sz w:val="22"/>
                <w:szCs w:val="22"/>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Equipment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Software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Less: Accumulated depreciation and amortization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306"/>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Fixed assets, net </w:t>
            </w:r>
            <w:r>
              <w:rPr>
                <w:rFonts w:ascii="Times New Roman" w:cs="Times New Roman" w:eastAsia="Times New Roman" w:hAnsi="Times New Roman"/>
                <w:sz w:val="20"/>
                <w:szCs w:val="20"/>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-1270635</wp:posOffset>
            </wp:positionV>
            <wp:extent cx="6324600" cy="1317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-317500</wp:posOffset>
                </wp:positionH>
                <wp:positionV relativeFrom="paragraph">
                  <wp:posOffset>29845</wp:posOffset>
                </wp:positionV>
                <wp:extent cx="180975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pt,2.35pt" to="117.5pt,2.35pt" o:allowincell="f" strokecolor="#000000" strokeweight="1pt"/>
            </w:pict>
          </mc:Fallback>
        </mc:AlternateContent>
      </w:r>
    </w:p>
    <w:p>
      <w:pPr>
        <w:spacing w:after="0" w:line="3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2023</w:t>
      </w:r>
      <w:r>
        <w:rPr>
          <w:sz w:val="20"/>
          <w:szCs w:val="20"/>
          <w:color w:val="auto"/>
        </w:rPr>
        <w:tab/>
      </w:r>
      <w:r>
        <w:rPr>
          <w:rFonts w:ascii="Times New Roman" w:cs="Times New Roman" w:eastAsia="Times New Roman" w:hAnsi="Times New Roman"/>
          <w:sz w:val="20"/>
          <w:szCs w:val="20"/>
          <w:b w:val="1"/>
          <w:bCs w:val="1"/>
          <w:color w:val="auto"/>
        </w:rPr>
        <w:t>2022</w:t>
      </w:r>
    </w:p>
    <w:p>
      <w:pPr>
        <w:spacing w:after="0" w:line="59" w:lineRule="exact"/>
        <w:rPr>
          <w:sz w:val="20"/>
          <w:szCs w:val="20"/>
          <w:color w:val="auto"/>
        </w:rPr>
      </w:pPr>
    </w:p>
    <w:p>
      <w:pPr>
        <w:ind w:left="260"/>
        <w:spacing w:after="0"/>
        <w:tabs>
          <w:tab w:leader="none" w:pos="980" w:val="left"/>
          <w:tab w:leader="none" w:pos="1700" w:val="left"/>
        </w:tabs>
        <w:rPr>
          <w:sz w:val="20"/>
          <w:szCs w:val="20"/>
          <w:color w:val="auto"/>
        </w:rPr>
      </w:pPr>
      <w:r>
        <w:rPr>
          <w:rFonts w:ascii="Times New Roman" w:cs="Times New Roman" w:eastAsia="Times New Roman" w:hAnsi="Times New Roman"/>
          <w:sz w:val="20"/>
          <w:szCs w:val="20"/>
          <w:color w:val="auto"/>
        </w:rPr>
        <w:t>79,719</w:t>
        <w:tab/>
        <w:t>$</w:t>
      </w:r>
      <w:r>
        <w:rPr>
          <w:sz w:val="20"/>
          <w:szCs w:val="20"/>
          <w:color w:val="auto"/>
        </w:rPr>
        <w:tab/>
      </w:r>
      <w:r>
        <w:rPr>
          <w:rFonts w:ascii="Times New Roman" w:cs="Times New Roman" w:eastAsia="Times New Roman" w:hAnsi="Times New Roman"/>
          <w:sz w:val="19"/>
          <w:szCs w:val="19"/>
          <w:color w:val="auto"/>
        </w:rPr>
        <w:t>76,389</w:t>
      </w:r>
    </w:p>
    <w:p>
      <w:pPr>
        <w:spacing w:after="0" w:line="55" w:lineRule="exact"/>
        <w:rPr>
          <w:sz w:val="20"/>
          <w:szCs w:val="20"/>
          <w:color w:val="auto"/>
        </w:rPr>
      </w:pPr>
    </w:p>
    <w:p>
      <w:pPr>
        <w:ind w:left="260"/>
        <w:spacing w:after="0"/>
        <w:tabs>
          <w:tab w:leader="none" w:pos="1700" w:val="left"/>
        </w:tabs>
        <w:rPr>
          <w:sz w:val="20"/>
          <w:szCs w:val="20"/>
          <w:color w:val="auto"/>
        </w:rPr>
      </w:pPr>
      <w:r>
        <w:rPr>
          <w:rFonts w:ascii="Times New Roman" w:cs="Times New Roman" w:eastAsia="Times New Roman" w:hAnsi="Times New Roman"/>
          <w:sz w:val="20"/>
          <w:szCs w:val="20"/>
          <w:color w:val="auto"/>
        </w:rPr>
        <w:t>12,442</w:t>
      </w:r>
      <w:r>
        <w:rPr>
          <w:sz w:val="20"/>
          <w:szCs w:val="20"/>
          <w:color w:val="auto"/>
        </w:rPr>
        <w:tab/>
      </w:r>
      <w:r>
        <w:rPr>
          <w:rFonts w:ascii="Times New Roman" w:cs="Times New Roman" w:eastAsia="Times New Roman" w:hAnsi="Times New Roman"/>
          <w:sz w:val="20"/>
          <w:szCs w:val="20"/>
          <w:color w:val="auto"/>
        </w:rPr>
        <w:t>15,313</w:t>
      </w:r>
    </w:p>
    <w:p>
      <w:pPr>
        <w:spacing w:after="0" w:line="55" w:lineRule="exact"/>
        <w:rPr>
          <w:sz w:val="20"/>
          <w:szCs w:val="20"/>
          <w:color w:val="auto"/>
        </w:rPr>
      </w:pPr>
    </w:p>
    <w:p>
      <w:pPr>
        <w:ind w:left="260"/>
        <w:spacing w:after="0"/>
        <w:tabs>
          <w:tab w:leader="none" w:pos="1700" w:val="left"/>
        </w:tabs>
        <w:rPr>
          <w:sz w:val="20"/>
          <w:szCs w:val="20"/>
          <w:color w:val="auto"/>
        </w:rPr>
      </w:pPr>
      <w:r>
        <w:rPr>
          <w:rFonts w:ascii="Times New Roman" w:cs="Times New Roman" w:eastAsia="Times New Roman" w:hAnsi="Times New Roman"/>
          <w:sz w:val="20"/>
          <w:szCs w:val="20"/>
          <w:color w:val="auto"/>
        </w:rPr>
        <w:t>22,522</w:t>
      </w:r>
      <w:r>
        <w:rPr>
          <w:sz w:val="20"/>
          <w:szCs w:val="20"/>
          <w:color w:val="auto"/>
        </w:rPr>
        <w:tab/>
      </w:r>
      <w:r>
        <w:rPr>
          <w:rFonts w:ascii="Times New Roman" w:cs="Times New Roman" w:eastAsia="Times New Roman" w:hAnsi="Times New Roman"/>
          <w:sz w:val="20"/>
          <w:szCs w:val="20"/>
          <w:color w:val="auto"/>
        </w:rPr>
        <w:t>21,382</w:t>
      </w:r>
    </w:p>
    <w:p>
      <w:pPr>
        <w:spacing w:after="0" w:line="55" w:lineRule="exact"/>
        <w:rPr>
          <w:sz w:val="20"/>
          <w:szCs w:val="20"/>
          <w:color w:val="auto"/>
        </w:rPr>
      </w:pPr>
    </w:p>
    <w:p>
      <w:pPr>
        <w:ind w:left="360"/>
        <w:spacing w:after="0"/>
        <w:tabs>
          <w:tab w:leader="none" w:pos="1800" w:val="left"/>
        </w:tabs>
        <w:rPr>
          <w:sz w:val="20"/>
          <w:szCs w:val="20"/>
          <w:color w:val="auto"/>
        </w:rPr>
      </w:pPr>
      <w:r>
        <w:rPr>
          <w:rFonts w:ascii="Times New Roman" w:cs="Times New Roman" w:eastAsia="Times New Roman" w:hAnsi="Times New Roman"/>
          <w:sz w:val="20"/>
          <w:szCs w:val="20"/>
          <w:color w:val="auto"/>
        </w:rPr>
        <w:t>5,756</w:t>
      </w:r>
      <w:r>
        <w:rPr>
          <w:sz w:val="20"/>
          <w:szCs w:val="20"/>
          <w:color w:val="auto"/>
        </w:rPr>
        <w:tab/>
      </w:r>
      <w:r>
        <w:rPr>
          <w:rFonts w:ascii="Times New Roman" w:cs="Times New Roman" w:eastAsia="Times New Roman" w:hAnsi="Times New Roman"/>
          <w:sz w:val="20"/>
          <w:szCs w:val="20"/>
          <w:color w:val="auto"/>
        </w:rPr>
        <w:t>6,945</w:t>
      </w:r>
    </w:p>
    <w:p>
      <w:pPr>
        <w:spacing w:after="0" w:line="55" w:lineRule="exact"/>
        <w:rPr>
          <w:sz w:val="20"/>
          <w:szCs w:val="20"/>
          <w:color w:val="auto"/>
        </w:rPr>
      </w:pPr>
    </w:p>
    <w:p>
      <w:pPr>
        <w:ind w:left="160"/>
        <w:spacing w:after="0"/>
        <w:tabs>
          <w:tab w:leader="none" w:pos="1600" w:val="left"/>
        </w:tabs>
        <w:rPr>
          <w:sz w:val="20"/>
          <w:szCs w:val="20"/>
          <w:color w:val="auto"/>
        </w:rPr>
      </w:pPr>
      <w:r>
        <w:rPr>
          <w:rFonts w:ascii="Times New Roman" w:cs="Times New Roman" w:eastAsia="Times New Roman" w:hAnsi="Times New Roman"/>
          <w:sz w:val="20"/>
          <w:szCs w:val="20"/>
          <w:color w:val="auto"/>
        </w:rPr>
        <w:t>120,439</w:t>
      </w:r>
      <w:r>
        <w:rPr>
          <w:sz w:val="20"/>
          <w:szCs w:val="20"/>
          <w:color w:val="auto"/>
        </w:rPr>
        <w:tab/>
      </w:r>
      <w:r>
        <w:rPr>
          <w:rFonts w:ascii="Times New Roman" w:cs="Times New Roman" w:eastAsia="Times New Roman" w:hAnsi="Times New Roman"/>
          <w:sz w:val="20"/>
          <w:szCs w:val="20"/>
          <w:color w:val="auto"/>
        </w:rPr>
        <w:t>120,029</w:t>
      </w:r>
    </w:p>
    <w:p>
      <w:pPr>
        <w:spacing w:after="0" w:line="55" w:lineRule="exact"/>
        <w:rPr>
          <w:sz w:val="20"/>
          <w:szCs w:val="20"/>
          <w:color w:val="auto"/>
        </w:rPr>
      </w:pPr>
    </w:p>
    <w:p>
      <w:pPr>
        <w:ind w:left="200"/>
        <w:spacing w:after="0"/>
        <w:tabs>
          <w:tab w:leader="none" w:pos="1640" w:val="left"/>
        </w:tabs>
        <w:rPr>
          <w:sz w:val="20"/>
          <w:szCs w:val="20"/>
          <w:color w:val="auto"/>
        </w:rPr>
      </w:pPr>
      <w:r>
        <w:rPr>
          <w:rFonts w:ascii="Times New Roman" w:cs="Times New Roman" w:eastAsia="Times New Roman" w:hAnsi="Times New Roman"/>
          <w:sz w:val="19"/>
          <w:szCs w:val="19"/>
          <w:color w:val="auto"/>
        </w:rPr>
        <w:t>(26,787)</w:t>
      </w:r>
      <w:r>
        <w:rPr>
          <w:sz w:val="20"/>
          <w:szCs w:val="20"/>
          <w:color w:val="auto"/>
        </w:rPr>
        <w:tab/>
      </w:r>
      <w:r>
        <w:rPr>
          <w:rFonts w:ascii="Times New Roman" w:cs="Times New Roman" w:eastAsia="Times New Roman" w:hAnsi="Times New Roman"/>
          <w:sz w:val="19"/>
          <w:szCs w:val="19"/>
          <w:color w:val="auto"/>
        </w:rPr>
        <w:t>(71,639)</w:t>
      </w:r>
    </w:p>
    <w:p>
      <w:pPr>
        <w:spacing w:after="0" w:line="67" w:lineRule="exact"/>
        <w:rPr>
          <w:sz w:val="20"/>
          <w:szCs w:val="20"/>
          <w:color w:val="auto"/>
        </w:rPr>
      </w:pPr>
    </w:p>
    <w:p>
      <w:pPr>
        <w:ind w:left="260"/>
        <w:spacing w:after="0"/>
        <w:tabs>
          <w:tab w:leader="none" w:pos="980" w:val="left"/>
          <w:tab w:leader="none" w:pos="1700" w:val="left"/>
        </w:tabs>
        <w:rPr>
          <w:sz w:val="20"/>
          <w:szCs w:val="20"/>
          <w:color w:val="auto"/>
        </w:rPr>
      </w:pPr>
      <w:r>
        <w:rPr>
          <w:rFonts w:ascii="Times New Roman" w:cs="Times New Roman" w:eastAsia="Times New Roman" w:hAnsi="Times New Roman"/>
          <w:sz w:val="20"/>
          <w:szCs w:val="20"/>
          <w:color w:val="auto"/>
        </w:rPr>
        <w:t>93,652</w:t>
        <w:tab/>
        <w:t>$</w:t>
      </w:r>
      <w:r>
        <w:rPr>
          <w:sz w:val="20"/>
          <w:szCs w:val="20"/>
          <w:color w:val="auto"/>
        </w:rPr>
        <w:tab/>
      </w:r>
      <w:r>
        <w:rPr>
          <w:rFonts w:ascii="Times New Roman" w:cs="Times New Roman" w:eastAsia="Times New Roman" w:hAnsi="Times New Roman"/>
          <w:sz w:val="19"/>
          <w:szCs w:val="19"/>
          <w:color w:val="auto"/>
        </w:rPr>
        <w:t>48,390</w:t>
      </w:r>
    </w:p>
    <w:p>
      <w:pPr>
        <w:spacing w:after="0" w:line="230" w:lineRule="exact"/>
        <w:rPr>
          <w:sz w:val="20"/>
          <w:szCs w:val="20"/>
          <w:color w:val="auto"/>
        </w:rPr>
      </w:pPr>
    </w:p>
    <w:p>
      <w:pPr>
        <w:sectPr>
          <w:pgSz w:w="12240" w:h="15840" w:orient="portrait"/>
          <w:cols w:equalWidth="0" w:num="2">
            <w:col w:w="7200" w:space="340"/>
            <w:col w:w="2360"/>
          </w:cols>
          <w:pgMar w:left="1180" w:top="201" w:right="1160" w:bottom="169" w:gutter="0" w:footer="0" w:header="0"/>
          <w:type w:val="continuous"/>
        </w:sectPr>
      </w:pPr>
    </w:p>
    <w:p>
      <w:pPr>
        <w:spacing w:after="0" w:line="9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Depreciation expense related to fixed assets was $7.8 million, $3.1 million, and $6.7 million for the years ended December 31, 2023, 2022, and 2021, respectively. Amortization expense related to software costs was $0.3 million, $1.0 million, and $1.2 million for the years ended December 31, 2023, 2022, and 2021, respectively. Leasehold improvement assets capitalized during the year ended December 31, 2023 were largely related to the renovation of the New York office space and relocation of the London office space. These capitalized costs were partially offset by the disposal of certain assets, substantially all of which were fully depreciated, related to the previous New York and London office space.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9—Income Taxes</w:t>
      </w:r>
    </w:p>
    <w:p>
      <w:pPr>
        <w:spacing w:after="0" w:line="217"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Company’s operations are generally composed of entities that are organized as limited liability companies and limited partnerships. For U.S. federal income tax purposes, taxes related to income earned by these entities represent obligations of their interest holders. The Company is subject to certain foreign, state and local entity-level taxes (for example, the New York City Unincorporated Business Tax). These taxes have been reflected in the Company’s consolidated financial statements and allocated between the Company and the non-controlling interest holders. In addition, the Company is subject to U.S. corporate federal, state and local income tax on its allocable share of results of operations from PWP OpCo.</w:t>
      </w:r>
    </w:p>
    <w:p>
      <w:pPr>
        <w:spacing w:after="0" w:line="184"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Company’s income (loss) before income taxes is associated with activities in domestic and international jurisdictions, as follows: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Domestic </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(104,348)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(36,935)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International </w:t>
            </w:r>
            <w:r>
              <w:rPr>
                <w:rFonts w:ascii="Times New Roman" w:cs="Times New Roman" w:eastAsia="Times New Roman" w:hAnsi="Times New Roman"/>
                <w:sz w:val="20"/>
                <w:szCs w:val="20"/>
                <w:color w:val="B4B4B4"/>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15,515</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22,694</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Income (loss) before income taxes </w:t>
            </w:r>
            <w:r>
              <w:rPr>
                <w:rFonts w:ascii="Times New Roman" w:cs="Times New Roman" w:eastAsia="Times New Roman" w:hAnsi="Times New Roman"/>
                <w:sz w:val="20"/>
                <w:szCs w:val="20"/>
                <w:color w:val="B4B4B4"/>
                <w:w w:val="99"/>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(112,820)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22,950</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ectPr>
          <w:pgSz w:w="12240" w:h="15840" w:orient="portrait"/>
          <w:cols w:equalWidth="0" w:num="1">
            <w:col w:w="9900"/>
          </w:cols>
          <w:pgMar w:left="1180" w:top="201" w:right="1160" w:bottom="1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900"/>
          </w:cols>
          <w:pgMar w:left="1180" w:top="201" w:right="1160" w:bottom="169"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components of Income tax expense (benefit) consist of the following:</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Federal income tax </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w:t>
            </w: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State and local income tax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4,437</w:t>
            </w: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Foreign income tax </w:t>
            </w:r>
            <w:r>
              <w:rPr>
                <w:rFonts w:ascii="Times New Roman" w:cs="Times New Roman" w:eastAsia="Times New Roman" w:hAnsi="Times New Roman"/>
                <w:sz w:val="20"/>
                <w:szCs w:val="20"/>
                <w:color w:val="B4B4B4"/>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11,641</w:t>
            </w:r>
          </w:p>
        </w:tc>
      </w:tr>
      <w:tr>
        <w:trPr>
          <w:trHeight w:val="26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Total current income tax expense (benefit) </w:t>
            </w:r>
            <w:r>
              <w:rPr>
                <w:rFonts w:ascii="Times New Roman" w:cs="Times New Roman" w:eastAsia="Times New Roman" w:hAnsi="Times New Roman"/>
                <w:sz w:val="20"/>
                <w:szCs w:val="20"/>
                <w:color w:val="B4B4B4"/>
                <w:w w:val="98"/>
              </w:rPr>
              <w: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13,070</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22,578</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Federal income tax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(1,462)</w:t>
            </w: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State and local income tax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w:t>
            </w: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Foreign income tax </w:t>
            </w:r>
            <w:r>
              <w:rPr>
                <w:rFonts w:ascii="Times New Roman" w:cs="Times New Roman" w:eastAsia="Times New Roman" w:hAnsi="Times New Roman"/>
                <w:sz w:val="20"/>
                <w:szCs w:val="20"/>
                <w:color w:val="B4B4B4"/>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(1,677)</w:t>
            </w:r>
          </w:p>
        </w:tc>
      </w:tr>
      <w:tr>
        <w:trPr>
          <w:trHeight w:val="26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Total deferred income tax expense (benefit) </w:t>
            </w:r>
            <w:r>
              <w:rPr>
                <w:rFonts w:ascii="Times New Roman" w:cs="Times New Roman" w:eastAsia="Times New Roman" w:hAnsi="Times New Roman"/>
                <w:sz w:val="20"/>
                <w:szCs w:val="20"/>
                <w:color w:val="B4B4B4"/>
                <w:w w:val="98"/>
              </w:rPr>
              <w: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(2,743)</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(3,651)</w:t>
            </w:r>
          </w:p>
        </w:tc>
      </w:tr>
      <w:tr>
        <w:trPr>
          <w:trHeight w:val="24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Income tax expense (benefit) </w:t>
            </w:r>
            <w:r>
              <w:rPr>
                <w:rFonts w:ascii="Times New Roman" w:cs="Times New Roman" w:eastAsia="Times New Roman" w:hAnsi="Times New Roman"/>
                <w:sz w:val="20"/>
                <w:szCs w:val="20"/>
                <w:color w:val="B4B4B4"/>
                <w:w w:val="99"/>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10,327</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18,927</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-1840865</wp:posOffset>
            </wp:positionV>
            <wp:extent cx="6324600" cy="1860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6324600" cy="1860550"/>
                    </a:xfrm>
                    <a:prstGeom prst="rect">
                      <a:avLst/>
                    </a:prstGeom>
                    <a:noFill/>
                  </pic:spPr>
                </pic:pic>
              </a:graphicData>
            </a:graphic>
          </wp:anchor>
        </w:drawing>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reconciles the U.S. federal statutory tax rate to the effective income tax rate:</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1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6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220" w:type="dxa"/>
            <w:vAlign w:val="bottom"/>
            <w:tcBorders>
              <w:bottom w:val="single" w:sz="8" w:color="auto"/>
            </w:tcBorders>
          </w:tcPr>
          <w:p>
            <w:pPr>
              <w:spacing w:after="0"/>
              <w:rPr>
                <w:sz w:val="23"/>
                <w:szCs w:val="23"/>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Expected income tax expense at the federal statutory rate</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Partnership income not subject to U.S. corporate income taxes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(21.4)%</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income taxes, net of federal benefit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State and local income taxes, net of federal benefit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Non-deductible compensation expense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26.0 %</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Unrecognized tax benefits, net of federal benefit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Change in fair value of warrant liabilities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2.1 %</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Other, net </w:t>
            </w:r>
            <w:r>
              <w:rPr>
                <w:rFonts w:ascii="Times New Roman" w:cs="Times New Roman" w:eastAsia="Times New Roman" w:hAnsi="Times New Roman"/>
                <w:sz w:val="20"/>
                <w:szCs w:val="20"/>
                <w:color w:val="B4B4B4"/>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1.7 %</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Effective income tax rate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82.5 %</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324600" cy="1679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228"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Company’s effective income tax rate is dependent on many factors, including the amount of income subject to tax. Consequently, the effective income tax rate can vary from period to period. The Company was not subject to U.S. federal or state corporate income taxes prior to the Business Combination.</w:t>
      </w:r>
    </w:p>
    <w:p>
      <w:pPr>
        <w:spacing w:after="0" w:line="182"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Current tax receivables and payables are included in Prepaid expenses and other assets and Accounts payable, accrued expenses and other liabilities, respectively, on the Consolidated Statements of Financial Condition.</w:t>
      </w:r>
    </w:p>
    <w:p>
      <w:pPr>
        <w:spacing w:after="0" w:line="180"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Deferred income taxes reflect the net effect of temporary differences between the tax basis of an asset or liability and its reported amount on the Company’s Consolidated Statements of Financial Condition. These temporary differences result in taxable or deductible amounts in future years.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900"/>
          </w:cols>
          <w:pgMar w:left="1180" w:top="201" w:right="1160" w:bottom="169" w:gutter="0" w:footer="0" w:header="0"/>
          <w:type w:val="continuous"/>
        </w:sectPr>
      </w:pPr>
    </w:p>
    <w:bookmarkStart w:id="63" w:name="page64"/>
    <w:bookmarkEnd w:id="63"/>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10" w:right="180" w:firstLine="360"/>
        <w:spacing w:after="0"/>
        <w:rPr>
          <w:sz w:val="20"/>
          <w:szCs w:val="20"/>
          <w:color w:val="auto"/>
        </w:rPr>
      </w:pPr>
      <w:r>
        <w:rPr>
          <w:rFonts w:ascii="Times New Roman" w:cs="Times New Roman" w:eastAsia="Times New Roman" w:hAnsi="Times New Roman"/>
          <w:sz w:val="20"/>
          <w:szCs w:val="20"/>
          <w:color w:val="auto"/>
        </w:rPr>
        <w:t>The significant components of deferred tax assets and liabilities included on the Company’s Consolidated Statements of Financial Condition are as follows:</w:t>
      </w:r>
    </w:p>
    <w:p>
      <w:pPr>
        <w:spacing w:after="0" w:line="24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70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5"/>
        </w:trPr>
        <w:tc>
          <w:tcPr>
            <w:tcW w:w="70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Step-up in tax basis in PWP OpCo assets </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24,387</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Operating lease liabilities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27,977</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RSU amortization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9,510</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Deferred compensation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1,758</w:t>
            </w:r>
          </w:p>
        </w:tc>
      </w:tr>
      <w:tr>
        <w:trPr>
          <w:trHeight w:val="288"/>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2,666</w:t>
            </w:r>
          </w:p>
        </w:tc>
      </w:tr>
      <w:tr>
        <w:trPr>
          <w:trHeight w:val="262"/>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Deferred tax assets before valuation allowance </w:t>
            </w:r>
            <w:r>
              <w:rPr>
                <w:rFonts w:ascii="Times New Roman" w:cs="Times New Roman" w:eastAsia="Times New Roman" w:hAnsi="Times New Roman"/>
                <w:sz w:val="20"/>
                <w:szCs w:val="20"/>
                <w:color w:val="B4B4B4"/>
                <w:w w:val="99"/>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87,219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66,298</w:t>
            </w:r>
          </w:p>
        </w:tc>
      </w:tr>
      <w:tr>
        <w:trPr>
          <w:trHeight w:val="288"/>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Valuation allowance </w:t>
            </w:r>
            <w:r>
              <w:rPr>
                <w:rFonts w:ascii="Times New Roman" w:cs="Times New Roman" w:eastAsia="Times New Roman" w:hAnsi="Times New Roman"/>
                <w:sz w:val="20"/>
                <w:szCs w:val="20"/>
                <w:color w:val="B4B4B4"/>
                <w:w w:val="99"/>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(743)</w:t>
            </w:r>
          </w:p>
        </w:tc>
      </w:tr>
      <w:tr>
        <w:trPr>
          <w:trHeight w:val="26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deferred tax assets </w:t>
            </w:r>
            <w:r>
              <w:rPr>
                <w:rFonts w:ascii="Times New Roman" w:cs="Times New Roman" w:eastAsia="Times New Roman" w:hAnsi="Times New Roman"/>
                <w:sz w:val="20"/>
                <w:szCs w:val="20"/>
                <w:color w:val="B4B4B4"/>
                <w:w w:val="99"/>
              </w:rPr>
              <w:t>...................................................................................................</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85,709</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65,555</w:t>
            </w:r>
          </w:p>
        </w:tc>
      </w:tr>
      <w:tr>
        <w:trPr>
          <w:trHeight w:val="262"/>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liability</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Operating right-of-use lease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(26,956)</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Intangible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Fixed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Anticipatory foreign tax credit </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w:t>
            </w:r>
          </w:p>
        </w:tc>
      </w:tr>
      <w:tr>
        <w:trPr>
          <w:trHeight w:val="288"/>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6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deferred tax liabilities </w:t>
            </w:r>
            <w:r>
              <w:rPr>
                <w:rFonts w:ascii="Times New Roman" w:cs="Times New Roman" w:eastAsia="Times New Roman" w:hAnsi="Times New Roman"/>
                <w:sz w:val="20"/>
                <w:szCs w:val="20"/>
                <w:color w:val="B4B4B4"/>
                <w:w w:val="99"/>
              </w:rPr>
              <w:t>..............................................................................................</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(39,957)</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(32,461)</w:t>
            </w:r>
          </w:p>
        </w:tc>
      </w:tr>
      <w:tr>
        <w:trPr>
          <w:trHeight w:val="245"/>
        </w:trPr>
        <w:tc>
          <w:tcPr>
            <w:tcW w:w="7000" w:type="dxa"/>
            <w:vAlign w:val="bottom"/>
          </w:tcPr>
          <w:p>
            <w:pPr>
              <w:jc w:val="right"/>
              <w:spacing w:after="0" w:line="245" w:lineRule="exact"/>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Deferredtaxasset,net</w:t>
            </w:r>
            <w:r>
              <w:rPr>
                <w:rFonts w:ascii="Times New Roman" w:cs="Times New Roman" w:eastAsia="Times New Roman" w:hAnsi="Times New Roman"/>
                <w:sz w:val="26"/>
                <w:szCs w:val="26"/>
                <w:color w:val="000000"/>
                <w:vertAlign w:val="superscript"/>
              </w:rPr>
              <w:t>(1)</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45,752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33,094</w:t>
            </w:r>
          </w:p>
        </w:tc>
      </w:tr>
      <w:tr>
        <w:trPr>
          <w:trHeight w:val="20"/>
        </w:trPr>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-2926715</wp:posOffset>
            </wp:positionV>
            <wp:extent cx="6324600" cy="2946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6324600" cy="29464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line="260"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netting requirements of ASC 740, $0.7 million of deferred tax liabilities are presented within Accounts payable, accrued expenses and other liabilities on the Consolidated Statements of Financial Condition as of December 31, 2023.</w:t>
      </w:r>
    </w:p>
    <w:p>
      <w:pPr>
        <w:spacing w:after="0" w:line="197" w:lineRule="exact"/>
        <w:rPr>
          <w:sz w:val="20"/>
          <w:szCs w:val="20"/>
          <w:color w:val="auto"/>
        </w:rPr>
      </w:pPr>
    </w:p>
    <w:p>
      <w:pPr>
        <w:jc w:val="both"/>
        <w:ind w:left="10" w:right="20" w:firstLine="360"/>
        <w:spacing w:after="0" w:line="215" w:lineRule="auto"/>
        <w:rPr>
          <w:sz w:val="20"/>
          <w:szCs w:val="20"/>
          <w:color w:val="auto"/>
        </w:rPr>
      </w:pPr>
      <w:r>
        <w:rPr>
          <w:rFonts w:ascii="Times New Roman" w:cs="Times New Roman" w:eastAsia="Times New Roman" w:hAnsi="Times New Roman"/>
          <w:sz w:val="20"/>
          <w:szCs w:val="20"/>
          <w:color w:val="auto"/>
        </w:rPr>
        <w:t>The Company evaluates the realizability of deferred tax assets on a jurisdictional basis at each reporting date. Accounting for income taxes guidance requires that a valuation allowance be established when it is more likely than not that all or a portion of the deferred tax assets will not be realized. As of December 31, 2023, the Company recorded a full valuation allowance of $1.5 million related to tax credits and capital losses that the Company does not expect to realize. As of December 31, 2022, a $0.7 million full valuation allowance was recognized related to tax credits. No deferred tax asset has been recorded for the excess tax over book outside basis difference related to the Company’s investment in PWP OpCo as the deferred tax asset is not expected to reverse. The Company believes it is more-likely-than-not that the remaining net deferred tax asset recorded as of December 31, 2023 will be recovered in the future based on all available positive and negative evidence.</w:t>
      </w:r>
    </w:p>
    <w:p>
      <w:pPr>
        <w:spacing w:after="0" w:line="186" w:lineRule="exact"/>
        <w:rPr>
          <w:sz w:val="20"/>
          <w:szCs w:val="20"/>
          <w:color w:val="auto"/>
        </w:rPr>
      </w:pPr>
    </w:p>
    <w:p>
      <w:pPr>
        <w:jc w:val="both"/>
        <w:ind w:left="10" w:right="20" w:firstLine="360"/>
        <w:spacing w:after="0" w:line="217" w:lineRule="auto"/>
        <w:rPr>
          <w:sz w:val="20"/>
          <w:szCs w:val="20"/>
          <w:color w:val="auto"/>
        </w:rPr>
      </w:pPr>
      <w:r>
        <w:rPr>
          <w:rFonts w:ascii="Times New Roman" w:cs="Times New Roman" w:eastAsia="Times New Roman" w:hAnsi="Times New Roman"/>
          <w:sz w:val="20"/>
          <w:szCs w:val="20"/>
          <w:color w:val="auto"/>
        </w:rPr>
        <w:t>For the years ended December 31, 2023 and 2022, the Company recorded an increase to the deferred tax asset of $9.9 million and $9.5 million, respectively, related to the step-up in tax basis of PWP OpCo assets in connection with the exchanges of PWP OpCo units for shares of Class A common stock during each year. In connection with the step-up in tax basis generated from the exchanges, the Company increased the Amount due pursuant to tax receivable agreement on the Consolidated Statements of Financial Condition by $8.4 million and $8.9 million for the years ended December 31, 2023 and 2022, respectively. The remaining tax benefit is allocable to the Company and is recorded within additional paid-in-capital.</w:t>
      </w:r>
    </w:p>
    <w:p>
      <w:pPr>
        <w:spacing w:after="0" w:line="184" w:lineRule="exact"/>
        <w:rPr>
          <w:sz w:val="20"/>
          <w:szCs w:val="20"/>
          <w:color w:val="auto"/>
        </w:rPr>
      </w:pPr>
    </w:p>
    <w:p>
      <w:pPr>
        <w:jc w:val="both"/>
        <w:ind w:left="10" w:right="20" w:firstLine="360"/>
        <w:spacing w:after="0"/>
        <w:rPr>
          <w:sz w:val="20"/>
          <w:szCs w:val="20"/>
          <w:color w:val="auto"/>
        </w:rPr>
      </w:pPr>
      <w:r>
        <w:rPr>
          <w:rFonts w:ascii="Times New Roman" w:cs="Times New Roman" w:eastAsia="Times New Roman" w:hAnsi="Times New Roman"/>
          <w:sz w:val="20"/>
          <w:szCs w:val="20"/>
          <w:color w:val="auto"/>
        </w:rPr>
        <w:t>The Company does not have excess book over tax basis in its foreign investments and has therefore not provided a deferred tax liability with respect to an outside basis difference in its investment in foreign subsidiaries.</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10"/>
          </w:cols>
          <w:pgMar w:left="1170" w:top="201" w:right="1160" w:bottom="169"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reconciliation of the changes in tax positions for the years ended December 31, 2023, 2022, and 2021 is as follows: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Beginning unrecognized tax benefit</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Additions for tax positions of prior years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1,574</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Reductions for tax positions of prior years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Additions for tax positions of current year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4,564</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currency translation </w:t>
            </w:r>
            <w:r>
              <w:rPr>
                <w:rFonts w:ascii="Times New Roman" w:cs="Times New Roman" w:eastAsia="Times New Roman" w:hAnsi="Times New Roman"/>
                <w:sz w:val="20"/>
                <w:szCs w:val="20"/>
                <w:color w:val="B4B4B4"/>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Ending unrecognized tax benefit </w:t>
            </w:r>
            <w:r>
              <w:rPr>
                <w:rFonts w:ascii="Times New Roman" w:cs="Times New Roman" w:eastAsia="Times New Roman" w:hAnsi="Times New Roman"/>
                <w:sz w:val="20"/>
                <w:szCs w:val="20"/>
                <w:color w:val="B4B4B4"/>
                <w:w w:val="99"/>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6,138</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28"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Company classifies interest relating to tax matters and tax penalties as components of Income tax expense (benefit) on its Consolidated Statements of Operations. As of December 31, 2023 and 2022, there were $2.8 million and $4.7 million, respectively, of unrecognized tax benefits that, if recognized, would affect the effective tax rate. For the years ended December 31, 2023 and 2022, $0.4 million and $0.2 million, respectively, of interest or penalties were recognized with respect to unrecognized tax benefits. No interest or penalties were recognized for the year ended December 31, 2021.</w:t>
      </w:r>
    </w:p>
    <w:p>
      <w:pPr>
        <w:spacing w:after="0" w:line="18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Company is subject to taxation in the United States and various state, local and foreign jurisdictions. As of December 31, 2023, the Company is not generally subject to examination by the tax authorities in these jurisdictions for years before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10—Debt</w:t>
      </w:r>
    </w:p>
    <w:p>
      <w:pPr>
        <w:spacing w:after="0" w:line="217"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As of December 31, 2023 and 2022, the Company had no outstanding debt. The Company has a revolving credit facility (the “Revolving Credit Facility”) through a credit agreement with Cadence Bank, N.A. (“Cadence Bank”), dated November 30, 2016 (as amended, the “Credit Agreement”), with an available line of credit of $50.0 million, up to $20.0 million of available incremental revolving commitments, and a maturity date of July 1, 2025. The Company incurred $1.8 million in issuance costs related to the Credit Agreement, which are being amortized as interest expense using the effective interest method over the life of the Revolving Credit Facility. Unamortized debt issuance costs of $0.2 million and $0.4 million, as of December 31, 2023 and December 31, 2022, respectively, are reported within Prepaid expenses and other assets on the Consolidated Statements of Financial Position. On June 30, 2023, the Credit Agreement was amended to provide for Term SOFR as the replacement benchmark rate for LIBOR, such that future SOFR-based loans will accrue interest at Term SOFR plus (i) a 0.10%-0.25% per annum spread based on interest payment frequency (with an adjusted Term SOFR floor of 0.25%) and (ii) a fixed rate of 2.00% per annum. The Company is also charged a quarterly commitment fee of 0.25% on any unused portion of the line of credit, which is included within Interest expense on the Consolidated Statements of Operations.</w:t>
      </w:r>
    </w:p>
    <w:p>
      <w:pPr>
        <w:spacing w:after="0" w:line="187"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Upon consummation of the Business Combination, the Company repaid all of the then-outstanding borrowings under the Credit Agreement, which included $27.7 million of principal plus accrued and unpaid interest. For the period prior to the Business Combination from January 1, 2021 through June 24, 2021, the weighted average interest rate for the Revolving Credit Facility was 2.62% and the effective interest rate of the Revolving Credit Facility taking into account issuance costs was 3.73%.</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Upon consummation of the Business Combination, the Company redeemed its 7.0% subordinated unsecured convertible notes (the “Convertible Notes”) for $161.6 million, which included the total outstanding $150.0 million aggregate principal, an applicable premium for certain redeeming noteholders, and accrued and unpaid interest. The Company recognized a $39.4 million loss on extinguishment of the Convertible Notes due to the premium paid and write-off of unamortized debt discount and issuance costs. For the period prior to the Business Combination from January 1, 2021 through June 24, 2021, the effective interest rate of the Convertible Notes was 11.95% and the aggregate interest expense related to the Convertible Notes was $6.9 million.</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00"/>
          </w:cols>
          <w:pgMar w:left="1180" w:top="201" w:right="1160" w:bottom="169"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11—Stockholders’ Equity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and Preferred Stock</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Holders of Class A common stock are entitled to one vote for each share on all matters submitted to the stockholders for their vote or approval. The Company has two classes of Class B common stock: Class B-1 common stock and Class B-2 common stock. Each share of Class B-1 common stock, held by VoteCo Professionals subsequent to the Division, is entitled to ten votes per share for so long as Professional Partners or its Limited Partners as of the date of Closing or its or their respective successors or assigns maintain, directly or indirectly, ownership of PWP OpCo Units that represent at least ten percent (10%) of the Company’s issued and outstanding Class A common stock (calculated, without duplication, on the basis that all issued and outstanding PWP OpCo Units not held by the Company or its subsidiaries had been exchanged for Class A common stock) (the “Class B Condition”). After the Class B Condition ceases to be satisfied, each share of Class B-1 common stock is entitled to one vote. Each share of Class B-2 common stock, held by the ILPs, is entitled to one vote per share.</w:t>
      </w:r>
    </w:p>
    <w:p>
      <w:pPr>
        <w:spacing w:after="0" w:line="18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Company currently does not have any preferred stock issued and outstanding, but the Board of Directors maintains the right to establish preferred stock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and Distributions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Holders of Class A and Class B common stock are entitled to receive ratably, in proportion to the number of shares held, dividends and other distributions when declared, with holders of Class B common stock entitled to receive an amount equal to such dividends or other distributions as would be made on 0.001 shares of Class A common stock. During the years ended December 31, 2023 and 2022, the Company’s Board of Directors declared cash dividends of $0.28 per share of Class A common stock totaling $19.3 million and $17.9 million, respectively, including dividends paid, accrued dividends and dividend equivalent units on unvested PWP Incentive Plan Awards (as defined in Note 12—Equity-Based Compensation). Dividends on Class B common stock (equal to the amount of dividends declared on 0.001 shares of Class A common stock) are included in the aforementioned total dividends declared.</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In accordance with the Amended and Restated Agreement of Limited Partnership of PWP OpCo (as amended, restated, modified or supplemented from time to time, the “PWP OpCo LPA”), the Company uses best efforts to make sufficient quarterly cash distributions to the holders of the PWP OpCo Units (the “PWP OpCo Unitholders”) to fund their tax obligations in respect of the income of PWP OpCo that is allocated to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The 11,920,699 shares purchased since inception of the share repurchase program through December 31, 2023 were purchased at an average price per share of $7.65.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Non-controlling interests represents the ownership interests in PWP OpCo held by holders other than Perella Weinberg Partners. As of December 31, 2023 and 2022, Professional Partners and the ILPs collectively own 41,589,339 and 44,563,877 PWP OpCo Units, respectively, which represent a 48.2% and 51.6% non-controlling ownership interest in PWP OpCo, respectively. These PWP OpCo Units are exchangeable into PWP Class A common stock on a one-for-one basis. See further discussion of exchange rights and exchange activity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Sponsor Share Surrender and Share Restriction Agreement</w:t>
      </w:r>
    </w:p>
    <w:p>
      <w:pPr>
        <w:spacing w:after="0" w:line="219" w:lineRule="exact"/>
        <w:rPr>
          <w:sz w:val="20"/>
          <w:szCs w:val="20"/>
          <w:color w:val="auto"/>
        </w:rPr>
      </w:pPr>
    </w:p>
    <w:p>
      <w:pPr>
        <w:jc w:val="both"/>
        <w:ind w:firstLine="360"/>
        <w:spacing w:after="0" w:line="211" w:lineRule="auto"/>
        <w:rPr>
          <w:sz w:val="20"/>
          <w:szCs w:val="20"/>
          <w:color w:val="auto"/>
        </w:rPr>
      </w:pPr>
      <w:r>
        <w:rPr>
          <w:rFonts w:ascii="Times New Roman" w:cs="Times New Roman" w:eastAsia="Times New Roman" w:hAnsi="Times New Roman"/>
          <w:sz w:val="20"/>
          <w:szCs w:val="20"/>
          <w:color w:val="auto"/>
        </w:rPr>
        <w:t>Pursuant to a Sponsor Share Surrender and Share Restriction Agreement executed concurrently with the Business Combination Agreement among FinTech Masala Advisors, LLC and FinTech Investor Holdings IV, LLC (together, the “Sponsor”), the Company, and certain other parties (as amended, the “Surrender Agreement”), certain founder shares held by the Sponsor and its members are subject to transfer restrictions that lapse in tranches based on share price targets or the 10 year anniversary of the Closing, whichever occurs first. Further, if, prior to the fourth anniversary of the Closing, the Company’s Class A common stock reaches a closing share price of greater than $12.00 per share or $15.00 per share for a specified number of trading days, the Surrender Agreement gives the Company the right to purchase from the Sponsor up to an aggregate of 1,000,000 shares per price target for a purchase price of $12.00 per share or $15.00 per share, respectively. On August 9, 2021, the Company repurchased 1,000,000 founder shares from the Sponsor at a purchase price of $12.00 per share for a total purchase price of $12.0 million. The share repurchase was recorded to Treasury stock, at cost, on our Consolidated Statements of Financial Condition. As of December 31, 2023, 1,000,000 founder shares retained by the Sponsor and 1,738,680 of founder shares distributed to its members remain subject to the aforementioned transfer restrictions.</w:t>
      </w:r>
    </w:p>
    <w:p>
      <w:pPr>
        <w:sectPr>
          <w:pgSz w:w="12240" w:h="15840" w:orient="portrait"/>
          <w:cols w:equalWidth="0" w:num="1">
            <w:col w:w="9900"/>
          </w:cols>
          <w:pgMar w:left="1180" w:top="201" w:right="1160" w:bottom="147" w:gutter="0" w:footer="0" w:header="0"/>
        </w:sectPr>
      </w:pP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900"/>
          </w:cols>
          <w:pgMar w:left="1180" w:top="201" w:right="1160" w:bottom="147"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Agreement</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A Stockholders Agreement between PWP and Professional Partners (the “Stockholders Agreement”) allows Professional Partners (including its successors (by merger, division or otherwise) and assigns) to maintain control over the Company’s significant corporate transactions even if it holds less than a majority of the combined total voting power of the Class A and Class B common stock. The Stockholders Agreement was allocated to VoteCo Professionals in connection with the Division, and will terminate once Professional Partners or its limited partners no longer hold PWP OpCo Units that (assuming such units were fully exchanged for Class A common stock) represent at least five percent of the Company’s outstanding Class A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Rights</w:t>
      </w:r>
    </w:p>
    <w:p>
      <w:pPr>
        <w:spacing w:after="0" w:line="219"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PWP OpCo Unitholders (other than the Company) may exchange their units for (i) shares of Class A common stock on a one-for-one basis or (ii) cash from an offering of shares of Class A common stock (at the Company’s option). Concurrently with an exchange, such PWP OpCo Unitholder is required to surrender shares of Class B common for additional shares of Class A common stock or cash (at the Company’s option) at a conversion rate of 0.001. Working partners are restricted in their ability to exchange PWP OpCo Units for a period between three to five years after the Closing. PWP GP may waive, and in certain cases has waived, the foregoing restrictions for any holder with respect to all or a portion of such holder’s units, with no obligation to do so for any other holder. For the years ended December 31, 2023 and 2022, the Company settled exchanges of certain PWP OpCo Units and certain shares of Class B common stock for 2,977,506 and 2,093,874 shares of Class A common stock, respectively. The exchanges created a step-up in tax basis for which the Company recorded an increase in Deferred tax assets, net, Amounts due pursuant to tax receivable agreement, and Additional paid-in-capital. On January 21, 2022, an exchange was settled through a follow-on public offering of 3,502,033 shares of Class A common stock (the “Offering”) with deferred offering costs of $1.3 million netted against the proceeds of the Offering in Additional paid-in-capital on the Consolidated Statements of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 Exchange Offer</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On August 23, 2022, the Company concluded an offer to holders of its then-outstanding warrants which provided the opportunity to receive shares of the Company’s Class A common stock in exchange for warrants tendered. This offer coincided with a solicitation of consents from holders of the public warrants to amend the warrant agreement (together, the “Warrant Exchange Offer”). As a result of the Warrant Exchange Offer, all public and private warrants were exchanged, collectively, for 1,565,948 shares of the Company’s Class A common stock, with a minimal cash settlement in lieu of partial shares. No public or private warrants remained outstanding after the Warrant Exchange Offer. The Company incurred $1.3 million of costs directly related to the Warrant Exchange Offer, which were recorded in Professional fees on the Consolidated Statements of Operations. Prior to the Warrant Exchange Offer, the warrants were recognized as liabilities with changes in fair value presented within Change in fair value of warrant liabilities on the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12—Equity-Based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PWP Omnibus Incentive Plan Awards</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Concurrent with the Business Combination, the Company adopted the Perella Weinberg Partners 2021 Omnibus Incentive Plan (the “PWP Incentive Plan”), which establishes a plan for the granting of various forms of incentive compensation awards, including restricted stock units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 have rights to dividends declared during the vesting period and receive such dividends only upon vesting in the form of 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 reserved for issuance from the General Share Reserve increases each year. As of December 31, 2023, 5,234,422 total shares remained reserved and available for future issuance.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Business Combination Awards</w:t>
      </w:r>
    </w:p>
    <w:p>
      <w:pPr>
        <w:spacing w:after="0" w:line="210"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During the third quarter of 2021, in connection with the Business Combination, the Company granted awards in the form of (a) RSUs that vest upon the achievement of service conditions (“Transaction RSUs”) and (b) PSUs that only vest upon the achievement of both service and market conditions, including certain long-term incentive awards granted to management (“Transaction PSUs”).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00"/>
          </w:cols>
          <w:pgMar w:left="1180" w:top="201" w:right="1160" w:bottom="169" w:gutter="0" w:footer="0" w:header="0"/>
          <w:type w:val="continuous"/>
        </w:sectPr>
      </w:pPr>
    </w:p>
    <w:bookmarkStart w:id="67" w:name="page68"/>
    <w:bookmarkEnd w:id="67"/>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10" w:right="20" w:firstLine="360"/>
        <w:spacing w:after="0"/>
        <w:rPr>
          <w:sz w:val="20"/>
          <w:szCs w:val="20"/>
          <w:color w:val="auto"/>
        </w:rPr>
      </w:pPr>
      <w:r>
        <w:rPr>
          <w:rFonts w:ascii="Times New Roman" w:cs="Times New Roman" w:eastAsia="Times New Roman" w:hAnsi="Times New Roman"/>
          <w:sz w:val="20"/>
          <w:szCs w:val="20"/>
          <w:color w:val="auto"/>
        </w:rPr>
        <w:t>The following table summarizes the activity related to the Transaction RSUs and Transaction PSUs during the year ended December 31, 2023:</w:t>
      </w:r>
    </w:p>
    <w:p>
      <w:pPr>
        <w:spacing w:after="0" w:line="24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4460" w:type="dxa"/>
            <w:vAlign w:val="bottom"/>
          </w:tcPr>
          <w:p>
            <w:pPr>
              <w:spacing w:after="0"/>
              <w:rPr>
                <w:sz w:val="23"/>
                <w:szCs w:val="23"/>
                <w:color w:val="auto"/>
              </w:rPr>
            </w:pPr>
          </w:p>
        </w:tc>
        <w:tc>
          <w:tcPr>
            <w:tcW w:w="26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Transaction RSUs</w:t>
            </w:r>
          </w:p>
        </w:tc>
        <w:tc>
          <w:tcPr>
            <w:tcW w:w="60" w:type="dxa"/>
            <w:vAlign w:val="bottom"/>
          </w:tcPr>
          <w:p>
            <w:pPr>
              <w:spacing w:after="0"/>
              <w:rPr>
                <w:sz w:val="23"/>
                <w:szCs w:val="23"/>
                <w:color w:val="auto"/>
              </w:rPr>
            </w:pPr>
          </w:p>
        </w:tc>
        <w:tc>
          <w:tcPr>
            <w:tcW w:w="268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Transaction PSUs</w:t>
            </w: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60"/>
              <w:spacing w:after="0" w:line="18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80"/>
              <w:spacing w:after="0" w:line="18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Grant Date</w:t>
            </w:r>
          </w:p>
        </w:tc>
        <w:tc>
          <w:tcPr>
            <w:tcW w:w="60" w:type="dxa"/>
            <w:vAlign w:val="bottom"/>
          </w:tcPr>
          <w:p>
            <w:pPr>
              <w:spacing w:after="0"/>
              <w:rPr>
                <w:sz w:val="17"/>
                <w:szCs w:val="17"/>
                <w:color w:val="auto"/>
              </w:rPr>
            </w:pPr>
          </w:p>
        </w:tc>
        <w:tc>
          <w:tcPr>
            <w:tcW w:w="130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Grant Date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60" w:type="dxa"/>
            <w:vAlign w:val="bottom"/>
          </w:tcPr>
          <w:p>
            <w:pPr>
              <w:spacing w:after="0"/>
              <w:rPr>
                <w:sz w:val="22"/>
                <w:szCs w:val="22"/>
                <w:color w:val="auto"/>
              </w:rPr>
            </w:pP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Per Share</w:t>
            </w:r>
          </w:p>
        </w:tc>
        <w:tc>
          <w:tcPr>
            <w:tcW w:w="0" w:type="dxa"/>
            <w:vAlign w:val="bottom"/>
          </w:tcPr>
          <w:p>
            <w:pPr>
              <w:spacing w:after="0"/>
              <w:rPr>
                <w:sz w:val="1"/>
                <w:szCs w:val="1"/>
                <w:color w:val="auto"/>
              </w:rPr>
            </w:pPr>
          </w:p>
        </w:tc>
      </w:tr>
      <w:tr>
        <w:trPr>
          <w:trHeight w:val="281"/>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January 1, 2023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2,589,976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12,076,297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0" w:type="dxa"/>
            <w:vAlign w:val="bottom"/>
          </w:tcPr>
          <w:p>
            <w:pPr>
              <w:spacing w:after="0"/>
              <w:rPr>
                <w:sz w:val="1"/>
                <w:szCs w:val="1"/>
                <w:color w:val="auto"/>
              </w:rPr>
            </w:pPr>
          </w:p>
        </w:tc>
      </w:tr>
      <w:tr>
        <w:trPr>
          <w:trHeight w:val="31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Granted </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29,322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Vested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(1,048,875)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Modified</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0" w:type="dxa"/>
            <w:vAlign w:val="bottom"/>
          </w:tcPr>
          <w:p>
            <w:pPr>
              <w:spacing w:after="0"/>
              <w:rPr>
                <w:sz w:val="1"/>
                <w:szCs w:val="1"/>
                <w:color w:val="auto"/>
              </w:rPr>
            </w:pPr>
          </w:p>
        </w:tc>
      </w:tr>
      <w:tr>
        <w:trPr>
          <w:trHeight w:val="30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Forfeited </w:t>
            </w:r>
            <w:r>
              <w:rPr>
                <w:rFonts w:ascii="Times New Roman" w:cs="Times New Roman" w:eastAsia="Times New Roman" w:hAnsi="Times New Roman"/>
                <w:sz w:val="20"/>
                <w:szCs w:val="20"/>
                <w:color w:val="B4B4B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(198,011)</w:t>
            </w:r>
          </w:p>
        </w:tc>
        <w:tc>
          <w:tcPr>
            <w:tcW w:w="60" w:type="dxa"/>
            <w:vAlign w:val="bottom"/>
            <w:tcBorders>
              <w:bottom w:val="single" w:sz="8" w:color="auto"/>
            </w:tcBorders>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(35,928)</w:t>
            </w:r>
          </w:p>
        </w:tc>
        <w:tc>
          <w:tcPr>
            <w:tcW w:w="60" w:type="dxa"/>
            <w:vAlign w:val="bottom"/>
            <w:tcBorders>
              <w:bottom w:val="single" w:sz="8" w:color="auto"/>
            </w:tcBorders>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27"/>
        </w:trPr>
        <w:tc>
          <w:tcPr>
            <w:tcW w:w="44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 xml:space="preserve">Balance at December 31, 2023 </w:t>
            </w:r>
            <w:r>
              <w:rPr>
                <w:rFonts w:ascii="Times New Roman" w:cs="Times New Roman" w:eastAsia="Times New Roman" w:hAnsi="Times New Roman"/>
                <w:sz w:val="20"/>
                <w:szCs w:val="20"/>
                <w:b w:val="1"/>
                <w:bCs w:val="1"/>
                <w:color w:val="B4B4B4"/>
              </w:rPr>
              <w:t>......................................</w:t>
            </w:r>
          </w:p>
        </w:tc>
        <w:tc>
          <w:tcPr>
            <w:tcW w:w="13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3,008,528</w:t>
            </w:r>
          </w:p>
        </w:tc>
        <w:tc>
          <w:tcPr>
            <w:tcW w:w="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11.55</w:t>
            </w:r>
          </w:p>
        </w:tc>
        <w:tc>
          <w:tcPr>
            <w:tcW w:w="136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10,400,155</w:t>
            </w:r>
          </w:p>
        </w:tc>
        <w:tc>
          <w:tcPr>
            <w:tcW w:w="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10.48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311900" cy="1136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6311900" cy="113665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line="260" w:lineRule="auto"/>
        <w:tabs>
          <w:tab w:leader="none" w:pos="37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Business Combination, grants of Transaction RSUs and Transaction PSUs include only dividend equivalent units that have been awarded in the form of additional units that were granted from the General Share Reserve.</w:t>
      </w:r>
    </w:p>
    <w:p>
      <w:pPr>
        <w:spacing w:after="0" w:line="197" w:lineRule="exact"/>
        <w:rPr>
          <w:sz w:val="20"/>
          <w:szCs w:val="20"/>
          <w:color w:val="auto"/>
        </w:rPr>
      </w:pPr>
    </w:p>
    <w:p>
      <w:pPr>
        <w:jc w:val="both"/>
        <w:ind w:left="10" w:right="20" w:firstLine="360"/>
        <w:spacing w:after="0" w:line="219" w:lineRule="auto"/>
        <w:rPr>
          <w:sz w:val="20"/>
          <w:szCs w:val="20"/>
          <w:color w:val="auto"/>
        </w:rPr>
      </w:pPr>
      <w:r>
        <w:rPr>
          <w:rFonts w:ascii="Times New Roman" w:cs="Times New Roman" w:eastAsia="Times New Roman" w:hAnsi="Times New Roman"/>
          <w:sz w:val="20"/>
          <w:szCs w:val="20"/>
          <w:color w:val="auto"/>
        </w:rPr>
        <w:t>The Transaction RSUs generally vest in equal annual installments over the requisite service period of three years. The weighted-average grant date fair value of the Transaction RSUs granted during the year ended December 31, 2021 was $13.97 per award, which was based on the PWP stock price on the date of grant. The total fair value of Transaction RSUs that vested during the years ended December 31, 2023, 2022 and 2021 was $10.9 million, $16.2 million, and $20.1 million, respectively. As of December 31, 2023, total unrecognized compensation expense related to unvested Transaction RSUs was $23.2 million, which is expected to be recognized over a weighted average period of 1.4 years.</w:t>
      </w:r>
    </w:p>
    <w:p>
      <w:pPr>
        <w:spacing w:after="0" w:line="181" w:lineRule="exact"/>
        <w:rPr>
          <w:sz w:val="20"/>
          <w:szCs w:val="20"/>
          <w:color w:val="auto"/>
        </w:rPr>
      </w:pPr>
    </w:p>
    <w:p>
      <w:pPr>
        <w:jc w:val="both"/>
        <w:ind w:left="10" w:right="20" w:firstLine="360"/>
        <w:spacing w:after="0" w:line="219" w:lineRule="auto"/>
        <w:rPr>
          <w:sz w:val="20"/>
          <w:szCs w:val="20"/>
          <w:color w:val="auto"/>
        </w:rPr>
      </w:pPr>
      <w:r>
        <w:rPr>
          <w:rFonts w:ascii="Times New Roman" w:cs="Times New Roman" w:eastAsia="Times New Roman" w:hAnsi="Times New Roman"/>
          <w:sz w:val="20"/>
          <w:szCs w:val="20"/>
          <w:color w:val="auto"/>
        </w:rPr>
        <w:t>The service condition requirement with respect to the Transaction PSUs is generally satisfied over three to five years. The market condition requirement is satisfied in various increments upon the shares of Class A common stock achieving closing prices ranging from $12 to $30. As of December 31, 2023, the $12 and $13.50 price targets were satisfied. The weighted-average grant date fair value of the Transaction PSUs granted during the year ended December 31, 2021 was $10.36 per award. The Company estimated the fair value of the Transaction PSUs on the grant date using a Monte-Carlo simulation valuation model with the following assumptions and ranges of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140970</wp:posOffset>
            </wp:positionV>
            <wp:extent cx="6311900" cy="568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6311900" cy="568325"/>
                    </a:xfrm>
                    <a:prstGeom prst="rect">
                      <a:avLst/>
                    </a:prstGeom>
                    <a:noFill/>
                  </pic:spPr>
                </pic:pic>
              </a:graphicData>
            </a:graphic>
          </wp:anchor>
        </w:drawing>
      </w:r>
    </w:p>
    <w:p>
      <w:pPr>
        <w:spacing w:after="0" w:line="234"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Risk-free interest rate </w:t>
            </w:r>
            <w:r>
              <w:rPr>
                <w:rFonts w:ascii="Times New Roman" w:cs="Times New Roman" w:eastAsia="Times New Roman" w:hAnsi="Times New Roman"/>
                <w:sz w:val="20"/>
                <w:szCs w:val="20"/>
                <w:color w:val="B4B4B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 - 0.9%</w:t>
            </w:r>
          </w:p>
        </w:tc>
      </w:tr>
      <w:tr>
        <w:trPr>
          <w:trHeight w:val="285"/>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Dividend yield </w:t>
            </w:r>
            <w:r>
              <w:rPr>
                <w:rFonts w:ascii="Times New Roman" w:cs="Times New Roman" w:eastAsia="Times New Roman" w:hAnsi="Times New Roman"/>
                <w:sz w:val="20"/>
                <w:szCs w:val="20"/>
                <w:color w:val="B4B4B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48"/>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Volatility factor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4B4B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 - 32.9%</w:t>
            </w:r>
          </w:p>
        </w:tc>
      </w:tr>
    </w:tbl>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5" w:lineRule="exact"/>
        <w:rPr>
          <w:sz w:val="20"/>
          <w:szCs w:val="20"/>
          <w:color w:val="auto"/>
        </w:rPr>
      </w:pPr>
    </w:p>
    <w:p>
      <w:pPr>
        <w:ind w:left="370" w:hanging="370"/>
        <w:spacing w:after="0"/>
        <w:tabs>
          <w:tab w:leader="none" w:pos="3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historical peer company volatility.</w:t>
      </w:r>
    </w:p>
    <w:p>
      <w:pPr>
        <w:spacing w:after="0" w:line="220" w:lineRule="exact"/>
        <w:rPr>
          <w:sz w:val="20"/>
          <w:szCs w:val="20"/>
          <w:color w:val="auto"/>
        </w:rPr>
      </w:pPr>
    </w:p>
    <w:p>
      <w:pPr>
        <w:jc w:val="both"/>
        <w:ind w:left="10" w:right="20" w:firstLine="360"/>
        <w:spacing w:after="0" w:line="217" w:lineRule="auto"/>
        <w:rPr>
          <w:sz w:val="20"/>
          <w:szCs w:val="20"/>
          <w:color w:val="auto"/>
        </w:rPr>
      </w:pPr>
      <w:r>
        <w:rPr>
          <w:rFonts w:ascii="Times New Roman" w:cs="Times New Roman" w:eastAsia="Times New Roman" w:hAnsi="Times New Roman"/>
          <w:sz w:val="20"/>
          <w:szCs w:val="20"/>
          <w:color w:val="auto"/>
        </w:rPr>
        <w:t>The total fair value of Transaction PSUs that vested during the years ended December 31, 2023, 2022, and 2021 was nominal. During the year ended December 31, 2023, the Company modified certain Transaction PSUs held by one employee to remove the market conditions, which resulted in a modification of the awards under ASC Topic 718, Compensation—Stock Compensation. Incremental compensation cost of $10.2 million related to the modification will be recognized over the remaining requisite service period. As of December 31, 2023, total unrecognized compensation expense related to unvested Transaction PSUs was $40.7 million, which is expected to be recognized over a weighted average period of 2.0 years.</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General Awards</w:t>
      </w:r>
    </w:p>
    <w:p>
      <w:pPr>
        <w:spacing w:after="0" w:line="210"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 PSUs”).</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10"/>
          </w:cols>
          <w:pgMar w:left="1170" w:top="201" w:right="1160" w:bottom="169" w:gutter="0" w:footer="0" w:header="0"/>
          <w:type w:val="continuous"/>
        </w:sectPr>
      </w:pPr>
    </w:p>
    <w:bookmarkStart w:id="68" w:name="page69"/>
    <w:bookmarkEnd w:id="68"/>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5"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following table summarizes the activity related to the General RSUs and General PSUs during the year ended</w:t>
      </w:r>
    </w:p>
    <w:p>
      <w:pPr>
        <w:ind w:left="10"/>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57"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4460" w:type="dxa"/>
            <w:vAlign w:val="bottom"/>
          </w:tcPr>
          <w:p>
            <w:pPr>
              <w:spacing w:after="0"/>
              <w:rPr>
                <w:sz w:val="23"/>
                <w:szCs w:val="23"/>
                <w:color w:val="auto"/>
              </w:rPr>
            </w:pPr>
          </w:p>
        </w:tc>
        <w:tc>
          <w:tcPr>
            <w:tcW w:w="266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General RSUs</w:t>
            </w:r>
          </w:p>
        </w:tc>
        <w:tc>
          <w:tcPr>
            <w:tcW w:w="60" w:type="dxa"/>
            <w:vAlign w:val="bottom"/>
          </w:tcPr>
          <w:p>
            <w:pPr>
              <w:spacing w:after="0"/>
              <w:rPr>
                <w:sz w:val="23"/>
                <w:szCs w:val="23"/>
                <w:color w:val="auto"/>
              </w:rPr>
            </w:pPr>
          </w:p>
        </w:tc>
        <w:tc>
          <w:tcPr>
            <w:tcW w:w="268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General PSUs</w:t>
            </w: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60"/>
              <w:spacing w:after="0" w:line="18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80"/>
              <w:spacing w:after="0" w:line="18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22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Grant Date</w:t>
            </w:r>
          </w:p>
        </w:tc>
        <w:tc>
          <w:tcPr>
            <w:tcW w:w="60" w:type="dxa"/>
            <w:vAlign w:val="bottom"/>
          </w:tcPr>
          <w:p>
            <w:pPr>
              <w:spacing w:after="0"/>
              <w:rPr>
                <w:sz w:val="17"/>
                <w:szCs w:val="17"/>
                <w:color w:val="auto"/>
              </w:rPr>
            </w:pPr>
          </w:p>
        </w:tc>
        <w:tc>
          <w:tcPr>
            <w:tcW w:w="130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220" w:type="dxa"/>
            <w:vAlign w:val="bottom"/>
          </w:tcPr>
          <w:p>
            <w:pPr>
              <w:spacing w:after="0"/>
              <w:rPr>
                <w:sz w:val="17"/>
                <w:szCs w:val="17"/>
                <w:color w:val="auto"/>
              </w:rPr>
            </w:pPr>
          </w:p>
        </w:tc>
        <w:tc>
          <w:tcPr>
            <w:tcW w:w="11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Grant Date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220" w:type="dxa"/>
            <w:vAlign w:val="bottom"/>
          </w:tcPr>
          <w:p>
            <w:pPr>
              <w:spacing w:after="0"/>
              <w:rPr>
                <w:sz w:val="22"/>
                <w:szCs w:val="22"/>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60" w:type="dxa"/>
            <w:vAlign w:val="bottom"/>
          </w:tcPr>
          <w:p>
            <w:pPr>
              <w:spacing w:after="0"/>
              <w:rPr>
                <w:sz w:val="22"/>
                <w:szCs w:val="22"/>
                <w:color w:val="auto"/>
              </w:rPr>
            </w:pP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220" w:type="dxa"/>
            <w:vAlign w:val="bottom"/>
          </w:tcPr>
          <w:p>
            <w:pPr>
              <w:spacing w:after="0"/>
              <w:rPr>
                <w:sz w:val="22"/>
                <w:szCs w:val="22"/>
                <w:color w:val="auto"/>
              </w:rPr>
            </w:pPr>
          </w:p>
        </w:tc>
        <w:tc>
          <w:tcPr>
            <w:tcW w:w="116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Per Share</w:t>
            </w:r>
          </w:p>
        </w:tc>
        <w:tc>
          <w:tcPr>
            <w:tcW w:w="0" w:type="dxa"/>
            <w:vAlign w:val="bottom"/>
          </w:tcPr>
          <w:p>
            <w:pPr>
              <w:spacing w:after="0"/>
              <w:rPr>
                <w:sz w:val="1"/>
                <w:szCs w:val="1"/>
                <w:color w:val="auto"/>
              </w:rPr>
            </w:pPr>
          </w:p>
        </w:tc>
      </w:tr>
      <w:tr>
        <w:trPr>
          <w:trHeight w:val="281"/>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January 1, 2023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7,144,227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Granted </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8,262,760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Vested </w:t>
            </w:r>
            <w:r>
              <w:rPr>
                <w:rFonts w:ascii="Times New Roman" w:cs="Times New Roman" w:eastAsia="Times New Roman" w:hAnsi="Times New Roman"/>
                <w:sz w:val="20"/>
                <w:szCs w:val="20"/>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(2,850,542)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Forfeited </w:t>
            </w:r>
            <w:r>
              <w:rPr>
                <w:rFonts w:ascii="Times New Roman" w:cs="Times New Roman" w:eastAsia="Times New Roman" w:hAnsi="Times New Roman"/>
                <w:sz w:val="20"/>
                <w:szCs w:val="20"/>
                <w:color w:val="B4B4B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(309,503)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December 31, 2023 </w:t>
            </w:r>
            <w:r>
              <w:rPr>
                <w:rFonts w:ascii="Times New Roman" w:cs="Times New Roman" w:eastAsia="Times New Roman" w:hAnsi="Times New Roman"/>
                <w:sz w:val="20"/>
                <w:szCs w:val="20"/>
                <w:b w:val="1"/>
                <w:bCs w:val="1"/>
                <w:color w:val="B4B4B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12,246,942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311900" cy="955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line="260" w:lineRule="auto"/>
        <w:tabs>
          <w:tab w:leader="none" w:pos="37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dividend equivalent units that have been awarded in the form of additional General RSUs that were granted from the General Share Reserve.</w:t>
      </w:r>
    </w:p>
    <w:p>
      <w:pPr>
        <w:spacing w:after="0" w:line="197" w:lineRule="exact"/>
        <w:rPr>
          <w:sz w:val="20"/>
          <w:szCs w:val="20"/>
          <w:color w:val="auto"/>
        </w:rPr>
      </w:pPr>
    </w:p>
    <w:p>
      <w:pPr>
        <w:jc w:val="both"/>
        <w:ind w:left="10" w:firstLine="360"/>
        <w:spacing w:after="0" w:line="217" w:lineRule="auto"/>
        <w:rPr>
          <w:sz w:val="20"/>
          <w:szCs w:val="20"/>
          <w:color w:val="auto"/>
        </w:rPr>
      </w:pPr>
      <w:r>
        <w:rPr>
          <w:rFonts w:ascii="Times New Roman" w:cs="Times New Roman" w:eastAsia="Times New Roman" w:hAnsi="Times New Roman"/>
          <w:sz w:val="20"/>
          <w:szCs w:val="20"/>
          <w:color w:val="auto"/>
        </w:rPr>
        <w:t>General RSUs vest over a requisite service period, which is generally one to three years. The weighted-average grant date fair value of the General RSUs granted during the years ended December 31, 2022 and 2021 was $9.82 and $13.76 per award, respectively, which was based on the PWP stock price on the date of grant. The total fair value of General RSUs that vested during the years ended December 31, 2023 and 2022 was $28.9 million and $6.5 million, respectively, and a nominal amount for the year ended December 31, 2021. As of December 31, 2023, total unrecognized compensation expense related to unvested General RSUs was $73.3 million, which is expected to be recognized over a weighted average period of 1.9 years.</w:t>
      </w:r>
    </w:p>
    <w:p>
      <w:pPr>
        <w:spacing w:after="0" w:line="184" w:lineRule="exact"/>
        <w:rPr>
          <w:sz w:val="20"/>
          <w:szCs w:val="20"/>
          <w:color w:val="auto"/>
        </w:rPr>
      </w:pPr>
    </w:p>
    <w:p>
      <w:pPr>
        <w:jc w:val="both"/>
        <w:ind w:left="10" w:right="20" w:firstLine="360"/>
        <w:spacing w:after="0" w:line="219" w:lineRule="auto"/>
        <w:rPr>
          <w:sz w:val="20"/>
          <w:szCs w:val="20"/>
          <w:color w:val="auto"/>
        </w:rPr>
      </w:pPr>
      <w:r>
        <w:rPr>
          <w:rFonts w:ascii="Times New Roman" w:cs="Times New Roman" w:eastAsia="Times New Roman" w:hAnsi="Times New Roman"/>
          <w:sz w:val="20"/>
          <w:szCs w:val="20"/>
          <w:color w:val="auto"/>
        </w:rPr>
        <w:t>During the year ended December 31, 2023, the Company made a grant of General PSUs with a service condition requirement satisfied over three to five years and a market condition requirement satisfied in various increments upon the shares of Class A common stock achieving closing prices ranging from $15 to $30. No General PSUs have vested to date. As of December 31, 2023, total unrecognized compensation expense related to unvested General PSUs was $4.7 million, which is expected to be recognized over a weighted average period of 3.2 years. The Company estimated the fair value of the General PSUs on the grant date using a Monte-Carlo simulation valuation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140970</wp:posOffset>
            </wp:positionV>
            <wp:extent cx="6311900" cy="568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6311900" cy="568325"/>
                    </a:xfrm>
                    <a:prstGeom prst="rect">
                      <a:avLst/>
                    </a:prstGeom>
                    <a:noFill/>
                  </pic:spPr>
                </pic:pic>
              </a:graphicData>
            </a:graphic>
          </wp:anchor>
        </w:drawing>
      </w:r>
    </w:p>
    <w:p>
      <w:pPr>
        <w:spacing w:after="0" w:line="234"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Risk-free interest rate </w:t>
            </w:r>
            <w:r>
              <w:rPr>
                <w:rFonts w:ascii="Times New Roman" w:cs="Times New Roman" w:eastAsia="Times New Roman" w:hAnsi="Times New Roman"/>
                <w:sz w:val="20"/>
                <w:szCs w:val="20"/>
                <w:color w:val="B4B4B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Dividend yield </w:t>
            </w:r>
            <w:r>
              <w:rPr>
                <w:rFonts w:ascii="Times New Roman" w:cs="Times New Roman" w:eastAsia="Times New Roman" w:hAnsi="Times New Roman"/>
                <w:sz w:val="20"/>
                <w:szCs w:val="20"/>
                <w:color w:val="B4B4B4"/>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2.72 %</w:t>
            </w:r>
          </w:p>
        </w:tc>
      </w:tr>
      <w:tr>
        <w:trPr>
          <w:trHeight w:val="348"/>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Volatility factor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4B4B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5" w:lineRule="exact"/>
        <w:rPr>
          <w:sz w:val="20"/>
          <w:szCs w:val="20"/>
          <w:color w:val="auto"/>
        </w:rPr>
      </w:pPr>
    </w:p>
    <w:p>
      <w:pPr>
        <w:ind w:left="370" w:hanging="370"/>
        <w:spacing w:after="0"/>
        <w:tabs>
          <w:tab w:leader="none" w:pos="3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historical peer company volatility.</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Legacy Awards and Professional Partners Awards</w:t>
      </w:r>
    </w:p>
    <w:p>
      <w:pPr>
        <w:spacing w:after="0" w:line="219" w:lineRule="exact"/>
        <w:rPr>
          <w:sz w:val="20"/>
          <w:szCs w:val="20"/>
          <w:color w:val="auto"/>
        </w:rPr>
      </w:pPr>
    </w:p>
    <w:p>
      <w:pPr>
        <w:jc w:val="both"/>
        <w:ind w:left="10" w:right="20" w:firstLine="360"/>
        <w:spacing w:after="0" w:line="213" w:lineRule="auto"/>
        <w:rPr>
          <w:sz w:val="20"/>
          <w:szCs w:val="20"/>
          <w:color w:val="auto"/>
        </w:rPr>
      </w:pPr>
      <w:r>
        <w:rPr>
          <w:rFonts w:ascii="Times New Roman" w:cs="Times New Roman" w:eastAsia="Times New Roman" w:hAnsi="Times New Roman"/>
          <w:sz w:val="20"/>
          <w:szCs w:val="20"/>
          <w:color w:val="auto"/>
        </w:rPr>
        <w:t>Prior to the Business Combination, Professional Partners granted certain equity-based awards to partners providing services to PWP OpCo (the “Legacy Awards”). In connection with the Business Combination and a related internal reorganization of Professional Partners, existing Legacy Awards were canceled and replaced by converting each limited partner’s capital interests in Professional Partners attributable to PWP OpCo into fully vested capital units and/or unvested capital units subject to a three to five-year requisite service period (units subject to service requirements are referred to herein as the “Professional Partners Awards”). Subsequent to the Division, such capital units are held in AdCo Professionals. Fully vested Professional Partners Awards are exchangeable for Class A common stock of PWP on a one-for-one basis. The vesting of Professional Partners Awards does not dilute Perella Weinberg Partners shareholders relative to AdCo Professionals as AdCo Professionals’ interest in PWP OpCo does not change as a result of granting those equity awards to its working partners. As a result, all of the compensation expense and corresponding capital contribution associated with the Professional Partners Awards and Legacy Awards is allocated to non-controlling interests on the Consolidated Statements of Operations and Consolidated Statements of Financial Condition.</w:t>
      </w:r>
    </w:p>
    <w:p>
      <w:pPr>
        <w:spacing w:after="0" w:line="191" w:lineRule="exact"/>
        <w:rPr>
          <w:sz w:val="20"/>
          <w:szCs w:val="20"/>
          <w:color w:val="auto"/>
        </w:rPr>
      </w:pPr>
    </w:p>
    <w:p>
      <w:pPr>
        <w:jc w:val="both"/>
        <w:ind w:left="10" w:right="20" w:firstLine="360"/>
        <w:spacing w:after="0" w:line="221" w:lineRule="auto"/>
        <w:rPr>
          <w:sz w:val="20"/>
          <w:szCs w:val="20"/>
          <w:color w:val="auto"/>
        </w:rPr>
      </w:pPr>
      <w:r>
        <w:rPr>
          <w:rFonts w:ascii="Times New Roman" w:cs="Times New Roman" w:eastAsia="Times New Roman" w:hAnsi="Times New Roman"/>
          <w:sz w:val="20"/>
          <w:szCs w:val="20"/>
          <w:color w:val="auto"/>
        </w:rPr>
        <w:t>The Company accounted for the cancellation of the Legacy Awards and concurrent grant of Professional Partners Awards as a modification of the Legacy Awards. The $301.5 million incremental fair value of the Professional Partners Awards is amortized over the requisite service period and was based on the closing price of PWP Class A common stock on the date of grant. The unrecognized cost associated with the Legacy Awards was amortized over its original vesting schedule and such awards were fully amortized as of September 30, 2023.</w:t>
      </w:r>
    </w:p>
    <w:p>
      <w:pPr>
        <w:sectPr>
          <w:pgSz w:w="12240" w:h="15840" w:orient="portrait"/>
          <w:cols w:equalWidth="0" w:num="1">
            <w:col w:w="9910"/>
          </w:cols>
          <w:pgMar w:left="1170" w:top="201" w:right="1160" w:bottom="169" w:gutter="0" w:footer="0" w:header="0"/>
        </w:sectPr>
      </w:pPr>
    </w:p>
    <w:p>
      <w:pPr>
        <w:spacing w:after="0" w:line="37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910"/>
          </w:cols>
          <w:pgMar w:left="1170" w:top="201" w:right="1160" w:bottom="169" w:gutter="0" w:footer="0" w:header="0"/>
          <w:type w:val="continuous"/>
        </w:sectPr>
      </w:pPr>
    </w:p>
    <w:bookmarkStart w:id="69" w:name="page70"/>
    <w:bookmarkEnd w:id="69"/>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left="10" w:right="20" w:firstLine="360"/>
        <w:spacing w:after="0" w:line="221" w:lineRule="auto"/>
        <w:rPr>
          <w:sz w:val="20"/>
          <w:szCs w:val="20"/>
          <w:color w:val="auto"/>
        </w:rPr>
      </w:pPr>
      <w:r>
        <w:rPr>
          <w:rFonts w:ascii="Times New Roman" w:cs="Times New Roman" w:eastAsia="Times New Roman" w:hAnsi="Times New Roman"/>
          <w:sz w:val="20"/>
          <w:szCs w:val="20"/>
          <w:color w:val="auto"/>
        </w:rPr>
        <w:t>On August 31, 2021, certain Professional Partner Awards held by French partners were canceled and replaced with an equal number of Transaction PSUs, which was treated as a modification resulting in no incremental compensation cost. The canceled Professional Partner Awards were reallocated to certain other working partners as new grants with a fair value of $11.5 million. The grant date fair value of these awards is amortized over the requisite service period and was based on the closing price of PWP Class A common stock on the date of grant.</w:t>
      </w:r>
    </w:p>
    <w:p>
      <w:pPr>
        <w:spacing w:after="0" w:line="181" w:lineRule="exact"/>
        <w:rPr>
          <w:sz w:val="20"/>
          <w:szCs w:val="20"/>
          <w:color w:val="auto"/>
        </w:rPr>
      </w:pPr>
    </w:p>
    <w:p>
      <w:pPr>
        <w:jc w:val="both"/>
        <w:ind w:left="10" w:right="20" w:firstLine="360"/>
        <w:spacing w:after="0"/>
        <w:rPr>
          <w:sz w:val="20"/>
          <w:szCs w:val="20"/>
          <w:color w:val="auto"/>
        </w:rPr>
      </w:pPr>
      <w:r>
        <w:rPr>
          <w:rFonts w:ascii="Times New Roman" w:cs="Times New Roman" w:eastAsia="Times New Roman" w:hAnsi="Times New Roman"/>
          <w:sz w:val="20"/>
          <w:szCs w:val="20"/>
          <w:color w:val="auto"/>
        </w:rPr>
        <w:t>As of December 31, 2023, total unrecognized compensation expense related to unvested Professional Partners Awards was $130.5 million, which is expected to be recognized over a weighted average period of 2.4 years.</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Expense Recognition</w:t>
      </w:r>
    </w:p>
    <w:p>
      <w:pPr>
        <w:spacing w:after="0" w:line="219" w:lineRule="exact"/>
        <w:rPr>
          <w:sz w:val="20"/>
          <w:szCs w:val="20"/>
          <w:color w:val="auto"/>
        </w:rPr>
      </w:pPr>
    </w:p>
    <w:p>
      <w:pPr>
        <w:jc w:val="both"/>
        <w:ind w:left="10" w:right="20" w:firstLine="360"/>
        <w:spacing w:after="0"/>
        <w:rPr>
          <w:sz w:val="20"/>
          <w:szCs w:val="20"/>
          <w:color w:val="auto"/>
        </w:rPr>
      </w:pPr>
      <w:r>
        <w:rPr>
          <w:rFonts w:ascii="Times New Roman" w:cs="Times New Roman" w:eastAsia="Times New Roman" w:hAnsi="Times New Roman"/>
          <w:sz w:val="20"/>
          <w:szCs w:val="20"/>
          <w:color w:val="auto"/>
        </w:rPr>
        <w:t>The following table presents the expense related to equity-based awards that were recorded in Professional fees and components of Equity-based compensation included on the Consolidated Statements of Operations: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Pr>
          <w:p>
            <w:pPr>
              <w:spacing w:after="0"/>
              <w:rPr>
                <w:sz w:val="23"/>
                <w:szCs w:val="23"/>
                <w:color w:val="auto"/>
              </w:rPr>
            </w:pPr>
          </w:p>
        </w:tc>
      </w:tr>
      <w:tr>
        <w:trPr>
          <w:trHeight w:val="265"/>
        </w:trPr>
        <w:tc>
          <w:tcPr>
            <w:tcW w:w="58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62"/>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Professional fees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5"/>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PWP Incentive Plan Awards </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2,262</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w:t>
            </w:r>
          </w:p>
        </w:tc>
      </w:tr>
      <w:tr>
        <w:trPr>
          <w:trHeight w:val="60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Equity-based compensation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PWP Incentive Plan Awards </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104,159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79,542</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44,891</w:t>
            </w:r>
          </w:p>
        </w:tc>
      </w:tr>
      <w:tr>
        <w:trPr>
          <w:trHeight w:val="291"/>
        </w:trPr>
        <w:tc>
          <w:tcPr>
            <w:tcW w:w="5860" w:type="dxa"/>
            <w:vAlign w:val="bottom"/>
          </w:tcPr>
          <w:p>
            <w:pPr>
              <w:jc w:val="right"/>
              <w:spacing w:after="0" w:line="291" w:lineRule="exact"/>
              <w:rPr>
                <w:sz w:val="20"/>
                <w:szCs w:val="20"/>
                <w:color w:val="auto"/>
              </w:rPr>
            </w:pPr>
            <w:r>
              <w:rPr>
                <w:rFonts w:ascii="Times New Roman" w:cs="Times New Roman" w:eastAsia="Times New Roman" w:hAnsi="Times New Roman"/>
                <w:sz w:val="20"/>
                <w:szCs w:val="20"/>
                <w:color w:val="auto"/>
              </w:rPr>
              <w:t xml:space="preserve">Legacy Awards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4B4B4"/>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19,105</w:t>
            </w:r>
          </w:p>
        </w:tc>
      </w:tr>
      <w:tr>
        <w:trPr>
          <w:trHeight w:val="282"/>
        </w:trPr>
        <w:tc>
          <w:tcPr>
            <w:tcW w:w="5860" w:type="dxa"/>
            <w:vAlign w:val="bottom"/>
          </w:tcPr>
          <w:p>
            <w:pPr>
              <w:jc w:val="right"/>
              <w:spacing w:after="0" w:line="282" w:lineRule="exact"/>
              <w:rPr>
                <w:sz w:val="20"/>
                <w:szCs w:val="20"/>
                <w:color w:val="auto"/>
              </w:rPr>
            </w:pPr>
            <w:r>
              <w:rPr>
                <w:rFonts w:ascii="Times New Roman" w:cs="Times New Roman" w:eastAsia="Times New Roman" w:hAnsi="Times New Roman"/>
                <w:sz w:val="20"/>
                <w:szCs w:val="20"/>
                <w:color w:val="auto"/>
              </w:rPr>
              <w:t xml:space="preserve">Professional Partners Awards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B4B4B4"/>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68,542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61,375</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32,334</w:t>
            </w:r>
          </w:p>
        </w:tc>
      </w:tr>
      <w:tr>
        <w:trPr>
          <w:trHeight w:val="245"/>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Equity-based compensation </w:t>
            </w:r>
            <w:r>
              <w:rPr>
                <w:rFonts w:ascii="Times New Roman" w:cs="Times New Roman" w:eastAsia="Times New Roman" w:hAnsi="Times New Roman"/>
                <w:sz w:val="20"/>
                <w:szCs w:val="20"/>
                <w:color w:val="B4B4B4"/>
                <w:w w:val="99"/>
              </w:rPr>
              <w:t>.............................................................</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182,375</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154,158</w:t>
            </w:r>
          </w:p>
        </w:tc>
        <w:tc>
          <w:tcPr>
            <w:tcW w:w="60" w:type="dxa"/>
            <w:vAlign w:val="bottom"/>
          </w:tcPr>
          <w:p>
            <w:pPr>
              <w:spacing w:after="0"/>
              <w:rPr>
                <w:sz w:val="21"/>
                <w:szCs w:val="21"/>
                <w:color w:val="auto"/>
              </w:rPr>
            </w:pPr>
          </w:p>
        </w:tc>
        <w:tc>
          <w:tcPr>
            <w:tcW w:w="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96,330</w:t>
            </w: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57"/>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Income tax benefit of equity-based awards </w:t>
            </w:r>
            <w:r>
              <w:rPr>
                <w:rFonts w:ascii="Times New Roman" w:cs="Times New Roman" w:eastAsia="Times New Roman" w:hAnsi="Times New Roman"/>
                <w:sz w:val="20"/>
                <w:szCs w:val="20"/>
                <w:color w:val="B4B4B4"/>
                <w:w w:val="99"/>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14,485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10,332</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4,901</w:t>
            </w:r>
          </w:p>
        </w:tc>
      </w:tr>
      <w:tr>
        <w:trPr>
          <w:trHeight w:val="272"/>
        </w:trPr>
        <w:tc>
          <w:tcPr>
            <w:tcW w:w="5860" w:type="dxa"/>
            <w:vAlign w:val="bottom"/>
          </w:tcPr>
          <w:p>
            <w:pPr>
              <w:jc w:val="right"/>
              <w:ind w:right="4402"/>
              <w:spacing w:after="0"/>
              <w:rPr>
                <w:sz w:val="20"/>
                <w:szCs w:val="20"/>
                <w:color w:val="auto"/>
              </w:rPr>
            </w:pPr>
            <w:r>
              <w:rPr>
                <w:rFonts w:ascii="Times New Roman" w:cs="Times New Roman" w:eastAsia="Times New Roman" w:hAnsi="Times New Roman"/>
                <w:sz w:val="16"/>
                <w:szCs w:val="16"/>
                <w:color w:val="auto"/>
                <w:w w:val="98"/>
              </w:rPr>
              <w:t>_________________</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-1843405</wp:posOffset>
            </wp:positionV>
            <wp:extent cx="6324600" cy="1692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6324600" cy="1692275"/>
                    </a:xfrm>
                    <a:prstGeom prst="rect">
                      <a:avLst/>
                    </a:prstGeom>
                    <a:noFill/>
                  </pic:spPr>
                </pic:pic>
              </a:graphicData>
            </a:graphic>
          </wp:anchor>
        </w:drawing>
      </w:r>
    </w:p>
    <w:p>
      <w:pPr>
        <w:ind w:left="370" w:hanging="370"/>
        <w:spacing w:after="0" w:line="260" w:lineRule="auto"/>
        <w:tabs>
          <w:tab w:leader="none" w:pos="37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vesting of these awards does not dilute Perella Weinberg Partners shareholders relative to AdCo Professionals. As such the related equity-based compensation expense is fully attributed to non-controlling interests.</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13—Other Compensation and Benefits</w:t>
      </w:r>
    </w:p>
    <w:p>
      <w:pPr>
        <w:spacing w:after="0" w:line="217"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Compensation and benefits expense consists of salaries, bonuses (discretionary awards and guaranteed amounts), severance, deferred compensation, as well as payroll and related taxes and benefits for the Company’s employees. In all instances, compensation expense is accrued over the requisite service period.</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Deferred Compensation Programs</w:t>
      </w:r>
    </w:p>
    <w:p>
      <w:pPr>
        <w:spacing w:after="0" w:line="219" w:lineRule="exact"/>
        <w:rPr>
          <w:sz w:val="20"/>
          <w:szCs w:val="20"/>
          <w:color w:val="auto"/>
        </w:rPr>
      </w:pPr>
    </w:p>
    <w:p>
      <w:pPr>
        <w:jc w:val="both"/>
        <w:ind w:left="10" w:right="20" w:firstLine="451"/>
        <w:spacing w:after="0" w:line="214" w:lineRule="auto"/>
        <w:rPr>
          <w:sz w:val="20"/>
          <w:szCs w:val="20"/>
          <w:color w:val="auto"/>
        </w:rPr>
      </w:pPr>
      <w:r>
        <w:rPr>
          <w:rFonts w:ascii="Times New Roman" w:cs="Times New Roman" w:eastAsia="Times New Roman" w:hAnsi="Times New Roman"/>
          <w:sz w:val="20"/>
          <w:szCs w:val="20"/>
          <w:color w:val="auto"/>
        </w:rPr>
        <w:t>From time to time, the Company has offered various deferred compensation plans to certain employees. As of December 31, 2023, no deferred compensation liabilities remained outstanding, and as of December 31, 2022, the Company had outstanding deferred compensation of $2.9 million presented within Accrued compensation and benefits on the Consolidated Statements of Financial Condition. During the years ended December 31, 2023 and 2022, $2.9 million and $8.5 million was settled, of which $1.5 million and $2.6 million was settled through a reduction of certain partners’ outstanding promissory notes and interest receivable. Refer to Note 16—Related Party Transactions for more information. During the year ended December 31, 2021, the Company cash settled $7.1 million of deferred compensation liabilities. There were no forfeitures during the years ended December 31, 2023, 2022, and 2021. Compensation expense related to deferred compensation plans was nominal for the years ended December 31, 2023 and 2022, and $1.1 million for the year ended December 31, 2021. Amounts are presented within Compensation and benefits on the Consolidated Statements of Operations.</w:t>
      </w:r>
    </w:p>
    <w:p>
      <w:pPr>
        <w:spacing w:after="0" w:line="1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Benefit Plans</w:t>
      </w:r>
    </w:p>
    <w:p>
      <w:pPr>
        <w:spacing w:after="0" w:line="219" w:lineRule="exact"/>
        <w:rPr>
          <w:sz w:val="20"/>
          <w:szCs w:val="20"/>
          <w:color w:val="auto"/>
        </w:rPr>
      </w:pPr>
    </w:p>
    <w:p>
      <w:pPr>
        <w:jc w:val="both"/>
        <w:ind w:left="10" w:right="20" w:firstLine="360"/>
        <w:spacing w:after="0" w:line="221" w:lineRule="auto"/>
        <w:rPr>
          <w:sz w:val="20"/>
          <w:szCs w:val="20"/>
          <w:color w:val="auto"/>
        </w:rPr>
      </w:pPr>
      <w:r>
        <w:rPr>
          <w:rFonts w:ascii="Times New Roman" w:cs="Times New Roman" w:eastAsia="Times New Roman" w:hAnsi="Times New Roman"/>
          <w:sz w:val="20"/>
          <w:szCs w:val="20"/>
          <w:color w:val="auto"/>
        </w:rPr>
        <w:t>Certain employees participate in employee benefit plans, which consists of defined contribution plans including (i) profit-sharing plans qualified under Section 401(k) of the Internal Revenue Code, (ii) a U.K. pension scheme for U.K. employees and (iii) a German pension plan for employees in Germany. For the years ended December 31, 2023, 2022, and 2021, expenses related to the Company’s employee benefit plans were $6.7 million, $5.8 million, and $5.0 million, respectively, and are included in Compensation and benefits on the Consolidated Statements of Operations.</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910"/>
          </w:cols>
          <w:pgMar w:left="1170" w:top="201" w:right="1160" w:bottom="169"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Realignment</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During the second quarter of 2023, the Company began a review of the business, which resulted in headcount reductions in order to improve compensation alignment and to provide greater flexibility to advance strategic opportunities (the “Business Realignment”). In conjunction with the Business Realignment and for the year ended December 31, 2023, the Company incurred expenses related to separation and transition benefits of $22.2 million, and the acceleration of equity-based compensation amortization (net of forfeitures) of $15.1 million. Such amounts are presented in Compensation and benefits and Equity-based compensation on the Consolidated Statements of Operations, respectively. The Company made payments of $9.1 million during the year ended December 31, 2023, and as of December 31, 2023, Accrued compensation and benefits on the Consolidated Statements of Financial Condition included $12.5 million related to the Business Realignment. Approximately $3.2 million of additional expense is expected to be incurred during the first quarter of 2024. This estimate is based on certain assumptions, and actual results may differ materially if unanticipated costs are incurred related to the Business Realignment.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14—Net Income (Loss) Per Share Attributable to Class A Common Shareholders</w:t>
      </w:r>
    </w:p>
    <w:p>
      <w:pPr>
        <w:spacing w:after="0" w:line="21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Company analyzed the calculation of net income (loss) per share for periods prior to the Business Combination on June 24, 2021 and determined that it resulted in values that would not be meaningful to the users of the consolidated financial statements. Therefore, net income (loss) per share information has not been presented for periods prior to the Business Combination. The basic and diluted net income (loss) per share attributable to Class A common shareholders for the year ended December 31, 2021, as presented on the Consolidated Statements of Operations, represent only the period after the Business Combination to December 31, 2021.</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calculations of basic and diluted net income (loss) per share attributable to Class A common shareholders are presented below:</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For the</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period from</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June 24, 2021</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b w:val="1"/>
                <w:bCs w:val="1"/>
                <w:color w:val="auto"/>
                <w:w w:val="98"/>
              </w:rPr>
              <w:t>through</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Net income (loss) attributable to Perella Weinberg Partners – basic </w:t>
            </w:r>
            <w:r>
              <w:rPr>
                <w:rFonts w:ascii="Times New Roman" w:cs="Times New Roman" w:eastAsia="Times New Roman" w:hAnsi="Times New Roman"/>
                <w:sz w:val="20"/>
                <w:szCs w:val="20"/>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(9,421)</w:t>
            </w:r>
          </w:p>
        </w:tc>
        <w:tc>
          <w:tcPr>
            <w:tcW w:w="0" w:type="dxa"/>
            <w:vAlign w:val="bottom"/>
          </w:tcPr>
          <w:p>
            <w:pPr>
              <w:spacing w:after="0"/>
              <w:rPr>
                <w:sz w:val="1"/>
                <w:szCs w:val="1"/>
                <w:color w:val="auto"/>
              </w:rPr>
            </w:pPr>
          </w:p>
        </w:tc>
      </w:tr>
      <w:tr>
        <w:trPr>
          <w:trHeight w:val="205"/>
        </w:trPr>
        <w:tc>
          <w:tcPr>
            <w:tcW w:w="582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auto"/>
              </w:rPr>
              <w:t>Dilutive effect from assumed exchange of PWP OpCo Units, net of</w:t>
            </w: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(97,775)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(59,197)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(51,904)</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tax </w:t>
            </w:r>
            <w:r>
              <w:rPr>
                <w:rFonts w:ascii="Times New Roman" w:cs="Times New Roman" w:eastAsia="Times New Roman" w:hAnsi="Times New Roman"/>
                <w:sz w:val="20"/>
                <w:szCs w:val="20"/>
                <w:color w:val="B4B4B4"/>
              </w:rPr>
              <w:t>.........................................................................................................</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Net income (loss) attributable to Perella Weinberg Partners – diluted </w:t>
            </w:r>
            <w:r>
              <w:rPr>
                <w:rFonts w:ascii="Times New Roman" w:cs="Times New Roman" w:eastAsia="Times New Roman" w:hAnsi="Times New Roman"/>
                <w:sz w:val="20"/>
                <w:szCs w:val="20"/>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(114,998)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(61,325)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-688340</wp:posOffset>
            </wp:positionV>
            <wp:extent cx="6324600" cy="24066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6324600" cy="240665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47"/>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8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Weighted average shares of Class A common stock outstanding –</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43,273,939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43,837,640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42,595,712</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basic </w:t>
            </w:r>
            <w:r>
              <w:rPr>
                <w:rFonts w:ascii="Times New Roman" w:cs="Times New Roman" w:eastAsia="Times New Roman" w:hAnsi="Times New Roman"/>
                <w:sz w:val="20"/>
                <w:szCs w:val="20"/>
                <w:color w:val="B4B4B4"/>
                <w:w w:val="99"/>
              </w:rPr>
              <w:t>......................................................................................................</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82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auto"/>
              </w:rPr>
              <w:t>Weighted average number of incremental shares from assumed</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43,505,113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45,917,992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50,154,199</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exchange of PWP OpCo Units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line="184" w:lineRule="exact"/>
              <w:rPr>
                <w:sz w:val="20"/>
                <w:szCs w:val="20"/>
                <w:color w:val="auto"/>
              </w:rPr>
            </w:pPr>
            <w:r>
              <w:rPr>
                <w:rFonts w:ascii="Times New Roman" w:cs="Times New Roman" w:eastAsia="Times New Roman" w:hAnsi="Times New Roman"/>
                <w:sz w:val="20"/>
                <w:szCs w:val="20"/>
                <w:color w:val="auto"/>
              </w:rPr>
              <w:t>Weighted average shares of Class A common stock outstanding –</w:t>
            </w: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86,779,052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89,755,632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92,749,911</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diluted</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line="202" w:lineRule="exact"/>
              <w:rPr>
                <w:sz w:val="20"/>
                <w:szCs w:val="20"/>
                <w:color w:val="auto"/>
              </w:rPr>
            </w:pPr>
            <w:r>
              <w:rPr>
                <w:rFonts w:ascii="Times New Roman" w:cs="Times New Roman" w:eastAsia="Times New Roman" w:hAnsi="Times New Roman"/>
                <w:sz w:val="20"/>
                <w:szCs w:val="20"/>
                <w:b w:val="1"/>
                <w:bCs w:val="1"/>
                <w:color w:val="auto"/>
              </w:rPr>
              <w:t>Net income (loss) per share attributable to Class A common</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(0.66)</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Basic and diluted net income (loss) per share attributable to Class B common shareholders has not been presented as these shares are entitled to an insignificant amount of economic participation.</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00"/>
          </w:cols>
          <w:pgMar w:left="1180" w:top="201" w:right="1160" w:bottom="169" w:gutter="0" w:footer="0" w:header="0"/>
          <w:type w:val="continuous"/>
        </w:sectPr>
      </w:pPr>
    </w:p>
    <w:bookmarkStart w:id="71" w:name="page72"/>
    <w:bookmarkEnd w:id="71"/>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left="10" w:right="20" w:firstLine="360"/>
        <w:spacing w:after="0" w:line="215" w:lineRule="auto"/>
        <w:rPr>
          <w:sz w:val="20"/>
          <w:szCs w:val="20"/>
          <w:color w:val="auto"/>
        </w:rPr>
      </w:pPr>
      <w:r>
        <w:rPr>
          <w:rFonts w:ascii="Times New Roman" w:cs="Times New Roman" w:eastAsia="Times New Roman" w:hAnsi="Times New Roman"/>
          <w:sz w:val="20"/>
          <w:szCs w:val="20"/>
          <w:color w:val="auto"/>
        </w:rPr>
        <w:t>The Company uses the treasury stock method to determine the potential dilutive effect of unvested PWP Incentive Plan Awards and outstanding warrants (prior to the Warrant Exchange Offer)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 To the extent the warrants were dilutive prior to the Warrant Exchange Offer, the Company adjusted the net income (loss) attributable to Class A common shareholders under the treasury stock method to reverse the effect on earnings of classifying the warrants as liabilities. All adjustments are presented net of any tax impact.</w:t>
      </w:r>
    </w:p>
    <w:p>
      <w:pPr>
        <w:spacing w:after="0" w:line="186"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20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 the</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period from</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June 24, 2021</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26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through</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2660" w:type="dxa"/>
            <w:vAlign w:val="bottom"/>
            <w:tcBorders>
              <w:bottom w:val="single" w:sz="8" w:color="auto"/>
            </w:tcBorders>
            <w:gridSpan w:val="3"/>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66"/>
        </w:trPr>
        <w:tc>
          <w:tcPr>
            <w:tcW w:w="5820" w:type="dxa"/>
            <w:vAlign w:val="bottom"/>
          </w:tcPr>
          <w:p>
            <w:pPr>
              <w:jc w:val="right"/>
              <w:spacing w:after="0" w:line="266" w:lineRule="exact"/>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Warrants</w:t>
            </w:r>
            <w:r>
              <w:rPr>
                <w:rFonts w:ascii="Times New Roman" w:cs="Times New Roman" w:eastAsia="Times New Roman" w:hAnsi="Times New Roman"/>
                <w:sz w:val="26"/>
                <w:szCs w:val="26"/>
                <w:color w:val="000000"/>
                <w:vertAlign w:val="superscript"/>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1,029,210</w:t>
            </w:r>
          </w:p>
        </w:tc>
        <w:tc>
          <w:tcPr>
            <w:tcW w:w="0" w:type="dxa"/>
            <w:vAlign w:val="bottom"/>
          </w:tcPr>
          <w:p>
            <w:pPr>
              <w:spacing w:after="0"/>
              <w:rPr>
                <w:sz w:val="1"/>
                <w:szCs w:val="1"/>
                <w:color w:val="auto"/>
              </w:rPr>
            </w:pP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PWP Incentive Plan Awards </w:t>
            </w:r>
            <w:r>
              <w:rPr>
                <w:rFonts w:ascii="Times New Roman" w:cs="Times New Roman" w:eastAsia="Times New Roman" w:hAnsi="Times New Roman"/>
                <w:sz w:val="20"/>
                <w:szCs w:val="20"/>
                <w:color w:val="B4B4B4"/>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2,186,189</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369,413</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275,453</w:t>
            </w:r>
          </w:p>
        </w:tc>
        <w:tc>
          <w:tcPr>
            <w:tcW w:w="0" w:type="dxa"/>
            <w:vAlign w:val="bottom"/>
          </w:tcPr>
          <w:p>
            <w:pPr>
              <w:spacing w:after="0"/>
              <w:rPr>
                <w:sz w:val="1"/>
                <w:szCs w:val="1"/>
                <w:color w:val="auto"/>
              </w:rPr>
            </w:pPr>
          </w:p>
        </w:tc>
      </w:tr>
      <w:tr>
        <w:trPr>
          <w:trHeight w:val="227"/>
        </w:trPr>
        <w:tc>
          <w:tcPr>
            <w:tcW w:w="58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99"/>
              </w:rPr>
              <w:t xml:space="preserve">Total </w:t>
            </w:r>
            <w:r>
              <w:rPr>
                <w:rFonts w:ascii="Times New Roman" w:cs="Times New Roman" w:eastAsia="Times New Roman" w:hAnsi="Times New Roman"/>
                <w:sz w:val="20"/>
                <w:szCs w:val="20"/>
                <w:color w:val="B4B4B4"/>
                <w:w w:val="99"/>
              </w:rPr>
              <w:t>..........................................................................................................</w:t>
            </w:r>
          </w:p>
        </w:tc>
        <w:tc>
          <w:tcPr>
            <w:tcW w:w="13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2,186,189</w:t>
            </w:r>
          </w:p>
        </w:tc>
        <w:tc>
          <w:tcPr>
            <w:tcW w:w="136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369,413</w:t>
            </w:r>
          </w:p>
        </w:tc>
        <w:tc>
          <w:tcPr>
            <w:tcW w:w="13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1,304,663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24600" cy="593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jc w:val="both"/>
        <w:ind w:left="370" w:hanging="370"/>
        <w:spacing w:after="0" w:line="255" w:lineRule="auto"/>
        <w:tabs>
          <w:tab w:leader="none" w:pos="37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Warrant Exchange Offer on August 23, 2022, the warrants were out-of-the-money which resulted in no potentially dilutive shares under the treasury stock method. For the year ended December 31, 2023, the warrants were not outstanding, and thus they are not applicable. Refer to Note 11—Stockholders’ Equity for further information regarding the Warrant Exchange Offer.</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15—Fair Value Measurements and Investments</w:t>
      </w:r>
    </w:p>
    <w:p>
      <w:pPr>
        <w:spacing w:after="0" w:line="217" w:lineRule="exact"/>
        <w:rPr>
          <w:sz w:val="20"/>
          <w:szCs w:val="20"/>
          <w:color w:val="auto"/>
        </w:rPr>
      </w:pPr>
    </w:p>
    <w:p>
      <w:pPr>
        <w:jc w:val="both"/>
        <w:ind w:left="10" w:firstLine="360"/>
        <w:spacing w:after="0" w:line="215" w:lineRule="auto"/>
        <w:rPr>
          <w:sz w:val="20"/>
          <w:szCs w:val="20"/>
          <w:color w:val="auto"/>
        </w:rPr>
      </w:pPr>
      <w:r>
        <w:rPr>
          <w:rFonts w:ascii="Times New Roman" w:cs="Times New Roman" w:eastAsia="Times New Roman" w:hAnsi="Times New Roman"/>
          <w:sz w:val="20"/>
          <w:szCs w:val="20"/>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86" w:lineRule="exact"/>
        <w:rPr>
          <w:sz w:val="20"/>
          <w:szCs w:val="20"/>
          <w:color w:val="auto"/>
        </w:rPr>
      </w:pPr>
    </w:p>
    <w:p>
      <w:pPr>
        <w:jc w:val="both"/>
        <w:ind w:left="10" w:right="20" w:firstLine="360"/>
        <w:spacing w:after="0"/>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in one of the following categories (from highest to lowest) based on inputs:</w:t>
      </w:r>
    </w:p>
    <w:p>
      <w:pPr>
        <w:spacing w:after="0" w:line="180" w:lineRule="exact"/>
        <w:rPr>
          <w:sz w:val="20"/>
          <w:szCs w:val="20"/>
          <w:color w:val="auto"/>
        </w:rPr>
      </w:pPr>
    </w:p>
    <w:p>
      <w:pPr>
        <w:ind w:left="730" w:right="400"/>
        <w:spacing w:after="0"/>
        <w:rPr>
          <w:sz w:val="20"/>
          <w:szCs w:val="20"/>
          <w:color w:val="auto"/>
        </w:rPr>
      </w:pPr>
      <w:r>
        <w:rPr>
          <w:rFonts w:ascii="Times New Roman" w:cs="Times New Roman" w:eastAsia="Times New Roman" w:hAnsi="Times New Roman"/>
          <w:sz w:val="20"/>
          <w:szCs w:val="20"/>
          <w:color w:val="auto"/>
        </w:rPr>
        <w:t>Level 1—Unadjusted quoted prices are available in active markets for identical financial instruments as of the reporting date.</w:t>
      </w:r>
    </w:p>
    <w:p>
      <w:pPr>
        <w:spacing w:after="0" w:line="180" w:lineRule="exact"/>
        <w:rPr>
          <w:sz w:val="20"/>
          <w:szCs w:val="20"/>
          <w:color w:val="auto"/>
        </w:rPr>
      </w:pPr>
    </w:p>
    <w:p>
      <w:pPr>
        <w:ind w:left="730" w:right="140"/>
        <w:spacing w:after="0" w:line="229" w:lineRule="auto"/>
        <w:rPr>
          <w:sz w:val="20"/>
          <w:szCs w:val="20"/>
          <w:color w:val="auto"/>
        </w:rPr>
      </w:pPr>
      <w:r>
        <w:rPr>
          <w:rFonts w:ascii="Times New Roman" w:cs="Times New Roman" w:eastAsia="Times New Roman" w:hAnsi="Times New Roman"/>
          <w:sz w:val="20"/>
          <w:szCs w:val="20"/>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82" w:lineRule="exact"/>
        <w:rPr>
          <w:sz w:val="20"/>
          <w:szCs w:val="20"/>
          <w:color w:val="auto"/>
        </w:rPr>
      </w:pPr>
    </w:p>
    <w:p>
      <w:pPr>
        <w:ind w:left="730" w:right="120"/>
        <w:spacing w:after="0" w:line="229" w:lineRule="auto"/>
        <w:rPr>
          <w:sz w:val="20"/>
          <w:szCs w:val="20"/>
          <w:color w:val="auto"/>
        </w:rPr>
      </w:pPr>
      <w:r>
        <w:rPr>
          <w:rFonts w:ascii="Times New Roman" w:cs="Times New Roman" w:eastAsia="Times New Roman" w:hAnsi="Times New Roman"/>
          <w:sz w:val="20"/>
          <w:szCs w:val="20"/>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2" w:lineRule="exact"/>
        <w:rPr>
          <w:sz w:val="20"/>
          <w:szCs w:val="20"/>
          <w:color w:val="auto"/>
        </w:rPr>
      </w:pPr>
    </w:p>
    <w:p>
      <w:pPr>
        <w:jc w:val="both"/>
        <w:ind w:left="10" w:firstLine="360"/>
        <w:spacing w:after="0" w:line="221"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81" w:lineRule="exact"/>
        <w:rPr>
          <w:sz w:val="20"/>
          <w:szCs w:val="20"/>
          <w:color w:val="auto"/>
        </w:rPr>
      </w:pPr>
    </w:p>
    <w:p>
      <w:pPr>
        <w:jc w:val="both"/>
        <w:ind w:left="10" w:right="20" w:firstLine="360"/>
        <w:spacing w:after="0" w:line="225" w:lineRule="auto"/>
        <w:rPr>
          <w:sz w:val="20"/>
          <w:szCs w:val="20"/>
          <w:color w:val="auto"/>
        </w:rPr>
      </w:pPr>
      <w:r>
        <w:rPr>
          <w:rFonts w:ascii="Times New Roman" w:cs="Times New Roman" w:eastAsia="Times New Roman" w:hAnsi="Times New Roman"/>
          <w:sz w:val="20"/>
          <w:szCs w:val="20"/>
          <w:color w:val="auto"/>
        </w:rPr>
        <w:t>As of December 31, 2023 and 2022, the fair values of cash, restricted cash, accounts receivable, due from related parties, accounts payable and certain accrued liabilities approximate their carrying amounts due to the short-term nature of these items.</w:t>
      </w:r>
    </w:p>
    <w:p>
      <w:pPr>
        <w:sectPr>
          <w:pgSz w:w="12240" w:h="15840" w:orient="portrait"/>
          <w:cols w:equalWidth="0" w:num="1">
            <w:col w:w="9910"/>
          </w:cols>
          <w:pgMar w:left="1170" w:top="201" w:right="1160" w:bottom="147" w:gutter="0" w:footer="0" w:header="0"/>
        </w:sectPr>
      </w:pPr>
    </w:p>
    <w:p>
      <w:pPr>
        <w:spacing w:after="0" w:line="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10"/>
          </w:cols>
          <w:pgMar w:left="1170" w:top="201" w:right="1160" w:bottom="147" w:gutter="0" w:footer="0" w:header="0"/>
          <w:type w:val="continuous"/>
        </w:sectPr>
      </w:pPr>
    </w:p>
    <w:bookmarkStart w:id="72" w:name="page73"/>
    <w:bookmarkEnd w:id="72"/>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19" w:lineRule="exact"/>
        <w:rPr>
          <w:sz w:val="20"/>
          <w:szCs w:val="20"/>
          <w:color w:val="auto"/>
        </w:rPr>
      </w:pPr>
    </w:p>
    <w:p>
      <w:pPr>
        <w:ind w:left="10" w:right="20" w:firstLine="360"/>
        <w:spacing w:after="0"/>
        <w:rPr>
          <w:sz w:val="20"/>
          <w:szCs w:val="20"/>
          <w:color w:val="auto"/>
        </w:rPr>
      </w:pPr>
      <w:r>
        <w:rPr>
          <w:rFonts w:ascii="Times New Roman" w:cs="Times New Roman" w:eastAsia="Times New Roman" w:hAnsi="Times New Roman"/>
          <w:sz w:val="20"/>
          <w:szCs w:val="20"/>
          <w:color w:val="auto"/>
        </w:rPr>
        <w:t>The following table summarizes the categorization and fair value estimate of the Company’s financial instruments that are measured on a recurring basis pursuant to the above fair value hierarchy levels as of December 31, 2023 and 2022:</w:t>
      </w:r>
    </w:p>
    <w:p>
      <w:pPr>
        <w:spacing w:after="0" w:line="24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4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3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3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asset</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446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U.S. Treasury securities</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91,174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91,174</w:t>
            </w:r>
          </w:p>
        </w:tc>
        <w:tc>
          <w:tcPr>
            <w:tcW w:w="0" w:type="dxa"/>
            <w:vAlign w:val="bottom"/>
          </w:tcPr>
          <w:p>
            <w:pPr>
              <w:spacing w:after="0"/>
              <w:rPr>
                <w:sz w:val="1"/>
                <w:szCs w:val="1"/>
                <w:color w:val="auto"/>
              </w:rPr>
            </w:pPr>
          </w:p>
        </w:tc>
      </w:tr>
      <w:tr>
        <w:trPr>
          <w:trHeight w:val="565"/>
        </w:trPr>
        <w:tc>
          <w:tcPr>
            <w:tcW w:w="4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3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8"/>
        </w:trPr>
        <w:tc>
          <w:tcPr>
            <w:tcW w:w="4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446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U.S. Treasury securities</w:t>
            </w:r>
            <w:r>
              <w:rPr>
                <w:rFonts w:ascii="Times New Roman" w:cs="Times New Roman" w:eastAsia="Times New Roman" w:hAnsi="Times New Roman"/>
                <w:sz w:val="26"/>
                <w:szCs w:val="26"/>
                <w:color w:val="auto"/>
                <w:w w:val="99"/>
                <w:vertAlign w:val="superscript"/>
              </w:rPr>
              <w:t>(2)</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140,110</w:t>
            </w:r>
          </w:p>
        </w:tc>
        <w:tc>
          <w:tcPr>
            <w:tcW w:w="106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140,110</w:t>
            </w:r>
          </w:p>
        </w:tc>
        <w:tc>
          <w:tcPr>
            <w:tcW w:w="0" w:type="dxa"/>
            <w:vAlign w:val="bottom"/>
          </w:tcPr>
          <w:p>
            <w:pPr>
              <w:spacing w:after="0"/>
              <w:rPr>
                <w:sz w:val="1"/>
                <w:szCs w:val="1"/>
                <w:color w:val="auto"/>
              </w:rPr>
            </w:pPr>
          </w:p>
        </w:tc>
      </w:tr>
      <w:tr>
        <w:trPr>
          <w:trHeight w:val="200"/>
        </w:trPr>
        <w:tc>
          <w:tcPr>
            <w:tcW w:w="446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Cash surrender value of company-owned life</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488</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488</w:t>
            </w:r>
          </w:p>
        </w:tc>
        <w:tc>
          <w:tcPr>
            <w:tcW w:w="0" w:type="dxa"/>
            <w:vAlign w:val="bottom"/>
          </w:tcPr>
          <w:p>
            <w:pPr>
              <w:spacing w:after="0"/>
              <w:rPr>
                <w:sz w:val="1"/>
                <w:szCs w:val="1"/>
                <w:color w:val="auto"/>
              </w:rPr>
            </w:pPr>
          </w:p>
        </w:tc>
      </w:tr>
      <w:tr>
        <w:trPr>
          <w:trHeight w:val="261"/>
        </w:trPr>
        <w:tc>
          <w:tcPr>
            <w:tcW w:w="44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insurance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Totalfinancialassets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140,598</w:t>
            </w:r>
          </w:p>
        </w:tc>
        <w:tc>
          <w:tcPr>
            <w:tcW w:w="106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140,598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-1628140</wp:posOffset>
            </wp:positionV>
            <wp:extent cx="6311900" cy="206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-688340</wp:posOffset>
            </wp:positionV>
            <wp:extent cx="6324600" cy="708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extLst>
                    </a:blip>
                    <a:srcRect/>
                    <a:stretch>
                      <a:fillRect/>
                    </a:stretch>
                  </pic:blipFill>
                  <pic:spPr bwMode="auto">
                    <a:xfrm>
                      <a:off x="0" y="0"/>
                      <a:ext cx="6324600" cy="70802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U.S. Treasury bills and notes that mature on various dates in January 2024</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U.S. Treasury notes that matured on January 31, 2023.</w:t>
      </w:r>
    </w:p>
    <w:p>
      <w:pPr>
        <w:spacing w:after="0" w:line="220"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Company had no transfers between fair value levels during each of the years ended December 31, 2023 and 2022.</w:t>
      </w:r>
    </w:p>
    <w:p>
      <w:pPr>
        <w:spacing w:after="0" w:line="210" w:lineRule="exact"/>
        <w:rPr>
          <w:sz w:val="20"/>
          <w:szCs w:val="20"/>
          <w:color w:val="auto"/>
        </w:rPr>
      </w:pPr>
    </w:p>
    <w:p>
      <w:pPr>
        <w:jc w:val="both"/>
        <w:ind w:left="10" w:firstLine="360"/>
        <w:spacing w:after="0" w:line="216" w:lineRule="auto"/>
        <w:rPr>
          <w:sz w:val="20"/>
          <w:szCs w:val="20"/>
          <w:color w:val="auto"/>
        </w:rPr>
      </w:pPr>
      <w:r>
        <w:rPr>
          <w:rFonts w:ascii="Times New Roman" w:cs="Times New Roman" w:eastAsia="Times New Roman" w:hAnsi="Times New Roman"/>
          <w:sz w:val="20"/>
          <w:szCs w:val="20"/>
          <w:color w:val="auto"/>
        </w:rPr>
        <w:t>The Company’s investment in U.S. Treasury securities is presented within Investments in short-term marketable debt securities on the Consolidated Statements of Financial Condition, and the aggregate cost basis of the investment was $89.3 million and $139.2 million as of December 31, 2023 and December 31, 2022, respectively. The Company had net realized and unrealized gains (losses) on these investments of $2.7 million and $1.4 million for the years ended December 31, 2023 and 2022, respectively. The cash surrender value of company-owned life insurance was included in Prepaid expenses and other assets on the Consolidated Statements of Financial Condition at the amount that could be realized under the contract as of December 31, 2022, which approximated fair value. The final cash distribution from the policy was received during the year ended December 31, 2023.</w:t>
      </w:r>
    </w:p>
    <w:p>
      <w:pPr>
        <w:spacing w:after="0" w:line="184" w:lineRule="exact"/>
        <w:rPr>
          <w:sz w:val="20"/>
          <w:szCs w:val="20"/>
          <w:color w:val="auto"/>
        </w:rPr>
      </w:pPr>
    </w:p>
    <w:p>
      <w:pPr>
        <w:jc w:val="both"/>
        <w:ind w:left="10" w:firstLine="360"/>
        <w:spacing w:after="0" w:line="219" w:lineRule="auto"/>
        <w:rPr>
          <w:sz w:val="20"/>
          <w:szCs w:val="20"/>
          <w:color w:val="auto"/>
        </w:rPr>
      </w:pPr>
      <w:r>
        <w:rPr>
          <w:rFonts w:ascii="Times New Roman" w:cs="Times New Roman" w:eastAsia="Times New Roman" w:hAnsi="Times New Roman"/>
          <w:sz w:val="20"/>
          <w:szCs w:val="20"/>
          <w:color w:val="auto"/>
        </w:rPr>
        <w:t>On December 13, 2022, the Company wrote off its equity method investment in PFAC Holdings I LLC (“PFAC Holdings”), an indirect parent of PWP Forward Acquisition Corp. I (“PFAC”), a special purpose acquisition company. During the year ended December 31, 2022, the Company recorded a $1.3 million net loss from its share of PFAC earnings net of the investment write off, and during the year ended December 31, 2021, the Company recorded a $0.4 million net gain from its share of PFAC earnings. Such amounts are reported in Other income (expense) on the Consolidated Statements of Operations.</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16—Related Party Transactions</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PWP Capital Holdings LP</w:t>
      </w:r>
    </w:p>
    <w:p>
      <w:pPr>
        <w:spacing w:after="0" w:line="219" w:lineRule="exact"/>
        <w:rPr>
          <w:sz w:val="20"/>
          <w:szCs w:val="20"/>
          <w:color w:val="auto"/>
        </w:rPr>
      </w:pPr>
    </w:p>
    <w:p>
      <w:pPr>
        <w:jc w:val="both"/>
        <w:ind w:left="10" w:firstLine="360"/>
        <w:spacing w:after="0" w:line="216" w:lineRule="auto"/>
        <w:rPr>
          <w:sz w:val="20"/>
          <w:szCs w:val="20"/>
          <w:color w:val="auto"/>
        </w:rPr>
      </w:pPr>
      <w:r>
        <w:rPr>
          <w:rFonts w:ascii="Times New Roman" w:cs="Times New Roman" w:eastAsia="Times New Roman" w:hAnsi="Times New Roman"/>
          <w:sz w:val="20"/>
          <w:szCs w:val="20"/>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former advisory business and (ii) PWP Capital Holdings LP (“Capital Holdings”), which holds the former asset management business. In connection with the Separation, the Company entered into a transition services agreement (the “TSA”) with Capital Holdings under which the Company agreed to provide certain administrative services to Capital Holdings. The TSA was terminated as of January 1, 2024. The Company also subleased certain portions of its office space to Capital Holdings through October 2023. Amounts due from Capital Holdings are reflected as Due from related parties on the Consolidated Statements of Financial Condition.</w:t>
      </w:r>
    </w:p>
    <w:p>
      <w:pPr>
        <w:spacing w:after="0" w:line="184" w:lineRule="exact"/>
        <w:rPr>
          <w:sz w:val="20"/>
          <w:szCs w:val="20"/>
          <w:color w:val="auto"/>
        </w:rPr>
      </w:pPr>
    </w:p>
    <w:p>
      <w:pPr>
        <w:jc w:val="both"/>
        <w:ind w:left="10" w:firstLine="360"/>
        <w:spacing w:after="0" w:line="221" w:lineRule="auto"/>
        <w:rPr>
          <w:sz w:val="20"/>
          <w:szCs w:val="20"/>
          <w:color w:val="auto"/>
        </w:rPr>
      </w:pPr>
      <w:r>
        <w:rPr>
          <w:rFonts w:ascii="Times New Roman" w:cs="Times New Roman" w:eastAsia="Times New Roman" w:hAnsi="Times New Roman"/>
          <w:sz w:val="20"/>
          <w:szCs w:val="20"/>
          <w:color w:val="auto"/>
        </w:rPr>
        <w:t>Separately, Capital Holdings entered into an arrangement with certain employees of the Company, including members of management, related to services provided directly to Capital Holdings. With respect to services provided to Capital Holdings, the amounts paid and payable to such employees now and in the future are recognized by Capital Holdings. All compensation related to services these employees provide to the Company are included in Compensation and benefits on the Consolidated Statements of Operations.</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10"/>
          </w:cols>
          <w:pgMar w:left="1170" w:top="201" w:right="1160" w:bottom="169"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following table shows the components of income from Capital Holdings reported within Related party income on the Consolidated Statements of Operations for the periods presented.</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TSA income – Compensation related </w:t>
            </w:r>
            <w:r>
              <w:rPr>
                <w:rFonts w:ascii="Times New Roman" w:cs="Times New Roman" w:eastAsia="Times New Roman" w:hAnsi="Times New Roman"/>
                <w:sz w:val="20"/>
                <w:szCs w:val="20"/>
                <w:color w:val="B4B4B4"/>
              </w:rPr>
              <w:t>.......................................................</w:t>
            </w:r>
          </w:p>
        </w:tc>
        <w:tc>
          <w:tcPr>
            <w:tcW w:w="86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3,165</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TSA income – Non-compensation related </w:t>
            </w:r>
            <w:r>
              <w:rPr>
                <w:rFonts w:ascii="Times New Roman" w:cs="Times New Roman" w:eastAsia="Times New Roman" w:hAnsi="Times New Roman"/>
                <w:sz w:val="20"/>
                <w:szCs w:val="20"/>
                <w:color w:val="B4B4B4"/>
              </w:rPr>
              <w:t>................................................</w:t>
            </w:r>
          </w:p>
        </w:tc>
        <w:tc>
          <w:tcPr>
            <w:tcW w:w="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Sublease income </w:t>
            </w:r>
            <w:r>
              <w:rPr>
                <w:rFonts w:ascii="Times New Roman" w:cs="Times New Roman" w:eastAsia="Times New Roman" w:hAnsi="Times New Roman"/>
                <w:sz w:val="20"/>
                <w:szCs w:val="20"/>
                <w:color w:val="B4B4B4"/>
                <w:w w:val="99"/>
              </w:rPr>
              <w:t>........................................................................................</w:t>
            </w: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2,957</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Total income from PWP Capital Holdings LP </w:t>
            </w:r>
            <w:r>
              <w:rPr>
                <w:rFonts w:ascii="Times New Roman" w:cs="Times New Roman" w:eastAsia="Times New Roman" w:hAnsi="Times New Roman"/>
                <w:sz w:val="20"/>
                <w:szCs w:val="20"/>
                <w:color w:val="B4B4B4"/>
                <w:w w:val="99"/>
              </w:rPr>
              <w:t>..........................................</w:t>
            </w:r>
          </w:p>
        </w:tc>
        <w:tc>
          <w:tcPr>
            <w:tcW w:w="86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6,781</w:t>
            </w:r>
          </w:p>
        </w:tc>
      </w:tr>
      <w:tr>
        <w:trPr>
          <w:trHeight w:val="20"/>
        </w:trPr>
        <w:tc>
          <w:tcPr>
            <w:tcW w:w="5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December 31, 2023, the Company had an amount due of $30.9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Consolidated Statements of Financial Condition. The Company expects to make the following payments with respect to the tax receivable agreement, which are exclusive of potential payments in respect of future exchanges and may differ significantly from actual payments made:</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880" w:type="dxa"/>
            <w:vAlign w:val="bottom"/>
          </w:tcPr>
          <w:p>
            <w:pPr>
              <w:spacing w:after="0"/>
              <w:rPr>
                <w:sz w:val="22"/>
                <w:szCs w:val="22"/>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Estimated Payments</w:t>
            </w:r>
          </w:p>
        </w:tc>
      </w:tr>
      <w:tr>
        <w:trPr>
          <w:trHeight w:val="260"/>
        </w:trPr>
        <w:tc>
          <w:tcPr>
            <w:tcW w:w="7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Under Tax</w:t>
            </w:r>
          </w:p>
        </w:tc>
      </w:tr>
      <w:tr>
        <w:trPr>
          <w:trHeight w:val="260"/>
        </w:trPr>
        <w:tc>
          <w:tcPr>
            <w:tcW w:w="7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Receivable</w:t>
            </w:r>
          </w:p>
        </w:tc>
      </w:tr>
      <w:tr>
        <w:trPr>
          <w:trHeight w:val="276"/>
        </w:trPr>
        <w:tc>
          <w:tcPr>
            <w:tcW w:w="7880" w:type="dxa"/>
            <w:vAlign w:val="bottom"/>
          </w:tcPr>
          <w:p>
            <w:pPr>
              <w:jc w:val="right"/>
              <w:ind w:right="6540"/>
              <w:spacing w:after="0"/>
              <w:rPr>
                <w:sz w:val="20"/>
                <w:szCs w:val="20"/>
                <w:color w:val="auto"/>
              </w:rPr>
            </w:pPr>
            <w:r>
              <w:rPr>
                <w:rFonts w:ascii="Times New Roman" w:cs="Times New Roman" w:eastAsia="Times New Roman" w:hAnsi="Times New Roman"/>
                <w:sz w:val="20"/>
                <w:szCs w:val="20"/>
                <w:b w:val="1"/>
                <w:bCs w:val="1"/>
                <w:color w:val="auto"/>
                <w:w w:val="98"/>
              </w:rPr>
              <w:t>Years Ending:</w:t>
            </w: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Agreement</w:t>
            </w:r>
          </w:p>
        </w:tc>
      </w:tr>
      <w:tr>
        <w:trPr>
          <w:trHeight w:val="26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2024</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1,105</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2025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2026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2027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2028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1,774</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Thereafter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23,187</w:t>
            </w:r>
          </w:p>
        </w:tc>
      </w:tr>
      <w:tr>
        <w:trPr>
          <w:trHeight w:val="248"/>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Totalpayments</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30,928</w:t>
            </w:r>
          </w:p>
        </w:tc>
      </w:tr>
      <w:tr>
        <w:trPr>
          <w:trHeight w:val="20"/>
        </w:trPr>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Partner Promissory Notes and Other Partner Loans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and are primarily secured by the partner’s equity interests in PWP OpCo or one of its affiliates. As the Partner Promissory Notes and associated interest receivable relate to equity transactions, they have been recognized as a reduction of equity on the Consolidated Statements of Financial Condition in the amounts of $2.1 million and $3.5 million as of December 31, 2023 and 2022, respectively.</w:t>
      </w:r>
    </w:p>
    <w:p>
      <w:pPr>
        <w:spacing w:after="0" w:line="184"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In November 2021, PWP OpCo agreed to provide loans to certain partners. As of December 31, 2023 and 2022, $3.5 million and $3.4 million, respectively of outstanding loans to certain partners and related interest receivable are recognized in Due from related parties on the Consolidated Statements of Financial Condition.</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900"/>
          </w:cols>
          <w:pgMar w:left="1180" w:top="201" w:right="1160" w:bottom="169"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Related Party Transactions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 February 2022, the Company paid $0.5 million to an entity controlled by a member of the Board of Directors to reimburse a portion of expenses incurred by that entity in connection with the joint pursuit of a potential investment opportunity.</w:t>
      </w:r>
    </w:p>
    <w:p>
      <w:pPr>
        <w:spacing w:after="0" w:line="182"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During the year ended December 31, 2021, the Company earned an advisory fee of $0.6 million from PFAC, a subsidiary of an equity method investee. On December 13, 2022, PFAC was dissolved and the Company wrote off its equity method investment.</w:t>
      </w:r>
    </w:p>
    <w:p>
      <w:pPr>
        <w:spacing w:after="0" w:line="182"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During the year ended December 31, 2021, the Company earned $3.1 million in advisory fees from entities controlled by a member of the Board of Directors, which are included in Revenues on the Consolidated Statements of Operations.</w:t>
      </w:r>
    </w:p>
    <w:p>
      <w:pPr>
        <w:spacing w:after="0" w:line="180"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The Company’s U.K. subsidiary, Perella Weinberg UK Limited, as well as Professional Partners (and its successors, by division, merger or otherwise) and certain partners (including one partner who serves as a Company director and president) are party to a reimbursement agreement, pursuant to which such partners directed Professional Partners (and its successors, by division, merger or otherwise) to pay distributions related to certain of their Professional Partners Awards first to a subsidiary of the Company, so that the subsidiary can make employment income tax payments on such distributions to the appropriate non-U.S.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Guarantees</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As of December 31, 2023, the Company had no outstanding loan guarantees. Prior to December 31, 2023, the Company unconditionally guaranteed certain of its partners’ loans with First Republic Bank (“Lender”) whereby it promised to pay the Lender upon the occurrence of a default event. The total guarantees related to partners was $1.6 million as of December 31, 2022, and no loans were in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Indemnifications</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Company enters into certain contracts that contain a variety of indemnification provisions. The Company’s maximum exposure under these arrangements is unknown. As of December 31, 2023 and 2022, the Company expects no claims or losses pursuant to these contracts; therefore, no liability has been recorded related to these indemnification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Contingencies</w:t>
      </w:r>
    </w:p>
    <w:p>
      <w:pPr>
        <w:spacing w:after="0" w:line="21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2023 and 2022 and for the years ended December 31, 2023, 2022, and 2021.</w:t>
      </w:r>
    </w:p>
    <w:p>
      <w:pPr>
        <w:spacing w:after="0" w:line="181"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contractual and fiduciary breaches and from Defendants’ unfair competition and tortious interference with the PWP Plaintiffs’ contracts and client relationships.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0"/>
          </w:cols>
          <w:pgMar w:left="1180" w:top="201" w:right="1160" w:bottom="169"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firstLine="427"/>
        <w:spacing w:after="0" w:line="213" w:lineRule="auto"/>
        <w:rPr>
          <w:sz w:val="20"/>
          <w:szCs w:val="20"/>
          <w:color w:val="auto"/>
        </w:rPr>
      </w:pPr>
      <w:r>
        <w:rPr>
          <w:rFonts w:ascii="Times New Roman" w:cs="Times New Roman" w:eastAsia="Times New Roman" w:hAnsi="Times New Roman"/>
          <w:sz w:val="20"/>
          <w:szCs w:val="20"/>
          <w:color w:val="auto"/>
        </w:rPr>
        <w:t>On November 9, 2015, the Defendants filed an Answer, Counterclaims, Cross-claims and a Third-Party Complaint, which contained 14 causes of action. On July 17, 2016, the Court issued a decision, dismissing half of the Defendants’ - claims with prejudice. On August 18, 2016, the Defendants filed an Amended Answer, Counterclaims, Cross-claims and Third-Party Complaint, with seven counterclaims and cross-claims to the New York Appellate Division, First Department (the “First Department”). On August 29, 2017, the First Department issued a decision denying the Defendants’ appeal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On April 24, 2018, the Defendants filed a Second Amended Answer, Counterclaims, Cross-claims and Third-Party Complaint, which contains eight counterclaims and cross-claims. Defendants are seeking declaratory relief and damages of no less than $60.0 million, as well as statutory interest. In addition, on January 19, 2022, Defendants filed a motion for leave to renew their New York Labor Law counterclaim that the Court dismissed in 2016. On June 30, 2023, the Court issued a decision denying Defendants’ motion for leave. On January 29, 2024, Defendants filed an opening brief in the First Department appealing the June 30, 2023 decision denying their motion for leave.</w:t>
      </w:r>
    </w:p>
    <w:p>
      <w:pPr>
        <w:spacing w:after="0" w:line="183"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After the completion of discovery, both the PWP Plaintiffs and the Defendants subsequently moved for summary judgment. On March 20, 2020 the parties completed briefing of their respective motions (the “Summary Judgment Decision”). The Court granted the PWP Plaintiffs motion with respect to the restrictive covenants in the PWP Plantiffs’ agreements, finding that they are valid and enforceable, and otherwise denied the motion. The Court denied Defendants’ motion in its entirety. On July 25, 2023, Defendants filed a notice of appeal of the Summary Judgment Decision.</w:t>
      </w:r>
    </w:p>
    <w:p>
      <w:pPr>
        <w:spacing w:after="0" w:line="181"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Court has set trial for April 29, 2024 through May 21, 2024. A final pre-trial conference has been set for April 24, 2024.</w:t>
      </w:r>
    </w:p>
    <w:p>
      <w:pPr>
        <w:spacing w:after="0" w:line="180"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believe that our 14 causes of action are meritorious. Further, we believe that we have substantial meritorious defenses to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8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During the years ended December 31, 2023, 2022, and 2021, the Company incurred $2.1 million, $0.6 million, and $1.1 million, respectively, in legal and professional fees, net of expected insurance reimbursement, related to this litigation. These litigation costs are included in Professional fees on the Consolidated Statements of Operations.</w:t>
      </w:r>
    </w:p>
    <w:p>
      <w:pPr>
        <w:sectPr>
          <w:pgSz w:w="12240" w:h="15840" w:orient="portrait"/>
          <w:cols w:equalWidth="0" w:num="1">
            <w:col w:w="9880"/>
          </w:cols>
          <w:pgMar w:left="1180" w:top="201"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880"/>
          </w:cols>
          <w:pgMar w:left="1180" w:top="201" w:right="1180" w:bottom="169"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18—Business Information</w:t>
      </w:r>
    </w:p>
    <w:p>
      <w:pPr>
        <w:spacing w:after="0" w:line="21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Company’s activities of providing advisory services for M&amp;A,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There was no individual client that accounted for more than 10% of aggregate revenues for the years ended December 31, 2023, 2022, and 2021.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62"/>
        </w:trPr>
        <w:tc>
          <w:tcPr>
            <w:tcW w:w="5820" w:type="dxa"/>
            <w:vAlign w:val="bottom"/>
          </w:tcPr>
          <w:p>
            <w:pPr>
              <w:jc w:val="right"/>
              <w:ind w:right="4900"/>
              <w:spacing w:after="0"/>
              <w:rPr>
                <w:sz w:val="20"/>
                <w:szCs w:val="20"/>
                <w:color w:val="auto"/>
              </w:rPr>
            </w:pPr>
            <w:r>
              <w:rPr>
                <w:rFonts w:ascii="Times New Roman" w:cs="Times New Roman" w:eastAsia="Times New Roman" w:hAnsi="Times New Roman"/>
                <w:sz w:val="20"/>
                <w:szCs w:val="20"/>
                <w:b w:val="1"/>
                <w:bCs w:val="1"/>
                <w:color w:val="auto"/>
                <w:w w:val="98"/>
              </w:rPr>
              <w:t>Revenues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United States </w:t>
            </w:r>
            <w:r>
              <w:rPr>
                <w:rFonts w:ascii="Times New Roman" w:cs="Times New Roman" w:eastAsia="Times New Roman" w:hAnsi="Times New Roman"/>
                <w:sz w:val="20"/>
                <w:szCs w:val="20"/>
                <w:color w:val="B4B4B4"/>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530,284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477,990</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659,947</w:t>
            </w: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International </w:t>
            </w:r>
            <w:r>
              <w:rPr>
                <w:rFonts w:ascii="Times New Roman" w:cs="Times New Roman" w:eastAsia="Times New Roman" w:hAnsi="Times New Roman"/>
                <w:sz w:val="20"/>
                <w:szCs w:val="20"/>
                <w:color w:val="B4B4B4"/>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118,368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153,517</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141,715</w:t>
            </w:r>
          </w:p>
        </w:tc>
      </w:tr>
      <w:tr>
        <w:trPr>
          <w:trHeight w:val="24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648,652</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631,507</w:t>
            </w:r>
          </w:p>
        </w:tc>
        <w:tc>
          <w:tcPr>
            <w:tcW w:w="60" w:type="dxa"/>
            <w:vAlign w:val="bottom"/>
          </w:tcPr>
          <w:p>
            <w:pPr>
              <w:spacing w:after="0"/>
              <w:rPr>
                <w:sz w:val="21"/>
                <w:szCs w:val="21"/>
                <w:color w:val="auto"/>
              </w:rPr>
            </w:pPr>
          </w:p>
        </w:tc>
        <w:tc>
          <w:tcPr>
            <w:tcW w:w="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801,662</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0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70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2"/>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United States </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569,332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531,590</w:t>
            </w:r>
          </w:p>
        </w:tc>
        <w:tc>
          <w:tcPr>
            <w:tcW w:w="0" w:type="dxa"/>
            <w:vAlign w:val="bottom"/>
          </w:tcPr>
          <w:p>
            <w:pPr>
              <w:spacing w:after="0"/>
              <w:rPr>
                <w:sz w:val="1"/>
                <w:szCs w:val="1"/>
                <w:color w:val="auto"/>
              </w:rPr>
            </w:pPr>
          </w:p>
        </w:tc>
      </w:tr>
      <w:tr>
        <w:trPr>
          <w:trHeight w:val="264"/>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International </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191,776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185,503</w:t>
            </w:r>
          </w:p>
        </w:tc>
        <w:tc>
          <w:tcPr>
            <w:tcW w:w="0" w:type="dxa"/>
            <w:vAlign w:val="bottom"/>
          </w:tcPr>
          <w:p>
            <w:pPr>
              <w:spacing w:after="0"/>
              <w:rPr>
                <w:sz w:val="1"/>
                <w:szCs w:val="1"/>
                <w:color w:val="auto"/>
              </w:rPr>
            </w:pPr>
          </w:p>
        </w:tc>
      </w:tr>
      <w:tr>
        <w:trPr>
          <w:trHeight w:val="24"/>
        </w:trPr>
        <w:tc>
          <w:tcPr>
            <w:tcW w:w="7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000" w:type="dxa"/>
            <w:vAlign w:val="bottom"/>
            <w:vMerge w:val="continue"/>
          </w:tcPr>
          <w:p>
            <w:pPr>
              <w:jc w:val="right"/>
              <w:spacing w:after="0" w:line="182" w:lineRule="exact"/>
              <w:rPr>
                <w:sz w:val="20"/>
                <w:szCs w:val="20"/>
                <w:color w:val="auto"/>
              </w:rPr>
            </w:pPr>
            <w:r>
              <w:rPr>
                <w:rFonts w:ascii="Times New Roman" w:cs="Times New Roman" w:eastAsia="Times New Roman" w:hAnsi="Times New Roman"/>
                <w:sz w:val="20"/>
                <w:szCs w:val="20"/>
                <w:color w:val="B4B4B4"/>
              </w:rPr>
              <w:t>..................................................................................................................................</w:t>
            </w: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761,108</w:t>
            </w:r>
          </w:p>
        </w:tc>
        <w:tc>
          <w:tcPr>
            <w:tcW w:w="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717,093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19—Subsequent Events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evaluated subsequent events through the issuance date of these consolidated financial statements.</w:t>
      </w:r>
    </w:p>
    <w:p>
      <w:pPr>
        <w:spacing w:after="0" w:line="210"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On January 1, 2024, the total shares reserved and available for future issuance under the PWP Incentive Plan increased to 12.9 million in accordance with the terms of such plan, and on February 15, 2024, the Company granted 5,677,760 RSUs to certain employees and executive officers pursuant to such plan.</w:t>
      </w:r>
    </w:p>
    <w:p>
      <w:pPr>
        <w:spacing w:after="0" w:line="182"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On February 7, 2024, the Company’s Board of Directors declared a cash dividend of $0.07 per outstanding share of Class A common stock. This dividend will be paid on March 11, 2024 to Class A common stockholders of record on February 28, 2024. Holders of Class B common stock will also receive dividends equal to the amount of dividends made on 0.001 shares of Class A common stock.</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900"/>
          </w:cols>
          <w:pgMar w:left="1180" w:top="201" w:right="1160" w:bottom="169"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 with Accountants on Accounting and Financial Disclosure</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This Item 9A includes information concerning the controls and controls evaluation referred to in the certifications of our Chief Executive Officer and Chief Financial Officer required by Rule 13a-14 of the Exchange Act included in this Annual Report on Form 10-K as Exhibits 31.1 and 31.2.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Evaluation of Disclosure Controls and Procedures</w:t>
      </w:r>
    </w:p>
    <w:p>
      <w:pPr>
        <w:spacing w:after="0" w:line="219"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81"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In connection with the preparation of this Annual Report on Form 10-K, our management, under the supervision and with the participation of our principal executive officer and principal financial officer, evaluated the effectiveness of the design and operation of our disclosure controls and procedures as of December 31, 2023.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Management is responsible for designing, implementing and maintaining adequate internal control over financial reporting, as such term is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 in conditions, the effectiveness of internal control over financial reporting may vary over time.</w:t>
      </w:r>
    </w:p>
    <w:p>
      <w:pPr>
        <w:spacing w:after="0" w:line="184"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 xml:space="preserve">Management has assessed the effectiveness of its internal control over financial reporting as of December 31, 2023 based on criteria established in </w:t>
      </w:r>
      <w:r>
        <w:rPr>
          <w:rFonts w:ascii="Times New Roman" w:cs="Times New Roman" w:eastAsia="Times New Roman" w:hAnsi="Times New Roman"/>
          <w:sz w:val="20"/>
          <w:szCs w:val="20"/>
          <w:b w:val="1"/>
          <w:bCs w:val="1"/>
          <w:i w:val="1"/>
          <w:iCs w:val="1"/>
          <w:color w:val="auto"/>
        </w:rPr>
        <w:t>Internal Control-Integrated Framework (2013) issued by the Committee of Sponsoring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Organizations of the Treadway Commission</w:t>
      </w:r>
      <w:r>
        <w:rPr>
          <w:rFonts w:ascii="Times New Roman" w:cs="Times New Roman" w:eastAsia="Times New Roman" w:hAnsi="Times New Roman"/>
          <w:sz w:val="20"/>
          <w:szCs w:val="20"/>
          <w:color w:val="auto"/>
        </w:rPr>
        <w:t>. Based on that assessment, management believes that, as of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2023, the Company’s internal control over financial reporting was effective.</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Management’s report was not subject to attestation by our registered public accounting firm pursuant to rules of the SEC that permits us to provide only management’s report in this Annual Report on Form 10-K. This Annual Report on Form 10-K does not include an attestation report of our registered public accounting firm due to an exemption established by the JOBS Act for “emerging growth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Exchange Act Rules 13a-15(f) and 15d-15(f)) during the three months ended December 31, 2023 that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During the year ended December 31, 2023, no director or officer of the Company adopted or terminated a “Rule 10b5-1 trading arrangement” or “non-Rule 10b5-1 trading arrangement,” as each term is defined in Item 408(a)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1371" w:right="1160" w:bottom="169" w:gutter="0" w:footer="0" w:header="0"/>
        </w:sect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900"/>
          </w:cols>
          <w:pgMar w:left="1180" w:top="1371" w:right="1160" w:bottom="169" w:gutter="0" w:footer="0" w:header="0"/>
          <w:type w:val="continuous"/>
        </w:sectPr>
      </w:pPr>
    </w:p>
    <w:bookmarkStart w:id="78" w:name="page79"/>
    <w:bookmarkEnd w:id="78"/>
    <w:p>
      <w:pPr>
        <w:spacing w:after="0" w:line="3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information regarding directors and executive officers set forth under the caption “Proposal 1—Election of Directors” and “Executive Officers” in our definitive proxy statement to be filed in connection with our 2024 Annual Meeting of Stockholders (the “Proxy Statement”) is incorporated herein by reference.</w:t>
      </w:r>
    </w:p>
    <w:p>
      <w:pPr>
        <w:spacing w:after="0" w:line="182"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180"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post our Code of Business Conduct and Ethics on our corporate website at www.pwpartners.com under the “Investor Relations/Corporate Governance/Documents &amp; Charters” section. Our Code of Business Conduct and Ethics applies to all directors, officers and employees, including our chief executive and senior financial officers. We will post any amendments to the Code of Business Conduct and Ethics, and any waivers that are required to be disclosed by the rules of either the SEC or Nasdaq, on our website within the required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17"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captioned “Executive Compensation” and “Director Compensation” in the Proxy Statement.</w:t>
      </w:r>
    </w:p>
    <w:p>
      <w:pPr>
        <w:spacing w:after="0" w:line="180"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Information regarding our compensation committee and compensation committee interlocks under the caption “Corporate Governance—Board Committees” and “Corporate Governance—Compensation Committee Interlocks and Insider Participation” in the Proxy Statement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captioned “Executive Compensation —Equity Compensation Plan Information” and “Stock Ownership of Certain Beneficial Owners and Management” in the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17" w:lineRule="exact"/>
        <w:rPr>
          <w:sz w:val="20"/>
          <w:szCs w:val="20"/>
          <w:color w:val="auto"/>
        </w:rPr>
      </w:pPr>
    </w:p>
    <w:p>
      <w:pPr>
        <w:ind w:right="640" w:firstLine="360"/>
        <w:spacing w:after="0" w:line="22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captioned “Certain Relationships and Related Person Transactions” and “Corporate Governance—Director Independence” in the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17" w:lineRule="exact"/>
        <w:rPr>
          <w:sz w:val="20"/>
          <w:szCs w:val="20"/>
          <w:color w:val="auto"/>
        </w:rPr>
      </w:pPr>
    </w:p>
    <w:p>
      <w:pPr>
        <w:ind w:right="20" w:firstLine="360"/>
        <w:spacing w:after="0"/>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 captioned “Ratification of Independent Auditor Appointment” in the Proxy Statement.</w:t>
      </w:r>
    </w:p>
    <w:p>
      <w:pPr>
        <w:sectPr>
          <w:pgSz w:w="12240" w:h="15840" w:orient="portrait"/>
          <w:cols w:equalWidth="0" w:num="1">
            <w:col w:w="9900"/>
          </w:cols>
          <w:pgMar w:left="1180" w:top="1440"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900"/>
          </w:cols>
          <w:pgMar w:left="1180" w:top="1440" w:right="1160" w:bottom="169" w:gutter="0" w:footer="0" w:header="0"/>
          <w:type w:val="continuous"/>
        </w:sectPr>
      </w:pPr>
    </w:p>
    <w:bookmarkStart w:id="79" w:name="page80"/>
    <w:bookmarkEnd w:id="79"/>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17" w:lineRule="exact"/>
        <w:rPr>
          <w:sz w:val="20"/>
          <w:szCs w:val="20"/>
          <w:color w:val="auto"/>
        </w:rPr>
      </w:pPr>
    </w:p>
    <w:p>
      <w:pPr>
        <w:ind w:left="270" w:hanging="270"/>
        <w:spacing w:after="0"/>
        <w:tabs>
          <w:tab w:leader="none" w:pos="2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21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Financial Statements</w:t>
      </w:r>
    </w:p>
    <w:p>
      <w:pPr>
        <w:spacing w:after="0" w:line="210" w:lineRule="exact"/>
        <w:rPr>
          <w:sz w:val="20"/>
          <w:szCs w:val="20"/>
          <w:color w:val="auto"/>
        </w:rPr>
      </w:pPr>
    </w:p>
    <w:p>
      <w:pPr>
        <w:ind w:left="10" w:right="520" w:firstLine="360"/>
        <w:spacing w:after="0"/>
        <w:rPr>
          <w:sz w:val="20"/>
          <w:szCs w:val="20"/>
          <w:color w:val="auto"/>
        </w:rPr>
      </w:pPr>
      <w:r>
        <w:rPr>
          <w:rFonts w:ascii="Times New Roman" w:cs="Times New Roman" w:eastAsia="Times New Roman" w:hAnsi="Times New Roman"/>
          <w:sz w:val="20"/>
          <w:szCs w:val="20"/>
          <w:color w:val="auto"/>
        </w:rPr>
        <w:t>The consolidated financial statements filed as part of this report are listed on the Index to Consolidated Financial Statements of this Annual Report on Form 10-K.</w:t>
      </w:r>
    </w:p>
    <w:p>
      <w:pPr>
        <w:spacing w:after="0" w:line="1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10" w:lineRule="exact"/>
        <w:rPr>
          <w:sz w:val="20"/>
          <w:szCs w:val="20"/>
          <w:color w:val="auto"/>
        </w:rPr>
      </w:pPr>
    </w:p>
    <w:p>
      <w:pPr>
        <w:jc w:val="both"/>
        <w:ind w:left="10" w:right="40" w:firstLine="360"/>
        <w:spacing w:after="0" w:line="229" w:lineRule="auto"/>
        <w:rPr>
          <w:sz w:val="20"/>
          <w:szCs w:val="20"/>
          <w:color w:val="auto"/>
        </w:rPr>
      </w:pPr>
      <w:r>
        <w:rPr>
          <w:rFonts w:ascii="Times New Roman" w:cs="Times New Roman" w:eastAsia="Times New Roman" w:hAnsi="Times New Roman"/>
          <w:sz w:val="20"/>
          <w:szCs w:val="20"/>
          <w:color w:val="auto"/>
        </w:rPr>
        <w:t>All other financial statement schedules are omitted because they are not applicable or the amounts are immaterial and not required, or the required information is presented in the consolidated financial statements and notes thereto in Item 8 of Part II above.</w:t>
      </w:r>
    </w:p>
    <w:p>
      <w:pPr>
        <w:spacing w:after="0" w:line="1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(3) Exhibits</w:t>
      </w:r>
    </w:p>
    <w:p>
      <w:pPr>
        <w:spacing w:after="0" w:line="210" w:lineRule="exact"/>
        <w:rPr>
          <w:sz w:val="20"/>
          <w:szCs w:val="20"/>
          <w:color w:val="auto"/>
        </w:rPr>
      </w:pPr>
    </w:p>
    <w:p>
      <w:pPr>
        <w:jc w:val="both"/>
        <w:ind w:left="10" w:firstLine="360"/>
        <w:spacing w:after="0" w:line="229" w:lineRule="auto"/>
        <w:rPr>
          <w:sz w:val="20"/>
          <w:szCs w:val="20"/>
          <w:color w:val="auto"/>
        </w:rPr>
      </w:pPr>
      <w:r>
        <w:rPr>
          <w:rFonts w:ascii="Times New Roman" w:cs="Times New Roman" w:eastAsia="Times New Roman" w:hAnsi="Times New Roman"/>
          <w:sz w:val="20"/>
          <w:szCs w:val="20"/>
          <w:color w:val="auto"/>
        </w:rPr>
        <w:t xml:space="preserve">We hereby file as part of this report the exhibits listed in the attached Exhibit Index. Exhibits which are incorporated herein by reference can be inspected and copied as the public reference facilities maintained by the SEC, 100 F Street, N.E., Room 1580, Washington, D.C. 20549 at prescribed rates or on the SEC website as </w:t>
      </w:r>
      <w:r>
        <w:rPr>
          <w:rFonts w:ascii="Times New Roman" w:cs="Times New Roman" w:eastAsia="Times New Roman" w:hAnsi="Times New Roman"/>
          <w:sz w:val="20"/>
          <w:szCs w:val="20"/>
          <w:b w:val="1"/>
          <w:bCs w:val="1"/>
          <w:color w:val="auto"/>
        </w:rPr>
        <w:t>www.sec.gov.</w:t>
      </w:r>
    </w:p>
    <w:p>
      <w:pPr>
        <w:spacing w:after="0" w:line="200" w:lineRule="exact"/>
        <w:rPr>
          <w:sz w:val="20"/>
          <w:szCs w:val="20"/>
          <w:color w:val="auto"/>
        </w:rPr>
      </w:pPr>
    </w:p>
    <w:p>
      <w:pPr>
        <w:spacing w:after="0" w:line="264" w:lineRule="exact"/>
        <w:rPr>
          <w:sz w:val="20"/>
          <w:szCs w:val="20"/>
          <w:color w:val="auto"/>
        </w:rPr>
      </w:pPr>
    </w:p>
    <w:tbl>
      <w:tblPr>
        <w:tblLayout w:type="fixed"/>
        <w:tblInd w:w="270" w:type="dxa"/>
        <w:tblCellMar>
          <w:top w:w="0" w:type="dxa"/>
          <w:left w:w="0" w:type="dxa"/>
          <w:bottom w:w="0" w:type="dxa"/>
          <w:right w:w="0" w:type="dxa"/>
        </w:tblCellMar>
      </w:tblPr>
      <w:tr>
        <w:trPr>
          <w:trHeight w:val="184"/>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160" w:type="dxa"/>
            <w:vAlign w:val="bottom"/>
            <w:gridSpan w:val="20"/>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160" w:type="dxa"/>
            <w:vAlign w:val="bottom"/>
            <w:gridSpan w:val="20"/>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9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740" w:type="dxa"/>
            <w:vAlign w:val="bottom"/>
            <w:tcBorders>
              <w:top w:val="single" w:sz="8" w:color="auto"/>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Restated Certificate of Incorporation of Perella Weinberg Partners (incorporated by reference to</w:t>
            </w:r>
          </w:p>
        </w:tc>
        <w:tc>
          <w:tcPr>
            <w:tcW w:w="400" w:type="dxa"/>
            <w:vAlign w:val="bottom"/>
            <w:tcBorders>
              <w:top w:val="single" w:sz="8" w:color="auto"/>
            </w:tcBorders>
            <w:gridSpan w:val="7"/>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Exhibit 3.1 to Amendment No. 1 to the Company's Registration Statement on Form S-1 filed 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20" w:type="dxa"/>
            <w:vAlign w:val="bottom"/>
            <w:tcBorders>
              <w:top w:val="single" w:sz="8" w:color="0000FF"/>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9"/>
              </w:rPr>
              <w:t>the SEC on January 13, 2022 (File No. 333-261785)).</w:t>
            </w:r>
          </w:p>
        </w:tc>
        <w:tc>
          <w:tcPr>
            <w:tcW w:w="358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Amended and Restated Bylaws of Perella Weinberg Partners (incorporated by reference to Exhibit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tcBorders>
              <w:top w:val="single" w:sz="8" w:color="0000FF"/>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rPr>
              <w:t>3.</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FF"/>
              </w:rPr>
              <w:t xml:space="preserve"> to the Company’s Current Report on Form 8-K, filed with the SEC on June 30, 2021).</w:t>
            </w:r>
          </w:p>
        </w:tc>
        <w:tc>
          <w:tcPr>
            <w:tcW w:w="700" w:type="dxa"/>
            <w:vAlign w:val="bottom"/>
            <w:tcBorders>
              <w:top w:val="single" w:sz="8" w:color="0000FF"/>
            </w:tcBorders>
            <w:gridSpan w:val="11"/>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Specimen Class A Common Stock Certificate (incorporated by reference to Exhibit 4.1 to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40" w:type="dxa"/>
            <w:vAlign w:val="bottom"/>
            <w:tcBorders>
              <w:top w:val="single" w:sz="8" w:color="0000FF"/>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Company’s Current Report on Form 8-K, filed with the SEC on June 30, 2021).</w:t>
            </w:r>
          </w:p>
        </w:tc>
        <w:tc>
          <w:tcPr>
            <w:tcW w:w="1080" w:type="dxa"/>
            <w:vAlign w:val="bottom"/>
            <w:tcBorders>
              <w:top w:val="single" w:sz="8" w:color="0000FF"/>
            </w:tcBorders>
            <w:gridSpan w:val="5"/>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Description of Securities</w:t>
            </w:r>
            <w:r>
              <w:rPr>
                <w:rFonts w:ascii="Times New Roman" w:cs="Times New Roman" w:eastAsia="Times New Roman" w:hAnsi="Times New Roman"/>
                <w:sz w:val="20"/>
                <w:szCs w:val="20"/>
                <w:color w:val="00000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w:t>
            </w:r>
          </w:p>
        </w:tc>
        <w:tc>
          <w:tcPr>
            <w:tcW w:w="81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Employment Agreement, effective as of January 1, 2023, by and between Perella Weinberg Partners,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PWP Employer LP and Peter A. Weinberg (incorporated by reference to Exhibit 10.1 to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38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Company's Annual Report on Form 10-K filed with the SEC on February 28, 2023)</w:t>
            </w:r>
            <w:r>
              <w:rPr>
                <w:rFonts w:ascii="Times New Roman" w:cs="Times New Roman" w:eastAsia="Times New Roman" w:hAnsi="Times New Roman"/>
                <w:sz w:val="20"/>
                <w:szCs w:val="20"/>
                <w:color w:val="000000"/>
              </w:rPr>
              <w:t>.</w:t>
            </w:r>
          </w:p>
        </w:tc>
        <w:tc>
          <w:tcPr>
            <w:tcW w:w="1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w:t>
            </w:r>
          </w:p>
        </w:tc>
        <w:tc>
          <w:tcPr>
            <w:tcW w:w="81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Employment Agreement, effective as of January 1, 2023, by and between Perella Weinberg Partners,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PWP Employer LP and Andrew Bednar (incorporated by reference to Exhibit 10.2 to the Company's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20" w:type="dxa"/>
            <w:vAlign w:val="bottom"/>
            <w:tcBorders>
              <w:top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Annual Report on Form 10-K filed with the SEC on February 28, 2023)</w:t>
            </w:r>
            <w:r>
              <w:rPr>
                <w:rFonts w:ascii="Times New Roman" w:cs="Times New Roman" w:eastAsia="Times New Roman" w:hAnsi="Times New Roman"/>
                <w:sz w:val="20"/>
                <w:szCs w:val="20"/>
                <w:color w:val="000000"/>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10.3†</w:t>
            </w:r>
          </w:p>
        </w:tc>
        <w:tc>
          <w:tcPr>
            <w:tcW w:w="81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Employment Agreement, effective as of January 1, 2023, by and between Perella Weinberg Partners,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PWP Employer LP and Dietrich Becker (incorporated by reference to Exhibit 10.3 to the Company's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0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Annual Report on Form 10-K filed with the SEC on February 28, 2023)</w:t>
            </w:r>
            <w:r>
              <w:rPr>
                <w:rFonts w:ascii="Times New Roman" w:cs="Times New Roman" w:eastAsia="Times New Roman" w:hAnsi="Times New Roman"/>
                <w:sz w:val="20"/>
                <w:szCs w:val="20"/>
                <w:color w:val="000000"/>
              </w:rPr>
              <w:t>.</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77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Form of Director Restricted Stock Unit Award Agreement (One-Time Award) (incorporated by</w:t>
            </w:r>
          </w:p>
        </w:tc>
        <w:tc>
          <w:tcPr>
            <w:tcW w:w="4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reference to Exhibit 10.4 of the Company's Quarterly Report on Form 10-Q filed with the SEC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rPr>
              <w:t>November 5, 2021).</w:t>
            </w:r>
          </w:p>
        </w:tc>
        <w:tc>
          <w:tcPr>
            <w:tcW w:w="6220" w:type="dxa"/>
            <w:vAlign w:val="bottom"/>
            <w:tcBorders>
              <w:top w:val="single" w:sz="8" w:color="0000FF"/>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10.5†</w:t>
            </w:r>
          </w:p>
        </w:tc>
        <w:tc>
          <w:tcPr>
            <w:tcW w:w="7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Form of Director Restricted Stock Unit Award Agreement (Annual Base Retainer Award)</w:t>
            </w:r>
          </w:p>
        </w:tc>
        <w:tc>
          <w:tcPr>
            <w:tcW w:w="8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(incorporated by reference to Exhibit 10.5 of the Company's Quarterly Report on Form 10-Q 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920" w:type="dxa"/>
            <w:vAlign w:val="bottom"/>
            <w:tcBorders>
              <w:top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with the SEC on November 5, 2021).</w:t>
            </w:r>
          </w:p>
        </w:tc>
        <w:tc>
          <w:tcPr>
            <w:tcW w:w="2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Amended and Restated Registration Rights Agreement, dated June 24, 2021, by and among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560" w:type="dxa"/>
            <w:vAlign w:val="bottom"/>
            <w:tcBorders>
              <w:top w:val="single" w:sz="8" w:color="0000FF"/>
              <w:bottom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Company, FinTech Investor Holdings IV, LLC, FinTech Masala Advisors, LLC and the other</w:t>
            </w:r>
          </w:p>
        </w:tc>
        <w:tc>
          <w:tcPr>
            <w:tcW w:w="120" w:type="dxa"/>
            <w:vAlign w:val="bottom"/>
            <w:tcBorders>
              <w:top w:val="single" w:sz="8" w:color="0000FF"/>
            </w:tcBorders>
          </w:tcPr>
          <w:p>
            <w:pPr>
              <w:spacing w:after="0"/>
              <w:rPr>
                <w:sz w:val="15"/>
                <w:szCs w:val="15"/>
                <w:color w:val="auto"/>
              </w:rPr>
            </w:pPr>
          </w:p>
        </w:tc>
        <w:tc>
          <w:tcPr>
            <w:tcW w:w="4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tcBorders>
              <w:bottom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Holders party thereto (incorporated by reference to Exhibit 10.1 to the Company's Current Report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9"/>
              </w:rPr>
              <w:t>Form 8-K, filed with the SEC on June 30, 2021).</w:t>
            </w:r>
          </w:p>
        </w:tc>
        <w:tc>
          <w:tcPr>
            <w:tcW w:w="4220" w:type="dxa"/>
            <w:vAlign w:val="bottom"/>
            <w:gridSpan w:val="1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890"/>
          </w:cols>
          <w:pgMar w:left="1170" w:top="1371" w:right="1180" w:bottom="169" w:gutter="0" w:footer="0" w:header="0"/>
        </w:sectPr>
      </w:pPr>
    </w:p>
    <w:p>
      <w:pPr>
        <w:spacing w:after="0" w:line="3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890"/>
          </w:cols>
          <w:pgMar w:left="1170" w:top="1371" w:right="1180" w:bottom="169" w:gutter="0" w:footer="0" w:header="0"/>
          <w:type w:val="continuous"/>
        </w:sectPr>
      </w:pPr>
    </w:p>
    <w:bookmarkStart w:id="80" w:name="page81"/>
    <w:bookmarkEnd w:id="80"/>
    <w:tbl>
      <w:tblPr>
        <w:tblLayout w:type="fixed"/>
        <w:tblInd w:w="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Form of Subscription Agreement (incorporated by reference to Exhibit 10.1 to FinTech Acquisition</w:t>
            </w:r>
          </w:p>
        </w:tc>
        <w:tc>
          <w:tcPr>
            <w:tcW w:w="20" w:type="dxa"/>
            <w:vAlign w:val="bottom"/>
          </w:tcPr>
          <w:p>
            <w:pPr>
              <w:spacing w:after="0"/>
              <w:rPr>
                <w:sz w:val="19"/>
                <w:szCs w:val="19"/>
                <w:color w:val="auto"/>
              </w:rPr>
            </w:pPr>
          </w:p>
        </w:tc>
      </w:tr>
      <w:tr>
        <w:trPr>
          <w:trHeight w:val="180"/>
        </w:trPr>
        <w:tc>
          <w:tcPr>
            <w:tcW w:w="1140" w:type="dxa"/>
            <w:vAlign w:val="bottom"/>
          </w:tcPr>
          <w:p>
            <w:pPr>
              <w:spacing w:after="0"/>
              <w:rPr>
                <w:sz w:val="15"/>
                <w:szCs w:val="15"/>
                <w:color w:val="auto"/>
              </w:rPr>
            </w:pPr>
          </w:p>
        </w:tc>
        <w:tc>
          <w:tcPr>
            <w:tcW w:w="8100" w:type="dxa"/>
            <w:vAlign w:val="bottom"/>
            <w:tcBorders>
              <w:top w:val="single" w:sz="8" w:color="0000FF"/>
            </w:tcBorders>
            <w:gridSpan w:val="37"/>
          </w:tcPr>
          <w:p>
            <w:pPr>
              <w:spacing w:after="0" w:line="180" w:lineRule="exact"/>
              <w:rPr>
                <w:sz w:val="20"/>
                <w:szCs w:val="20"/>
                <w:color w:val="auto"/>
              </w:rPr>
            </w:pPr>
            <w:r>
              <w:rPr>
                <w:rFonts w:ascii="Times New Roman" w:cs="Times New Roman" w:eastAsia="Times New Roman" w:hAnsi="Times New Roman"/>
                <w:sz w:val="20"/>
                <w:szCs w:val="20"/>
                <w:color w:val="0000FF"/>
              </w:rPr>
              <w:t>Corp. IV's Current Report on Form 8-K/A, filed with the SEC on December 31, 2020).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Stockholders Agreement, dated June 24, 2021, by and between the Company and PWP Professional</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140" w:type="dxa"/>
            <w:vAlign w:val="bottom"/>
            <w:tcBorders>
              <w:top w:val="single" w:sz="8" w:color="0000FF"/>
            </w:tcBorders>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Partners LP (incorporated by reference to Exhibit 10.3 to the Company's Current Report on Form 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040" w:type="dxa"/>
            <w:vAlign w:val="bottom"/>
            <w:tcBorders>
              <w:top w:val="single" w:sz="8" w:color="0000FF"/>
            </w:tcBorders>
            <w:gridSpan w:val="34"/>
          </w:tcPr>
          <w:p>
            <w:pPr>
              <w:spacing w:after="0" w:line="180" w:lineRule="exact"/>
              <w:rPr>
                <w:sz w:val="20"/>
                <w:szCs w:val="20"/>
                <w:color w:val="auto"/>
              </w:rPr>
            </w:pPr>
            <w:r>
              <w:rPr>
                <w:rFonts w:ascii="Times New Roman" w:cs="Times New Roman" w:eastAsia="Times New Roman" w:hAnsi="Times New Roman"/>
                <w:sz w:val="20"/>
                <w:szCs w:val="20"/>
                <w:color w:val="0000FF"/>
              </w:rPr>
              <w:t>K, filed with the SEC on June 30, 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Tax Receivable Agreement, dated June 24, 2021, by and between the Company, PWP Holdings LP,</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7560" w:type="dxa"/>
            <w:vAlign w:val="bottom"/>
            <w:tcBorders>
              <w:top w:val="single" w:sz="8" w:color="0000FF"/>
              <w:bottom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PWP Professional Partners LP and certain partners party thereto (incorporated by reference to</w:t>
            </w:r>
          </w:p>
        </w:tc>
        <w:tc>
          <w:tcPr>
            <w:tcW w:w="560" w:type="dxa"/>
            <w:vAlign w:val="bottom"/>
            <w:tcBorders>
              <w:top w:val="single" w:sz="8" w:color="0000FF"/>
            </w:tcBorders>
            <w:gridSpan w:val="19"/>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940" w:type="dxa"/>
            <w:vAlign w:val="bottom"/>
            <w:tcBorders>
              <w:bottom w:val="single" w:sz="8" w:color="0000FF"/>
            </w:tcBorders>
            <w:gridSpan w:val="30"/>
          </w:tcPr>
          <w:p>
            <w:pPr>
              <w:spacing w:after="0" w:line="180" w:lineRule="exact"/>
              <w:rPr>
                <w:sz w:val="20"/>
                <w:szCs w:val="20"/>
                <w:color w:val="auto"/>
              </w:rPr>
            </w:pPr>
            <w:r>
              <w:rPr>
                <w:rFonts w:ascii="Times New Roman" w:cs="Times New Roman" w:eastAsia="Times New Roman" w:hAnsi="Times New Roman"/>
                <w:sz w:val="20"/>
                <w:szCs w:val="20"/>
                <w:color w:val="0000FF"/>
              </w:rPr>
              <w:t>Exhibit 10.2 to the Company's Current Report on Form 8-K, filed with the SEC on June 30, 2021).</w:t>
            </w:r>
          </w:p>
        </w:tc>
        <w:tc>
          <w:tcPr>
            <w:tcW w:w="18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Sponsor Share Surrender and Share Restriction Agreement, dated as of December 29, 2020, by and</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7680" w:type="dxa"/>
            <w:vAlign w:val="bottom"/>
            <w:tcBorders>
              <w:top w:val="single" w:sz="8" w:color="0000FF"/>
              <w:bottom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among PWP Holdings LP, FinTech Acquisition Corp. IV, FinTech Investor Holdings IV, LLC,</w:t>
            </w:r>
          </w:p>
        </w:tc>
        <w:tc>
          <w:tcPr>
            <w:tcW w:w="30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120" w:type="dxa"/>
            <w:vAlign w:val="bottom"/>
            <w:gridSpan w:val="43"/>
          </w:tcPr>
          <w:p>
            <w:pPr>
              <w:spacing w:after="0" w:line="180" w:lineRule="exact"/>
              <w:rPr>
                <w:sz w:val="20"/>
                <w:szCs w:val="20"/>
                <w:color w:val="auto"/>
              </w:rPr>
            </w:pPr>
            <w:r>
              <w:rPr>
                <w:rFonts w:ascii="Times New Roman" w:cs="Times New Roman" w:eastAsia="Times New Roman" w:hAnsi="Times New Roman"/>
                <w:sz w:val="20"/>
                <w:szCs w:val="20"/>
                <w:color w:val="0000FF"/>
              </w:rPr>
              <w:t>FinTech Masala Advisors, LLC and the other parties thereto (incorporated by reference to Exhibit</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900" w:type="dxa"/>
            <w:vAlign w:val="bottom"/>
            <w:tcBorders>
              <w:top w:val="single" w:sz="8" w:color="0000FF"/>
            </w:tcBorders>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5</w:t>
            </w:r>
            <w:r>
              <w:rPr>
                <w:rFonts w:ascii="Times New Roman" w:cs="Times New Roman" w:eastAsia="Times New Roman" w:hAnsi="Times New Roman"/>
                <w:sz w:val="20"/>
                <w:szCs w:val="20"/>
                <w:color w:val="0000FF"/>
              </w:rPr>
              <w:t xml:space="preserve"> to FinTech Acquisition Corp. IV's Current Report on Form 8-K/A, filed with the SEC on</w:t>
            </w: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1700" w:type="dxa"/>
            <w:vAlign w:val="bottom"/>
            <w:tcBorders>
              <w:top w:val="single" w:sz="8" w:color="0000FF"/>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9"/>
              </w:rPr>
              <w:t>December 31, 2020).</w:t>
            </w:r>
          </w:p>
        </w:tc>
        <w:tc>
          <w:tcPr>
            <w:tcW w:w="5860" w:type="dxa"/>
            <w:vAlign w:val="bottom"/>
            <w:tcBorders>
              <w:top w:val="single" w:sz="8" w:color="0000FF"/>
            </w:tcBorders>
            <w:gridSpan w:val="15"/>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120" w:type="dxa"/>
            <w:vAlign w:val="bottom"/>
            <w:tcBorders>
              <w:bottom w:val="single" w:sz="8" w:color="0000FF"/>
            </w:tcBorders>
            <w:gridSpan w:val="43"/>
          </w:tcPr>
          <w:p>
            <w:pPr>
              <w:spacing w:after="0"/>
              <w:rPr>
                <w:sz w:val="20"/>
                <w:szCs w:val="20"/>
                <w:color w:val="auto"/>
              </w:rPr>
            </w:pPr>
            <w:r>
              <w:rPr>
                <w:rFonts w:ascii="Times New Roman" w:cs="Times New Roman" w:eastAsia="Times New Roman" w:hAnsi="Times New Roman"/>
                <w:sz w:val="20"/>
                <w:szCs w:val="20"/>
                <w:color w:val="0000FF"/>
              </w:rPr>
              <w:t>Amendment to Sponsor Share Surrender and Share Restriction Agreement, dated as of May 4, 2021,</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120" w:type="dxa"/>
            <w:vAlign w:val="bottom"/>
            <w:gridSpan w:val="43"/>
          </w:tcPr>
          <w:p>
            <w:pPr>
              <w:spacing w:after="0" w:line="180" w:lineRule="exact"/>
              <w:rPr>
                <w:sz w:val="20"/>
                <w:szCs w:val="20"/>
                <w:color w:val="auto"/>
              </w:rPr>
            </w:pPr>
            <w:r>
              <w:rPr>
                <w:rFonts w:ascii="Times New Roman" w:cs="Times New Roman" w:eastAsia="Times New Roman" w:hAnsi="Times New Roman"/>
                <w:sz w:val="20"/>
                <w:szCs w:val="20"/>
                <w:color w:val="0000FF"/>
              </w:rPr>
              <w:t>by and among PWP Holdings LP, FinTech Acquisition Corp. IV, FinTech Investor Holdings IV,</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820" w:type="dxa"/>
            <w:vAlign w:val="bottom"/>
            <w:tcBorders>
              <w:top w:val="single" w:sz="8" w:color="0000FF"/>
            </w:tcBorders>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LLC, FinTech Masala Advisors, LLC and the other parties thereto (incorporated by reference to</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760" w:type="dxa"/>
            <w:vAlign w:val="bottom"/>
            <w:tcBorders>
              <w:top w:val="single" w:sz="8" w:color="0000FF"/>
              <w:bottom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w w:val="99"/>
              </w:rPr>
              <w:t>FinTech Acquisition Corp. IV's definitive proxy statement, filed with the SEC on May 27, 2021)</w:t>
            </w:r>
          </w:p>
        </w:tc>
        <w:tc>
          <w:tcPr>
            <w:tcW w:w="6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79"/>
              </w:rPr>
              <w:t>.</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120" w:type="dxa"/>
            <w:vAlign w:val="bottom"/>
            <w:tcBorders>
              <w:bottom w:val="single" w:sz="8" w:color="0000FF"/>
            </w:tcBorders>
            <w:gridSpan w:val="43"/>
          </w:tcPr>
          <w:p>
            <w:pPr>
              <w:spacing w:after="0"/>
              <w:rPr>
                <w:sz w:val="20"/>
                <w:szCs w:val="20"/>
                <w:color w:val="auto"/>
              </w:rPr>
            </w:pPr>
            <w:r>
              <w:rPr>
                <w:rFonts w:ascii="Times New Roman" w:cs="Times New Roman" w:eastAsia="Times New Roman" w:hAnsi="Times New Roman"/>
                <w:sz w:val="20"/>
                <w:szCs w:val="20"/>
                <w:color w:val="0000FF"/>
              </w:rPr>
              <w:t>Amended and Restated Agreement of Limited Partnership of PWP Holdings LP, dated as of June 24,</w:t>
            </w:r>
          </w:p>
        </w:tc>
        <w:tc>
          <w:tcPr>
            <w:tcW w:w="20" w:type="dxa"/>
            <w:vAlign w:val="bottom"/>
            <w:tcBorders>
              <w:bottom w:val="single" w:sz="8" w:color="0000FF"/>
            </w:tcBorders>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120" w:type="dxa"/>
            <w:vAlign w:val="bottom"/>
            <w:gridSpan w:val="43"/>
          </w:tcPr>
          <w:p>
            <w:pPr>
              <w:spacing w:after="0" w:line="180" w:lineRule="exact"/>
              <w:rPr>
                <w:sz w:val="20"/>
                <w:szCs w:val="20"/>
                <w:color w:val="auto"/>
              </w:rPr>
            </w:pPr>
            <w:r>
              <w:rPr>
                <w:rFonts w:ascii="Times New Roman" w:cs="Times New Roman" w:eastAsia="Times New Roman" w:hAnsi="Times New Roman"/>
                <w:sz w:val="20"/>
                <w:szCs w:val="20"/>
                <w:color w:val="0000FF"/>
              </w:rPr>
              <w:t>2021, by and among PWP GP LLC, the Company, PWP Professional Partners LP, and the other</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780" w:type="dxa"/>
            <w:vAlign w:val="bottom"/>
            <w:tcBorders>
              <w:top w:val="single" w:sz="8" w:color="0000FF"/>
              <w:bottom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w w:val="98"/>
              </w:rPr>
              <w:t>limited partners party thereto (incorporated by reference to Exhibit 10.4 to the Company's Current</w:t>
            </w: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920" w:type="dxa"/>
            <w:vAlign w:val="bottom"/>
            <w:gridSpan w:val="29"/>
          </w:tcPr>
          <w:p>
            <w:pPr>
              <w:spacing w:after="0" w:line="180" w:lineRule="exact"/>
              <w:rPr>
                <w:sz w:val="20"/>
                <w:szCs w:val="20"/>
                <w:color w:val="auto"/>
              </w:rPr>
            </w:pPr>
            <w:r>
              <w:rPr>
                <w:rFonts w:ascii="Times New Roman" w:cs="Times New Roman" w:eastAsia="Times New Roman" w:hAnsi="Times New Roman"/>
                <w:sz w:val="20"/>
                <w:szCs w:val="20"/>
                <w:color w:val="0000FF"/>
              </w:rPr>
              <w:t>Report on Form 8-K, filed with the SEC on June 30, 2021).</w:t>
            </w: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Amended and Restated Limited Liability Company Agreement of PWP GP LLC, dated June 24,</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7800" w:type="dxa"/>
            <w:vAlign w:val="bottom"/>
            <w:tcBorders>
              <w:top w:val="single" w:sz="8" w:color="0000FF"/>
              <w:bottom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2021 (incorporated by reference to Exhibit 10.5 to the Company's Current Report on Form 8-K,</w:t>
            </w:r>
          </w:p>
        </w:tc>
        <w:tc>
          <w:tcPr>
            <w:tcW w:w="320" w:type="dxa"/>
            <w:vAlign w:val="bottom"/>
            <w:tcBorders>
              <w:bottom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w w:val="81"/>
              </w:rPr>
              <w:t>filed</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120" w:type="dxa"/>
            <w:vAlign w:val="bottom"/>
            <w:gridSpan w:val="43"/>
          </w:tcPr>
          <w:p>
            <w:pPr>
              <w:spacing w:after="0" w:line="180" w:lineRule="exact"/>
              <w:rPr>
                <w:sz w:val="20"/>
                <w:szCs w:val="20"/>
                <w:color w:val="auto"/>
              </w:rPr>
            </w:pPr>
            <w:r>
              <w:rPr>
                <w:rFonts w:ascii="Times New Roman" w:cs="Times New Roman" w:eastAsia="Times New Roman" w:hAnsi="Times New Roman"/>
                <w:sz w:val="20"/>
                <w:szCs w:val="20"/>
                <w:color w:val="0000FF"/>
              </w:rPr>
              <w:t>with the SEC on June 30, 2021).</w:t>
            </w: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Perella Weinberg Partners 2021 Omnibus Incentive Plan (incorporated by reference to Exhibit 10.6</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020" w:type="dxa"/>
            <w:vAlign w:val="bottom"/>
            <w:tcBorders>
              <w:top w:val="single" w:sz="8" w:color="0000FF"/>
            </w:tcBorders>
            <w:gridSpan w:val="33"/>
          </w:tcPr>
          <w:p>
            <w:pPr>
              <w:spacing w:after="0" w:line="180" w:lineRule="exact"/>
              <w:rPr>
                <w:sz w:val="20"/>
                <w:szCs w:val="20"/>
                <w:color w:val="auto"/>
              </w:rPr>
            </w:pPr>
            <w:r>
              <w:rPr>
                <w:rFonts w:ascii="Times New Roman" w:cs="Times New Roman" w:eastAsia="Times New Roman" w:hAnsi="Times New Roman"/>
                <w:sz w:val="20"/>
                <w:szCs w:val="20"/>
                <w:color w:val="0000FF"/>
              </w:rPr>
              <w:t>to the Company's Current Report on Form 8-K, filed with the SEC on June 30, 2021)</w:t>
            </w:r>
            <w:r>
              <w:rPr>
                <w:rFonts w:ascii="Times New Roman" w:cs="Times New Roman" w:eastAsia="Times New Roman" w:hAnsi="Times New Roman"/>
                <w:sz w:val="20"/>
                <w:szCs w:val="20"/>
                <w:color w:val="000000"/>
              </w:rPr>
              <w:t>.</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74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French Sub-Plan Under the Perella Weinberg Partners 2021 Omnibus Equity Incentive Plan</w:t>
            </w:r>
          </w:p>
        </w:tc>
        <w:tc>
          <w:tcPr>
            <w:tcW w:w="720" w:type="dxa"/>
            <w:vAlign w:val="bottom"/>
            <w:gridSpan w:val="26"/>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120" w:type="dxa"/>
            <w:vAlign w:val="bottom"/>
            <w:gridSpan w:val="43"/>
          </w:tcPr>
          <w:p>
            <w:pPr>
              <w:spacing w:after="0" w:line="180" w:lineRule="exact"/>
              <w:rPr>
                <w:sz w:val="20"/>
                <w:szCs w:val="20"/>
                <w:color w:val="auto"/>
              </w:rPr>
            </w:pPr>
            <w:r>
              <w:rPr>
                <w:rFonts w:ascii="Times New Roman" w:cs="Times New Roman" w:eastAsia="Times New Roman" w:hAnsi="Times New Roman"/>
                <w:sz w:val="20"/>
                <w:szCs w:val="20"/>
                <w:color w:val="0000FF"/>
              </w:rPr>
              <w:t>(incorporated by reference to Exhibit 10.7 to the Company's Current Report on Form 8-K, filed with</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180" w:type="dxa"/>
            <w:vAlign w:val="bottom"/>
            <w:tcBorders>
              <w:top w:val="single" w:sz="8" w:color="0000FF"/>
            </w:tcBorders>
            <w:gridSpan w:val="41"/>
          </w:tcPr>
          <w:p>
            <w:pPr>
              <w:spacing w:after="0" w:line="180" w:lineRule="exact"/>
              <w:rPr>
                <w:sz w:val="20"/>
                <w:szCs w:val="20"/>
                <w:color w:val="auto"/>
              </w:rPr>
            </w:pPr>
            <w:r>
              <w:rPr>
                <w:rFonts w:ascii="Times New Roman" w:cs="Times New Roman" w:eastAsia="Times New Roman" w:hAnsi="Times New Roman"/>
                <w:sz w:val="20"/>
                <w:szCs w:val="20"/>
                <w:color w:val="0000FF"/>
              </w:rPr>
              <w:t>the SEC on June 30, 2021).</w:t>
            </w: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Form of Indemnification Agreement (incorporated by reference to Exhibit 10.8 to the Company's</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7860" w:type="dxa"/>
            <w:vAlign w:val="bottom"/>
            <w:tcBorders>
              <w:top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Current Report on Form 8-K, filed with the SEC on June 30, 2021).</w:t>
            </w:r>
          </w:p>
        </w:tc>
        <w:tc>
          <w:tcPr>
            <w:tcW w:w="14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Amendment Agreement, dated as of June 30, 2023, by and among Perella Weinberg Partners Group</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160" w:type="dxa"/>
            <w:vAlign w:val="bottom"/>
            <w:tcBorders>
              <w:top w:val="single" w:sz="8" w:color="0000FF"/>
              <w:bottom w:val="single" w:sz="8" w:color="0000FF"/>
            </w:tcBorders>
            <w:gridSpan w:val="40"/>
          </w:tcPr>
          <w:p>
            <w:pPr>
              <w:spacing w:after="0" w:line="180" w:lineRule="exact"/>
              <w:rPr>
                <w:sz w:val="20"/>
                <w:szCs w:val="20"/>
                <w:color w:val="auto"/>
              </w:rPr>
            </w:pPr>
            <w:r>
              <w:rPr>
                <w:rFonts w:ascii="Times New Roman" w:cs="Times New Roman" w:eastAsia="Times New Roman" w:hAnsi="Times New Roman"/>
                <w:sz w:val="20"/>
                <w:szCs w:val="20"/>
                <w:color w:val="0000FF"/>
              </w:rPr>
              <w:t>LP, as Borrower, and each Lender under the Credit Agreement and Cadence Bank, as administrative</w:t>
            </w:r>
          </w:p>
        </w:tc>
        <w:tc>
          <w:tcPr>
            <w:tcW w:w="40" w:type="dxa"/>
            <w:vAlign w:val="bottom"/>
            <w:tcBorders>
              <w:bottom w:val="single" w:sz="8" w:color="0000FF"/>
            </w:tcBorders>
            <w:gridSpan w:val="2"/>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200" w:type="dxa"/>
            <w:vAlign w:val="bottom"/>
            <w:gridSpan w:val="42"/>
          </w:tcPr>
          <w:p>
            <w:pPr>
              <w:spacing w:after="0" w:line="180" w:lineRule="exact"/>
              <w:rPr>
                <w:sz w:val="20"/>
                <w:szCs w:val="20"/>
                <w:color w:val="auto"/>
              </w:rPr>
            </w:pPr>
            <w:r>
              <w:rPr>
                <w:rFonts w:ascii="Times New Roman" w:cs="Times New Roman" w:eastAsia="Times New Roman" w:hAnsi="Times New Roman"/>
                <w:sz w:val="20"/>
                <w:szCs w:val="20"/>
                <w:color w:val="0000FF"/>
              </w:rPr>
              <w:t>agent (incorporated by reference to Exhibit 10.1 to the Company's Quarterly Report on Form 10-Q,</w:t>
            </w: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3140" w:type="dxa"/>
            <w:vAlign w:val="bottom"/>
            <w:tcBorders>
              <w:top w:val="single" w:sz="8" w:color="0000FF"/>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9"/>
              </w:rPr>
              <w:t>filed with the SEC on August 4, 2023).</w:t>
            </w:r>
          </w:p>
        </w:tc>
        <w:tc>
          <w:tcPr>
            <w:tcW w:w="4860" w:type="dxa"/>
            <w:vAlign w:val="bottom"/>
            <w:tcBorders>
              <w:top w:val="single" w:sz="8" w:color="0000FF"/>
            </w:tcBorders>
            <w:gridSpan w:val="2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7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Form of Management Performance Restricted Stock Unit Award Agreement (incorporated by</w:t>
            </w:r>
          </w:p>
        </w:tc>
        <w:tc>
          <w:tcPr>
            <w:tcW w:w="580" w:type="dxa"/>
            <w:vAlign w:val="bottom"/>
            <w:gridSpan w:val="25"/>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120" w:type="dxa"/>
            <w:vAlign w:val="bottom"/>
            <w:gridSpan w:val="43"/>
          </w:tcPr>
          <w:p>
            <w:pPr>
              <w:spacing w:after="0" w:line="180" w:lineRule="exact"/>
              <w:rPr>
                <w:sz w:val="20"/>
                <w:szCs w:val="20"/>
                <w:color w:val="auto"/>
              </w:rPr>
            </w:pPr>
            <w:r>
              <w:rPr>
                <w:rFonts w:ascii="Times New Roman" w:cs="Times New Roman" w:eastAsia="Times New Roman" w:hAnsi="Times New Roman"/>
                <w:sz w:val="20"/>
                <w:szCs w:val="20"/>
                <w:color w:val="0000FF"/>
              </w:rPr>
              <w:t>reference to Exhibit 10.13 to the Company's Quarterly Report on Form 10-Q, filed with the SEC on</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August 12, 2021).</w:t>
            </w:r>
          </w:p>
        </w:tc>
        <w:tc>
          <w:tcPr>
            <w:tcW w:w="6620" w:type="dxa"/>
            <w:vAlign w:val="bottom"/>
            <w:tcBorders>
              <w:top w:val="single" w:sz="8" w:color="0000FF"/>
            </w:tcBorders>
            <w:gridSpan w:val="3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8120" w:type="dxa"/>
            <w:vAlign w:val="bottom"/>
            <w:tcBorders>
              <w:bottom w:val="single" w:sz="8" w:color="0000FF"/>
            </w:tcBorders>
            <w:gridSpan w:val="43"/>
          </w:tcPr>
          <w:p>
            <w:pPr>
              <w:spacing w:after="0"/>
              <w:rPr>
                <w:sz w:val="20"/>
                <w:szCs w:val="20"/>
                <w:color w:val="auto"/>
              </w:rPr>
            </w:pPr>
            <w:r>
              <w:rPr>
                <w:rFonts w:ascii="Times New Roman" w:cs="Times New Roman" w:eastAsia="Times New Roman" w:hAnsi="Times New Roman"/>
                <w:sz w:val="20"/>
                <w:szCs w:val="20"/>
                <w:color w:val="0000FF"/>
              </w:rPr>
              <w:t>First Amendment to the Amended and Restated Agreement of Limited Partnership of PWP Holdings</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120" w:type="dxa"/>
            <w:vAlign w:val="bottom"/>
            <w:gridSpan w:val="43"/>
          </w:tcPr>
          <w:p>
            <w:pPr>
              <w:spacing w:after="0" w:line="180" w:lineRule="exact"/>
              <w:rPr>
                <w:sz w:val="20"/>
                <w:szCs w:val="20"/>
                <w:color w:val="auto"/>
              </w:rPr>
            </w:pPr>
            <w:r>
              <w:rPr>
                <w:rFonts w:ascii="Times New Roman" w:cs="Times New Roman" w:eastAsia="Times New Roman" w:hAnsi="Times New Roman"/>
                <w:sz w:val="20"/>
                <w:szCs w:val="20"/>
                <w:color w:val="0000FF"/>
              </w:rPr>
              <w:t>LP, dated as of December 31, 2023 (incorporated by reference to Exhibit 10.2 to the Company's</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5580" w:type="dxa"/>
            <w:vAlign w:val="bottom"/>
            <w:tcBorders>
              <w:top w:val="single" w:sz="8" w:color="0000FF"/>
              <w:bottom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w w:val="99"/>
              </w:rPr>
              <w:t>Current Report on Form 8-K, filed with the SEC on January 2, 2024).</w:t>
            </w:r>
          </w:p>
        </w:tc>
        <w:tc>
          <w:tcPr>
            <w:tcW w:w="2160" w:type="dxa"/>
            <w:vAlign w:val="bottom"/>
            <w:tcBorders>
              <w:top w:val="single" w:sz="8" w:color="0000FF"/>
            </w:tcBorders>
            <w:gridSpan w:val="8"/>
          </w:tcPr>
          <w:p>
            <w:pPr>
              <w:spacing w:after="0"/>
              <w:rPr>
                <w:sz w:val="15"/>
                <w:szCs w:val="15"/>
                <w:color w:val="auto"/>
              </w:rPr>
            </w:pPr>
          </w:p>
        </w:tc>
        <w:tc>
          <w:tcPr>
            <w:tcW w:w="100" w:type="dxa"/>
            <w:vAlign w:val="bottom"/>
            <w:gridSpan w:val="5"/>
          </w:tcPr>
          <w:p>
            <w:pPr>
              <w:spacing w:after="0"/>
              <w:rPr>
                <w:sz w:val="15"/>
                <w:szCs w:val="15"/>
                <w:color w:val="auto"/>
              </w:rPr>
            </w:pPr>
          </w:p>
        </w:tc>
        <w:tc>
          <w:tcPr>
            <w:tcW w:w="22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8120" w:type="dxa"/>
            <w:vAlign w:val="bottom"/>
            <w:tcBorders>
              <w:bottom w:val="single" w:sz="8" w:color="0000FF"/>
            </w:tcBorders>
            <w:gridSpan w:val="43"/>
          </w:tcPr>
          <w:p>
            <w:pPr>
              <w:spacing w:after="0"/>
              <w:rPr>
                <w:sz w:val="20"/>
                <w:szCs w:val="20"/>
                <w:color w:val="auto"/>
              </w:rPr>
            </w:pPr>
            <w:r>
              <w:rPr>
                <w:rFonts w:ascii="Times New Roman" w:cs="Times New Roman" w:eastAsia="Times New Roman" w:hAnsi="Times New Roman"/>
                <w:sz w:val="20"/>
                <w:szCs w:val="20"/>
                <w:color w:val="0000FF"/>
              </w:rPr>
              <w:t>Joinder to the Amended and Restated Agreement of Limited Partnership of PWP Holdings LP, dated</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120" w:type="dxa"/>
            <w:vAlign w:val="bottom"/>
            <w:gridSpan w:val="43"/>
          </w:tcPr>
          <w:p>
            <w:pPr>
              <w:spacing w:after="0" w:line="180" w:lineRule="exact"/>
              <w:rPr>
                <w:sz w:val="20"/>
                <w:szCs w:val="20"/>
                <w:color w:val="auto"/>
              </w:rPr>
            </w:pPr>
            <w:r>
              <w:rPr>
                <w:rFonts w:ascii="Times New Roman" w:cs="Times New Roman" w:eastAsia="Times New Roman" w:hAnsi="Times New Roman"/>
                <w:sz w:val="20"/>
                <w:szCs w:val="20"/>
                <w:color w:val="0000FF"/>
              </w:rPr>
              <w:t>December 31, 2023 (incorporated by reference to Exhibit 10.1 to the Company’s Current Report on</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9"/>
              </w:rPr>
              <w:t>Form 8-K, filed with the SEC on January 2, 2024).</w:t>
            </w:r>
          </w:p>
        </w:tc>
        <w:tc>
          <w:tcPr>
            <w:tcW w:w="3980" w:type="dxa"/>
            <w:vAlign w:val="bottom"/>
            <w:tcBorders>
              <w:top w:val="single" w:sz="8" w:color="0000FF"/>
            </w:tcBorders>
            <w:gridSpan w:val="2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39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List of Subsidiaries</w:t>
            </w:r>
            <w:r>
              <w:rPr>
                <w:rFonts w:ascii="Times New Roman" w:cs="Times New Roman" w:eastAsia="Times New Roman" w:hAnsi="Times New Roman"/>
                <w:sz w:val="20"/>
                <w:szCs w:val="20"/>
                <w:color w:val="000000"/>
              </w:rPr>
              <w:t>.</w:t>
            </w:r>
          </w:p>
        </w:tc>
        <w:tc>
          <w:tcPr>
            <w:tcW w:w="2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000" w:type="dxa"/>
            <w:vAlign w:val="bottom"/>
            <w:gridSpan w:val="12"/>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Consent of Ernst &amp; Young LLP, independent registered accounting firm.</w:t>
            </w:r>
          </w:p>
        </w:tc>
        <w:tc>
          <w:tcPr>
            <w:tcW w:w="20" w:type="dxa"/>
            <w:vAlign w:val="bottom"/>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40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Powers of Attorney (included on signature page).</w:t>
            </w:r>
          </w:p>
        </w:tc>
        <w:tc>
          <w:tcPr>
            <w:tcW w:w="1840" w:type="dxa"/>
            <w:vAlign w:val="bottom"/>
            <w:tcBorders>
              <w:top w:val="single" w:sz="8" w:color="0000FF"/>
            </w:tcBorders>
            <w:gridSpan w:val="5"/>
          </w:tcPr>
          <w:p>
            <w:pPr>
              <w:spacing w:after="0"/>
              <w:rPr>
                <w:sz w:val="24"/>
                <w:szCs w:val="24"/>
                <w:color w:val="auto"/>
              </w:rPr>
            </w:pPr>
          </w:p>
        </w:tc>
        <w:tc>
          <w:tcPr>
            <w:tcW w:w="2280" w:type="dxa"/>
            <w:vAlign w:val="bottom"/>
            <w:gridSpan w:val="29"/>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120" w:type="dxa"/>
            <w:vAlign w:val="bottom"/>
            <w:gridSpan w:val="43"/>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Pursuant to Rules 13a-14(a) and 15d-14(a) under the</w:t>
            </w:r>
          </w:p>
        </w:tc>
        <w:tc>
          <w:tcPr>
            <w:tcW w:w="20" w:type="dxa"/>
            <w:vAlign w:val="bottom"/>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7840" w:type="dxa"/>
            <w:vAlign w:val="bottom"/>
            <w:tcBorders>
              <w:top w:val="single" w:sz="8" w:color="0000FF"/>
            </w:tcBorders>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Securities Exchange Act of 1934, as Adopted Pursuant to Section 302 of the Sarbanes-Oxley Act</w:t>
            </w:r>
          </w:p>
        </w:tc>
        <w:tc>
          <w:tcPr>
            <w:tcW w:w="280" w:type="dxa"/>
            <w:vAlign w:val="bottom"/>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of</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7"/>
              </w:rPr>
              <w:t>2002.</w:t>
            </w:r>
          </w:p>
        </w:tc>
        <w:tc>
          <w:tcPr>
            <w:tcW w:w="10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99" w:lineRule="exact"/>
        <w:rPr>
          <w:sz w:val="20"/>
          <w:szCs w:val="20"/>
          <w:color w:val="auto"/>
        </w:rPr>
      </w:pPr>
    </w:p>
    <w:p>
      <w:pPr>
        <w:sectPr>
          <w:pgSz w:w="12240" w:h="15840" w:orient="portrait"/>
          <w:cols w:equalWidth="0" w:num="1">
            <w:col w:w="9360"/>
          </w:cols>
          <w:pgMar w:left="1440" w:top="1417" w:right="1440" w:bottom="169" w:gutter="0" w:footer="0" w:header="0"/>
        </w:sect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417" w:right="1440" w:bottom="169" w:gutter="0" w:footer="0" w:header="0"/>
          <w:type w:val="continuous"/>
        </w:sectPr>
      </w:pPr>
    </w:p>
    <w:bookmarkStart w:id="81" w:name="page82"/>
    <w:bookmarkEnd w:id="81"/>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31.2*</w:t>
            </w: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Certification of Principal Financial Officer Pursuant to Rules 13a-14(a) and 15d-14(a) under the</w:t>
            </w:r>
          </w:p>
        </w:tc>
      </w:tr>
      <w:tr>
        <w:trPr>
          <w:trHeight w:val="180"/>
        </w:trPr>
        <w:tc>
          <w:tcPr>
            <w:tcW w:w="1460" w:type="dxa"/>
            <w:vAlign w:val="bottom"/>
          </w:tcPr>
          <w:p>
            <w:pPr>
              <w:spacing w:after="0"/>
              <w:rPr>
                <w:sz w:val="15"/>
                <w:szCs w:val="15"/>
                <w:color w:val="auto"/>
              </w:rPr>
            </w:pPr>
          </w:p>
        </w:tc>
        <w:tc>
          <w:tcPr>
            <w:tcW w:w="7740" w:type="dxa"/>
            <w:vAlign w:val="bottom"/>
            <w:tcBorders>
              <w:top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9"/>
              </w:rPr>
              <w:t>Securities Exchange Act of 1934, as Adopted Pursuant to Section 302 of the Sarbanes-Oxley Act</w:t>
            </w:r>
          </w:p>
        </w:tc>
        <w:tc>
          <w:tcPr>
            <w:tcW w:w="38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20"/>
                <w:szCs w:val="20"/>
                <w:color w:val="0000FF"/>
              </w:rPr>
              <w:t>of</w:t>
            </w:r>
          </w:p>
        </w:tc>
      </w:tr>
      <w:tr>
        <w:trPr>
          <w:trHeight w:val="180"/>
        </w:trPr>
        <w:tc>
          <w:tcPr>
            <w:tcW w:w="146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7"/>
              </w:rPr>
              <w:t>2002.</w:t>
            </w:r>
          </w:p>
        </w:tc>
        <w:tc>
          <w:tcPr>
            <w:tcW w:w="310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26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r>
      <w:tr>
        <w:trPr>
          <w:trHeight w:val="37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32.1**</w:t>
            </w: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Pursuant to 18 U.S.C. Section 1350, as Adopted</w:t>
            </w:r>
          </w:p>
        </w:tc>
      </w:tr>
      <w:tr>
        <w:trPr>
          <w:trHeight w:val="180"/>
        </w:trPr>
        <w:tc>
          <w:tcPr>
            <w:tcW w:w="1460" w:type="dxa"/>
            <w:vAlign w:val="bottom"/>
          </w:tcPr>
          <w:p>
            <w:pPr>
              <w:spacing w:after="0"/>
              <w:rPr>
                <w:sz w:val="15"/>
                <w:szCs w:val="15"/>
                <w:color w:val="auto"/>
              </w:rPr>
            </w:pPr>
          </w:p>
        </w:tc>
        <w:tc>
          <w:tcPr>
            <w:tcW w:w="7420" w:type="dxa"/>
            <w:vAlign w:val="bottom"/>
            <w:tcBorders>
              <w:top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Pursuant to Section 906 of the Sarbanes-Oxley Act of 2002.</w:t>
            </w:r>
          </w:p>
        </w:tc>
        <w:tc>
          <w:tcPr>
            <w:tcW w:w="700" w:type="dxa"/>
            <w:vAlign w:val="bottom"/>
            <w:gridSpan w:val="3"/>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r>
      <w:tr>
        <w:trPr>
          <w:trHeight w:val="36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32.2**</w:t>
            </w:r>
          </w:p>
        </w:tc>
        <w:tc>
          <w:tcPr>
            <w:tcW w:w="8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Certification of Principal Financial Officer Pursuant to 18 U.S.C. Section 1350, as Adopted Pursuant</w:t>
            </w:r>
          </w:p>
        </w:tc>
      </w:tr>
      <w:tr>
        <w:trPr>
          <w:trHeight w:val="180"/>
        </w:trPr>
        <w:tc>
          <w:tcPr>
            <w:tcW w:w="1460" w:type="dxa"/>
            <w:vAlign w:val="bottom"/>
          </w:tcPr>
          <w:p>
            <w:pPr>
              <w:spacing w:after="0"/>
              <w:rPr>
                <w:sz w:val="15"/>
                <w:szCs w:val="15"/>
                <w:color w:val="auto"/>
              </w:rPr>
            </w:pPr>
          </w:p>
        </w:tc>
        <w:tc>
          <w:tcPr>
            <w:tcW w:w="406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9"/>
              </w:rPr>
              <w:t>to Section 906 of the Sarbanes-Oxley Act of 2002.</w:t>
            </w:r>
          </w:p>
        </w:tc>
        <w:tc>
          <w:tcPr>
            <w:tcW w:w="4060" w:type="dxa"/>
            <w:vAlign w:val="bottom"/>
            <w:gridSpan w:val="5"/>
          </w:tcPr>
          <w:p>
            <w:pPr>
              <w:spacing w:after="0"/>
              <w:rPr>
                <w:sz w:val="15"/>
                <w:szCs w:val="15"/>
                <w:color w:val="auto"/>
              </w:rPr>
            </w:pPr>
          </w:p>
        </w:tc>
      </w:tr>
      <w:tr>
        <w:trPr>
          <w:trHeight w:val="36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97.1*</w:t>
            </w: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Perella Weinberg Partners Clawback Policy.</w:t>
            </w:r>
          </w:p>
        </w:tc>
      </w:tr>
      <w:tr>
        <w:trPr>
          <w:trHeight w:val="20"/>
        </w:trPr>
        <w:tc>
          <w:tcPr>
            <w:tcW w:w="1460" w:type="dxa"/>
            <w:vAlign w:val="bottom"/>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r>
      <w:tr>
        <w:trPr>
          <w:trHeight w:val="368"/>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101.INS*</w:t>
            </w: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9"/>
              </w:rPr>
              <w:t>Inline XBRL Instance Document - the instance document does not appear in the Interactive Data File</w:t>
            </w:r>
          </w:p>
        </w:tc>
      </w:tr>
      <w:tr>
        <w:trPr>
          <w:trHeight w:val="260"/>
        </w:trPr>
        <w:tc>
          <w:tcPr>
            <w:tcW w:w="1460" w:type="dxa"/>
            <w:vAlign w:val="bottom"/>
          </w:tcPr>
          <w:p>
            <w:pPr>
              <w:spacing w:after="0"/>
              <w:rPr>
                <w:sz w:val="22"/>
                <w:szCs w:val="22"/>
                <w:color w:val="auto"/>
              </w:rPr>
            </w:pP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26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101.SCH*</w:t>
            </w: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8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101.CAL*</w:t>
            </w: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8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101.DEF*</w:t>
            </w: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Definitions Linkbase Document.</w:t>
            </w:r>
          </w:p>
        </w:tc>
      </w:tr>
      <w:tr>
        <w:trPr>
          <w:trHeight w:val="28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101.LAB*</w:t>
            </w: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8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101.PRE*</w:t>
            </w: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8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104*</w:t>
            </w:r>
          </w:p>
        </w:tc>
        <w:tc>
          <w:tcPr>
            <w:tcW w:w="8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r>
        <w:trPr>
          <w:trHeight w:val="27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w w:val="99"/>
              </w:rPr>
              <w:t>__________________</w:t>
            </w:r>
          </w:p>
        </w:tc>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    Filed herewith.</w:t>
            </w:r>
          </w:p>
        </w:tc>
        <w:tc>
          <w:tcPr>
            <w:tcW w:w="4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ind w:left="370" w:hanging="370"/>
        <w:spacing w:after="0"/>
        <w:tabs>
          <w:tab w:leader="none" w:pos="37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ind w:left="370" w:hanging="370"/>
        <w:spacing w:after="0" w:line="237" w:lineRule="auto"/>
        <w:tabs>
          <w:tab w:leader="none" w:pos="37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Indicates a management or compensatory plan.</w:t>
      </w:r>
    </w:p>
    <w:p>
      <w:pPr>
        <w:spacing w:after="0" w:line="13" w:lineRule="exact"/>
        <w:rPr>
          <w:sz w:val="20"/>
          <w:szCs w:val="20"/>
          <w:color w:val="auto"/>
        </w:rPr>
      </w:pPr>
    </w:p>
    <w:p>
      <w:pPr>
        <w:ind w:left="370" w:hanging="370"/>
        <w:spacing w:after="0" w:line="271" w:lineRule="auto"/>
        <w:tabs>
          <w:tab w:leader="none" w:pos="37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to this Exhibit have been omitted in accordance with Item 601(b)(2) of Regulation S-K. The Company hereby agrees to hereby furnish supplementally a copy of all omitted schedules to the SEC upon request.</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10"/>
          </w:cols>
          <w:pgMar w:left="1170" w:top="1440"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910"/>
          </w:cols>
          <w:pgMar w:left="1170" w:top="1440" w:right="1160" w:bottom="169"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20" w:firstLine="360"/>
        <w:spacing w:after="0"/>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 in New York, New York.</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500" w:type="dxa"/>
            <w:vAlign w:val="bottom"/>
          </w:tcPr>
          <w:p>
            <w:pPr>
              <w:spacing w:after="0"/>
              <w:rPr>
                <w:sz w:val="22"/>
                <w:szCs w:val="22"/>
                <w:color w:val="auto"/>
              </w:rPr>
            </w:pPr>
          </w:p>
        </w:tc>
        <w:tc>
          <w:tcPr>
            <w:tcW w:w="6360" w:type="dxa"/>
            <w:vAlign w:val="bottom"/>
            <w:gridSpan w:val="2"/>
          </w:tcPr>
          <w:p>
            <w:pPr>
              <w:ind w:left="1480"/>
              <w:spacing w:after="0"/>
              <w:rPr>
                <w:sz w:val="20"/>
                <w:szCs w:val="20"/>
                <w:color w:val="auto"/>
              </w:rPr>
            </w:pPr>
            <w:r>
              <w:rPr>
                <w:rFonts w:ascii="Times New Roman" w:cs="Times New Roman" w:eastAsia="Times New Roman" w:hAnsi="Times New Roman"/>
                <w:sz w:val="20"/>
                <w:szCs w:val="20"/>
                <w:color w:val="auto"/>
              </w:rPr>
              <w:t>PERELLA WEINBERG PARTNERS</w:t>
            </w:r>
          </w:p>
        </w:tc>
      </w:tr>
      <w:tr>
        <w:trPr>
          <w:trHeight w:val="603"/>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23, 2024</w:t>
            </w:r>
          </w:p>
        </w:tc>
        <w:tc>
          <w:tcPr>
            <w:tcW w:w="19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ANDREW BEDNAR</w:t>
            </w:r>
          </w:p>
        </w:tc>
      </w:tr>
      <w:tr>
        <w:trPr>
          <w:trHeight w:val="264"/>
        </w:trPr>
        <w:tc>
          <w:tcPr>
            <w:tcW w:w="35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Andrew Bednar</w:t>
            </w:r>
          </w:p>
        </w:tc>
      </w:tr>
      <w:tr>
        <w:trPr>
          <w:trHeight w:val="283"/>
        </w:trPr>
        <w:tc>
          <w:tcPr>
            <w:tcW w:w="3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Chief Executive Officer</w:t>
            </w:r>
          </w:p>
        </w:tc>
      </w:tr>
      <w:tr>
        <w:trPr>
          <w:trHeight w:val="558"/>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23, 2024</w:t>
            </w:r>
          </w:p>
        </w:tc>
        <w:tc>
          <w:tcPr>
            <w:tcW w:w="19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ALEXANDRA GOTTSCHALK</w:t>
            </w:r>
          </w:p>
        </w:tc>
      </w:tr>
      <w:tr>
        <w:trPr>
          <w:trHeight w:val="264"/>
        </w:trPr>
        <w:tc>
          <w:tcPr>
            <w:tcW w:w="35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Alexandra Gottschalk</w:t>
            </w:r>
          </w:p>
        </w:tc>
      </w:tr>
      <w:tr>
        <w:trPr>
          <w:trHeight w:val="283"/>
        </w:trPr>
        <w:tc>
          <w:tcPr>
            <w:tcW w:w="3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Chief Financial Officer</w:t>
            </w:r>
          </w:p>
        </w:tc>
      </w:tr>
    </w:tbl>
    <w:p>
      <w:pPr>
        <w:spacing w:after="0" w:line="200" w:lineRule="exact"/>
        <w:rPr>
          <w:sz w:val="20"/>
          <w:szCs w:val="20"/>
          <w:color w:val="auto"/>
        </w:rPr>
      </w:pP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900"/>
          </w:cols>
          <w:pgMar w:left="1180" w:top="1371" w:right="1160" w:bottom="169" w:gutter="0" w:footer="0" w:header="0"/>
          <w:type w:val="continuous"/>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7"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KNOW BY ALL PERSONS BY THESE PRESENTS, that each person whose signature appears below constitutes and appoints Andrew Bednar and Alexandra Gottschalk,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86"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Pursuant to the requirements of the Securities Act of 1934, this report has been signed below by the following persons on behalf of the registrant and in the capacities indicated on February 23, 2024.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60" w:type="dxa"/>
            <w:vAlign w:val="bottom"/>
          </w:tcPr>
          <w:p>
            <w:pPr>
              <w:spacing w:after="0"/>
              <w:rPr>
                <w:sz w:val="18"/>
                <w:szCs w:val="18"/>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r>
      <w:tr>
        <w:trPr>
          <w:trHeight w:val="490"/>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ANDREW BEDNAR</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Executive Officer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Andrew Bednar</w:t>
            </w:r>
          </w:p>
        </w:tc>
        <w:tc>
          <w:tcPr>
            <w:tcW w:w="6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ALEXANDRA GOTTSCHALK</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r>
      <w:tr>
        <w:trPr>
          <w:trHeight w:val="182"/>
        </w:trPr>
        <w:tc>
          <w:tcPr>
            <w:tcW w:w="48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Alexandra Gottschalk</w:t>
            </w:r>
          </w:p>
        </w:tc>
        <w:tc>
          <w:tcPr>
            <w:tcW w:w="60" w:type="dxa"/>
            <w:vAlign w:val="bottom"/>
          </w:tcPr>
          <w:p>
            <w:pPr>
              <w:spacing w:after="0"/>
              <w:rPr>
                <w:sz w:val="15"/>
                <w:szCs w:val="15"/>
                <w:color w:val="auto"/>
              </w:rPr>
            </w:pPr>
          </w:p>
        </w:tc>
        <w:tc>
          <w:tcPr>
            <w:tcW w:w="50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(Principal Financial Officer and Principal Accounting</w:t>
            </w:r>
          </w:p>
        </w:tc>
      </w:tr>
      <w:tr>
        <w:trPr>
          <w:trHeight w:val="260"/>
        </w:trPr>
        <w:tc>
          <w:tcPr>
            <w:tcW w:w="4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Officer)</w:t>
            </w:r>
          </w:p>
        </w:tc>
      </w:tr>
      <w:tr>
        <w:trPr>
          <w:trHeight w:val="54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PETER A. WEINBERG</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Chairman</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Peter A. Weinberg</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1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JOSEPH R. PERELLA</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Chairman Emeritus</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Joseph R. Perella</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ROBERT K. STEEL</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Vice Chairman</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Robert K. Steel</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DIETRICH BECKER</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Dietrich Becker</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1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ELIZABETH COGAN FASCITELLI</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Elizabeth Cogan Fascitelli</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4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KRISTIN W. MUGFORD</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Kristin W. Mugford</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1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JORMA OLLILA</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Jorma Ollila</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JANE C. SHERBURNE</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Jane C. Sherburne</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sectPr>
      <w:pgSz w:w="12240" w:h="15840" w:orient="portrait"/>
      <w:cols w:equalWidth="0" w:num="1">
        <w:col w:w="9900"/>
      </w:cols>
      <w:pgMar w:left="1180" w:top="1371" w:right="1160" w:bottom="1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Roman"/>
      <w:start w:val="3"/>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amp;"/>
      <w:numFmt w:val="bullet"/>
      <w:start w:val="1"/>
    </w:lvl>
  </w:abstractNum>
  <w:abstractNum w:abstractNumId="5">
    <w:nsid w:val="41A7C4C9"/>
    <w:multiLevelType w:val="hybridMultilevel"/>
    <w:lvl w:ilvl="0">
      <w:lvlJc w:val="left"/>
      <w:lvlText w:val="(%1)"/>
      <w:numFmt w:val="lowerRoman"/>
      <w:start w:val="3"/>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2024-04-12T19:51:46Z</dcterms:created>
  <dcterms:modified xsi:type="dcterms:W3CDTF">2024-04-12T19:51:46Z</dcterms:modified>
</cp:coreProperties>
</file>