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PERELLA WEINBERG PARTNERS</w:t>
      </w:r>
    </w:p>
    <w:p>
      <w:pPr>
        <w:jc w:val="center"/>
        <w:ind w:right="-99"/>
        <w:spacing w:after="0" w:line="204" w:lineRule="auto"/>
        <w:rPr>
          <w:sz w:val="20"/>
          <w:szCs w:val="20"/>
          <w:color w:val="auto"/>
        </w:rPr>
      </w:pPr>
      <w:r>
        <w:rPr>
          <w:rFonts w:ascii="Times New Roman" w:cs="Times New Roman" w:eastAsia="Times New Roman" w:hAnsi="Times New Roman"/>
          <w:sz w:val="22"/>
          <w:szCs w:val="22"/>
          <w:color w:val="auto"/>
        </w:rPr>
        <w:t>767 FIFTH AVENUE</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July 15, 2022</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Office of Finance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Attention: Jessica Livingston</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 Perella Weinberg Partners</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Registration Statement on Form S-3 (the “Registration Statement”)</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File No. 333-266051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4"/>
          <w:szCs w:val="24"/>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Pursuant to Rule 461 under the Securities Act of 1933, as amended, Perella Weinberg Partners (the “Company”) hereby requests acceleration of the effective date of the above referenced Registration Statement to 4:00 p.m., Eastern Time, on July 19, 2022, or as soon thereafter as practicable, or at such other time as the Company or its outside counsel, Skadden, Arps, Slate, Meagher &amp; Flom LLP, request by telephone that such Registration Statement be declared effective.</w:t>
      </w:r>
    </w:p>
    <w:p>
      <w:pPr>
        <w:spacing w:after="0" w:line="19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Please contact Michael Schwartz, of Skadden, Arps, Slate, Meagher &amp; Flom LLP, outside counsel to the Company, at (202) 735-3694, as soon as the Registration Statement has been declared effective, or if you have any other questions or concerns regarding this matter.</w:t>
      </w:r>
    </w:p>
    <w:p>
      <w:pPr>
        <w:spacing w:after="0" w:line="231"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0"/>
          <w:szCs w:val="20"/>
          <w:color w:val="auto"/>
        </w:rPr>
        <w:t>Sincerely,</w:t>
      </w:r>
    </w:p>
    <w:p>
      <w:pPr>
        <w:spacing w:after="0" w:line="36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0"/>
          <w:szCs w:val="20"/>
          <w:color w:val="auto"/>
        </w:rPr>
        <w:t>/s/ Vladimir Shendelman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3870960</wp:posOffset>
            </wp:positionH>
            <wp:positionV relativeFrom="paragraph">
              <wp:posOffset>48260</wp:posOffset>
            </wp:positionV>
            <wp:extent cx="3265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88" w:lineRule="exact"/>
        <w:rPr>
          <w:sz w:val="24"/>
          <w:szCs w:val="24"/>
          <w:color w:val="auto"/>
        </w:rPr>
      </w:pPr>
    </w:p>
    <w:p>
      <w:pPr>
        <w:ind w:left="6120"/>
        <w:spacing w:after="0"/>
        <w:tabs>
          <w:tab w:leader="none" w:pos="69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Vladimir Shendelman</w:t>
      </w:r>
    </w:p>
    <w:p>
      <w:pPr>
        <w:spacing w:after="0" w:line="94" w:lineRule="exact"/>
        <w:rPr>
          <w:sz w:val="24"/>
          <w:szCs w:val="24"/>
          <w:color w:val="auto"/>
        </w:rPr>
      </w:pPr>
    </w:p>
    <w:p>
      <w:pPr>
        <w:ind w:left="6120"/>
        <w:spacing w:after="0"/>
        <w:tabs>
          <w:tab w:leader="none" w:pos="69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General Counsel</w:t>
      </w:r>
    </w:p>
    <w:p>
      <w:pPr>
        <w:spacing w:after="0" w:line="346" w:lineRule="exact"/>
        <w:rPr>
          <w:sz w:val="24"/>
          <w:szCs w:val="24"/>
          <w:color w:val="auto"/>
        </w:rPr>
      </w:pPr>
    </w:p>
    <w:p>
      <w:pPr>
        <w:ind w:left="480" w:hanging="472"/>
        <w:spacing w:after="0"/>
        <w:tabs>
          <w:tab w:leader="none" w:pos="4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Schwartz, Skadden, Arps, Slate, Meagher &amp; Flom LLP</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2022-08-16T23:09:32Z</dcterms:created>
  <dcterms:modified xsi:type="dcterms:W3CDTF">2022-08-16T23:09:32Z</dcterms:modified>
</cp:coreProperties>
</file>