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30756252.xml.htm"/>
      <w:bookmarkStart w:id="1" w:name="kswkform4_17307562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Weinberg Peter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767 FIFTH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Perella Weinberg Partners</w:t>
              </w:r>
            </w:hyperlink>
            <w:r>
              <w:rPr/>
              <w:t xml:space="preserve"> [ </w:t>
            </w:r>
            <w:r>
              <w:rPr>
                <w:rFonts w:ascii="Times;serif" w:hAnsi="Times;serif"/>
                <w:color w:val="0000FF"/>
                <w:sz w:val="24"/>
                <w:shd w:fill="FFFFFF" w:val="clear"/>
              </w:rPr>
              <w:t>PWP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10/31/2024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63"/>
        <w:gridCol w:w="443"/>
        <w:gridCol w:w="748"/>
        <w:gridCol w:w="1264"/>
        <w:gridCol w:w="984"/>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66,990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2,001,007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34,198</w:t>
            </w:r>
            <w:r>
              <w:rPr>
                <w:rFonts w:ascii="Times;serif" w:hAnsi="Times;serif"/>
                <w:color w:val="008000"/>
                <w:position w:val="7"/>
                <w:sz w:val="16"/>
                <w:sz w:val="20"/>
                <w:shd w:fill="FFFFFF" w:val="clear"/>
              </w:rPr>
              <w:t>(1)</w:t>
            </w:r>
            <w:r>
              <w:rPr/>
              <w:t xml:space="preserve"> </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20.23</w:t>
            </w:r>
            <w:r>
              <w:rPr/>
              <w:t xml:space="preserve"> </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1,966,809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842,621</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Red Hook Capital LLC</w:t>
            </w:r>
            <w:r>
              <w:rPr>
                <w:rFonts w:ascii="Times;serif" w:hAnsi="Times;serif"/>
                <w:color w:val="008000"/>
                <w:position w:val="7"/>
                <w:sz w:val="16"/>
                <w:sz w:val="20"/>
                <w:shd w:fill="FFFFFF" w:val="clear"/>
              </w:rPr>
              <w:t>(2)</w:t>
            </w:r>
            <w:r>
              <w:rPr/>
              <w:t xml:space="preserve"> </w:t>
            </w:r>
          </w:p>
        </w:tc>
      </w:tr>
    </w:tbl>
    <w:tbl>
      <w:tblPr>
        <w:tblW w:w="12959" w:type="dxa"/>
        <w:jc w:val="left"/>
        <w:tblInd w:w="-7" w:type="dxa"/>
        <w:tblLayout w:type="fixed"/>
        <w:tblCellMar>
          <w:top w:w="60" w:type="dxa"/>
          <w:left w:w="60" w:type="dxa"/>
          <w:bottom w:w="60" w:type="dxa"/>
          <w:right w:w="60" w:type="dxa"/>
        </w:tblCellMar>
      </w:tblPr>
      <w:tblGrid>
        <w:gridCol w:w="1715"/>
        <w:gridCol w:w="861"/>
        <w:gridCol w:w="891"/>
        <w:gridCol w:w="771"/>
        <w:gridCol w:w="591"/>
        <w:gridCol w:w="300"/>
        <w:gridCol w:w="276"/>
        <w:gridCol w:w="711"/>
        <w:gridCol w:w="906"/>
        <w:gridCol w:w="801"/>
        <w:gridCol w:w="891"/>
        <w:gridCol w:w="801"/>
        <w:gridCol w:w="801"/>
        <w:gridCol w:w="966"/>
        <w:gridCol w:w="831"/>
        <w:gridCol w:w="846"/>
      </w:tblGrid>
      <w:tr>
        <w:trPr>
          <w:tblHeader w:val="true"/>
        </w:trPr>
        <w:tc>
          <w:tcPr>
            <w:tcW w:w="129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7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Performance-Based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66,990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66,990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1,117,792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deemed disposition of shares of Class A common stock to the Issuer to satisfy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Red Hook Capital LLC. The Reporting Person has shared voting and dispositive power over Red Hook Capital LLC through his shared control of Rosedale Partners LLC, the sole member of Red Hook. Each of the Reporting Person and Rosedale Partners LLC disclaims beneficial ownership of the securities held by Red Hook Capital LLC, except to the extent of their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performance-based restricted stock unit ("PSU")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PSUs granted on August 31, 2021 vest based on the achievement of (i) service-based vesting conditions that are satisfied in two equal installments on the third and fifth anniversaries of the grant date, subject to a 50% holdback after the first vesting date, and (ii) performance-based vesting conditions that are satisfied upon the achievement, as measured on the last calendar day of each month, of closing stock prices equal to $15, $20, $25 and $30 (subject to linear interpolation) for 20 out of any 30 consecutive trading days, in each case prior to the fifth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PSUs vested on October 31, 2024, upon the achievement of certain service-based and performance-based vesting conditions.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Polemeni,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6779" TargetMode="External"/><Relationship Id="rId5" Type="http://schemas.openxmlformats.org/officeDocument/2006/relationships/hyperlink" Target="http://www.sec.gov/cgi-bin/browse-edgar?action=getcompany&amp;CIK=000177783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837</Words>
  <Characters>4486</Characters>
  <CharactersWithSpaces>5240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