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864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8642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3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Weinberg Peter 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767 FIFTH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235"/>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Perella Weinberg Partners</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PWP</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04/01/2025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245"/>
        <w:spacing w:after="0"/>
        <w:rPr>
          <w:sz w:val="20"/>
          <w:szCs w:val="20"/>
          <w:color w:val="auto"/>
        </w:rPr>
      </w:pPr>
      <w:r>
        <w:rPr>
          <w:rFonts w:ascii="Times New Roman" w:cs="Times New Roman" w:eastAsia="Times New Roman" w:hAnsi="Times New Roman"/>
          <w:sz w:val="17"/>
          <w:szCs w:val="17"/>
          <w:color w:val="0000FF"/>
        </w:rPr>
        <w:t>Chairman</w:t>
      </w:r>
    </w:p>
    <w:p>
      <w:pPr>
        <w:spacing w:after="0" w:line="279" w:lineRule="exact"/>
        <w:rPr>
          <w:sz w:val="24"/>
          <w:szCs w:val="24"/>
          <w:color w:val="auto"/>
        </w:rPr>
      </w:pPr>
    </w:p>
    <w:p>
      <w:pPr>
        <w:sectPr>
          <w:pgSz w:w="11900" w:h="16838" w:orient="portrait"/>
          <w:cols w:equalWidth="0" w:num="3">
            <w:col w:w="3200" w:space="720"/>
            <w:col w:w="3095" w:space="720"/>
            <w:col w:w="3345"/>
          </w:cols>
          <w:pgMar w:left="460" w:top="219" w:right="359" w:bottom="340" w:gutter="0" w:footer="0" w:header="0"/>
          <w:type w:val="continuous"/>
        </w:sectPr>
      </w:pP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29"/>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560" w:type="dxa"/>
            <w:vAlign w:val="bottom"/>
            <w:shd w:val="clear" w:color="auto" w:fill="9A9A9A"/>
          </w:tcPr>
          <w:p>
            <w:pPr>
              <w:spacing w:after="0"/>
              <w:rPr>
                <w:sz w:val="2"/>
                <w:szCs w:val="2"/>
                <w:color w:val="auto"/>
              </w:rPr>
            </w:pPr>
          </w:p>
        </w:tc>
        <w:tc>
          <w:tcPr>
            <w:tcW w:w="300" w:type="dxa"/>
            <w:vAlign w:val="bottom"/>
            <w:shd w:val="clear" w:color="auto" w:fill="9A9A9A"/>
          </w:tcPr>
          <w:p>
            <w:pPr>
              <w:spacing w:after="0"/>
              <w:rPr>
                <w:sz w:val="2"/>
                <w:szCs w:val="2"/>
                <w:color w:val="auto"/>
              </w:rPr>
            </w:pPr>
          </w:p>
        </w:tc>
        <w:tc>
          <w:tcPr>
            <w:tcW w:w="820" w:type="dxa"/>
            <w:vAlign w:val="bottom"/>
            <w:shd w:val="clear" w:color="auto" w:fill="9A9A9A"/>
          </w:tcPr>
          <w:p>
            <w:pPr>
              <w:spacing w:after="0"/>
              <w:rPr>
                <w:sz w:val="2"/>
                <w:szCs w:val="2"/>
                <w:color w:val="auto"/>
              </w:rPr>
            </w:pPr>
          </w:p>
        </w:tc>
        <w:tc>
          <w:tcPr>
            <w:tcW w:w="1340" w:type="dxa"/>
            <w:vAlign w:val="bottom"/>
            <w:shd w:val="clear" w:color="auto" w:fill="9A9A9A"/>
          </w:tcPr>
          <w:p>
            <w:pPr>
              <w:spacing w:after="0"/>
              <w:rPr>
                <w:sz w:val="2"/>
                <w:szCs w:val="2"/>
                <w:color w:val="auto"/>
              </w:rPr>
            </w:pPr>
          </w:p>
        </w:tc>
        <w:tc>
          <w:tcPr>
            <w:tcW w:w="20" w:type="dxa"/>
            <w:vAlign w:val="bottom"/>
            <w:vMerge w:val="restart"/>
          </w:tcPr>
          <w:p>
            <w:pPr>
              <w:spacing w:after="0"/>
              <w:rPr>
                <w:sz w:val="2"/>
                <w:szCs w:val="2"/>
                <w:color w:val="auto"/>
              </w:rPr>
            </w:pPr>
          </w:p>
        </w:tc>
        <w:tc>
          <w:tcPr>
            <w:tcW w:w="354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vMerge w:val="continue"/>
          </w:tcPr>
          <w:p>
            <w:pPr>
              <w:spacing w:after="0"/>
              <w:rPr>
                <w:sz w:val="10"/>
                <w:szCs w:val="10"/>
                <w:color w:val="auto"/>
              </w:rPr>
            </w:pPr>
          </w:p>
        </w:tc>
        <w:tc>
          <w:tcPr>
            <w:tcW w:w="3540" w:type="dxa"/>
            <w:vAlign w:val="bottom"/>
            <w:gridSpan w:val="6"/>
            <w:vMerge w:val="continue"/>
          </w:tcPr>
          <w:p>
            <w:pPr>
              <w:spacing w:after="0"/>
              <w:rPr>
                <w:sz w:val="10"/>
                <w:szCs w:val="10"/>
                <w:color w:val="auto"/>
              </w:rPr>
            </w:pPr>
          </w:p>
        </w:tc>
        <w:tc>
          <w:tcPr>
            <w:tcW w:w="376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9"/>
                <w:szCs w:val="19"/>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10153</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Borders>
              <w:top w:val="single" w:sz="8" w:color="EEEEEE"/>
            </w:tcBorders>
          </w:tcPr>
          <w:p>
            <w:pPr>
              <w:spacing w:after="0"/>
              <w:rPr>
                <w:sz w:val="16"/>
                <w:szCs w:val="16"/>
                <w:color w:val="auto"/>
              </w:rPr>
            </w:pPr>
          </w:p>
        </w:tc>
        <w:tc>
          <w:tcPr>
            <w:tcW w:w="1120" w:type="dxa"/>
            <w:vAlign w:val="bottom"/>
            <w:tcBorders>
              <w:top w:val="single" w:sz="8" w:color="EEEEEE"/>
            </w:tcBorders>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Borders>
              <w:top w:val="single" w:sz="8" w:color="EEEEEE"/>
            </w:tcBorders>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4"/>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60" w:type="dxa"/>
            <w:vAlign w:val="bottom"/>
            <w:gridSpan w:val="3"/>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Red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gridSpan w:val="3"/>
            <w:vMerge w:val="restart"/>
          </w:tcPr>
          <w:p>
            <w:pPr>
              <w:ind w:left="800"/>
              <w:spacing w:after="0"/>
              <w:rPr>
                <w:sz w:val="20"/>
                <w:szCs w:val="20"/>
                <w:color w:val="auto"/>
              </w:rPr>
            </w:pPr>
            <w:r>
              <w:rPr>
                <w:rFonts w:ascii="Times New Roman" w:cs="Times New Roman" w:eastAsia="Times New Roman" w:hAnsi="Times New Roman"/>
                <w:sz w:val="17"/>
                <w:szCs w:val="17"/>
                <w:color w:val="0000FF"/>
              </w:rPr>
              <w:t>04/01/2025</w:t>
            </w: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80" w:type="dxa"/>
            <w:vAlign w:val="bottom"/>
            <w:vMerge w:val="restart"/>
          </w:tcPr>
          <w:p>
            <w:pPr>
              <w:jc w:val="right"/>
              <w:ind w:right="32"/>
              <w:spacing w:after="0"/>
              <w:rPr>
                <w:sz w:val="20"/>
                <w:szCs w:val="20"/>
                <w:color w:val="auto"/>
              </w:rPr>
            </w:pPr>
            <w:r>
              <w:rPr>
                <w:rFonts w:ascii="Times New Roman" w:cs="Times New Roman" w:eastAsia="Times New Roman" w:hAnsi="Times New Roman"/>
                <w:sz w:val="17"/>
                <w:szCs w:val="17"/>
                <w:color w:val="0000FF"/>
              </w:rPr>
              <w:t>101,018</w:t>
            </w:r>
          </w:p>
        </w:tc>
        <w:tc>
          <w:tcPr>
            <w:tcW w:w="4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vMerge w:val="restart"/>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18.45</w:t>
            </w:r>
            <w:r>
              <w:rPr>
                <w:rFonts w:ascii="Times New Roman" w:cs="Times New Roman" w:eastAsia="Times New Roman" w:hAnsi="Times New Roman"/>
                <w:sz w:val="22"/>
                <w:szCs w:val="22"/>
                <w:color w:val="008000"/>
                <w:vertAlign w:val="superscript"/>
              </w:rPr>
              <w:t>(2)</w:t>
            </w: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177,603</w:t>
            </w:r>
          </w:p>
        </w:tc>
        <w:tc>
          <w:tcPr>
            <w:tcW w:w="920" w:type="dxa"/>
            <w:vAlign w:val="bottom"/>
            <w:vMerge w:val="restart"/>
          </w:tcPr>
          <w:p>
            <w:pPr>
              <w:jc w:val="center"/>
              <w:ind w:right="54"/>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Hook</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gridSpan w:val="5"/>
            <w:vMerge w:val="continue"/>
          </w:tcPr>
          <w:p>
            <w:pPr>
              <w:spacing w:after="0"/>
              <w:rPr>
                <w:sz w:val="15"/>
                <w:szCs w:val="15"/>
                <w:color w:val="auto"/>
              </w:rPr>
            </w:pPr>
          </w:p>
        </w:tc>
        <w:tc>
          <w:tcPr>
            <w:tcW w:w="1760" w:type="dxa"/>
            <w:vAlign w:val="bottom"/>
            <w:gridSpan w:val="3"/>
            <w:vMerge w:val="continue"/>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Capital</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(3)</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Red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gridSpan w:val="3"/>
            <w:vMerge w:val="restart"/>
          </w:tcPr>
          <w:p>
            <w:pPr>
              <w:ind w:left="800"/>
              <w:spacing w:after="0"/>
              <w:rPr>
                <w:sz w:val="20"/>
                <w:szCs w:val="20"/>
                <w:color w:val="auto"/>
              </w:rPr>
            </w:pPr>
            <w:r>
              <w:rPr>
                <w:rFonts w:ascii="Times New Roman" w:cs="Times New Roman" w:eastAsia="Times New Roman" w:hAnsi="Times New Roman"/>
                <w:sz w:val="17"/>
                <w:szCs w:val="17"/>
                <w:color w:val="0000FF"/>
              </w:rPr>
              <w:t>04/02/2025</w:t>
            </w: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80" w:type="dxa"/>
            <w:vAlign w:val="bottom"/>
            <w:vMerge w:val="restart"/>
          </w:tcPr>
          <w:p>
            <w:pPr>
              <w:jc w:val="right"/>
              <w:ind w:right="72"/>
              <w:spacing w:after="0"/>
              <w:rPr>
                <w:sz w:val="20"/>
                <w:szCs w:val="20"/>
                <w:color w:val="auto"/>
              </w:rPr>
            </w:pPr>
            <w:r>
              <w:rPr>
                <w:rFonts w:ascii="Times New Roman" w:cs="Times New Roman" w:eastAsia="Times New Roman" w:hAnsi="Times New Roman"/>
                <w:sz w:val="17"/>
                <w:szCs w:val="17"/>
                <w:color w:val="0000FF"/>
              </w:rPr>
              <w:t>39,982</w:t>
            </w:r>
          </w:p>
        </w:tc>
        <w:tc>
          <w:tcPr>
            <w:tcW w:w="4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vMerge w:val="restart"/>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19.16</w:t>
            </w:r>
            <w:r>
              <w:rPr>
                <w:rFonts w:ascii="Times New Roman" w:cs="Times New Roman" w:eastAsia="Times New Roman" w:hAnsi="Times New Roman"/>
                <w:sz w:val="22"/>
                <w:szCs w:val="22"/>
                <w:color w:val="008000"/>
                <w:vertAlign w:val="superscript"/>
              </w:rPr>
              <w:t>(4)</w:t>
            </w: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137,621</w:t>
            </w:r>
          </w:p>
        </w:tc>
        <w:tc>
          <w:tcPr>
            <w:tcW w:w="920" w:type="dxa"/>
            <w:vAlign w:val="bottom"/>
            <w:vMerge w:val="restart"/>
          </w:tcPr>
          <w:p>
            <w:pPr>
              <w:jc w:val="center"/>
              <w:ind w:right="54"/>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Hook</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gridSpan w:val="5"/>
            <w:vMerge w:val="continue"/>
          </w:tcPr>
          <w:p>
            <w:pPr>
              <w:spacing w:after="0"/>
              <w:rPr>
                <w:sz w:val="15"/>
                <w:szCs w:val="15"/>
                <w:color w:val="auto"/>
              </w:rPr>
            </w:pPr>
          </w:p>
        </w:tc>
        <w:tc>
          <w:tcPr>
            <w:tcW w:w="1760" w:type="dxa"/>
            <w:vAlign w:val="bottom"/>
            <w:gridSpan w:val="3"/>
            <w:vMerge w:val="continue"/>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Capital</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400" w:type="dxa"/>
            <w:vAlign w:val="bottom"/>
            <w:tcBorders>
              <w:top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340" w:type="dxa"/>
            <w:vAlign w:val="bottom"/>
            <w:tcBorders>
              <w:top w:val="single" w:sz="8" w:color="2C2C2C"/>
            </w:tcBorders>
          </w:tcPr>
          <w:p>
            <w:pPr>
              <w:spacing w:after="0"/>
              <w:rPr>
                <w:sz w:val="23"/>
                <w:szCs w:val="23"/>
                <w:color w:val="auto"/>
              </w:rPr>
            </w:pPr>
          </w:p>
        </w:tc>
        <w:tc>
          <w:tcPr>
            <w:tcW w:w="20" w:type="dxa"/>
            <w:vAlign w:val="bottom"/>
            <w:tcBorders>
              <w:top w:val="single" w:sz="8" w:color="2C2C2C"/>
            </w:tcBorders>
          </w:tcPr>
          <w:p>
            <w:pPr>
              <w:spacing w:after="0"/>
              <w:rPr>
                <w:sz w:val="23"/>
                <w:szCs w:val="23"/>
                <w:color w:val="auto"/>
              </w:rPr>
            </w:pPr>
          </w:p>
        </w:tc>
        <w:tc>
          <w:tcPr>
            <w:tcW w:w="40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660" w:type="dxa"/>
            <w:vAlign w:val="bottom"/>
            <w:tcBorders>
              <w:top w:val="single" w:sz="8" w:color="2C2C2C"/>
            </w:tcBorders>
          </w:tcPr>
          <w:p>
            <w:pPr>
              <w:spacing w:after="0"/>
              <w:rPr>
                <w:sz w:val="23"/>
                <w:szCs w:val="23"/>
                <w:color w:val="auto"/>
              </w:rPr>
            </w:pPr>
          </w:p>
        </w:tc>
        <w:tc>
          <w:tcPr>
            <w:tcW w:w="820" w:type="dxa"/>
            <w:vAlign w:val="bottom"/>
            <w:tcBorders>
              <w:top w:val="single" w:sz="8" w:color="2C2C2C"/>
            </w:tcBorders>
          </w:tcPr>
          <w:p>
            <w:pPr>
              <w:spacing w:after="0"/>
              <w:rPr>
                <w:sz w:val="23"/>
                <w:szCs w:val="23"/>
                <w:color w:val="auto"/>
              </w:rPr>
            </w:pPr>
          </w:p>
        </w:tc>
        <w:tc>
          <w:tcPr>
            <w:tcW w:w="78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54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200" w:type="dxa"/>
            <w:vAlign w:val="bottom"/>
            <w:tcBorders>
              <w:top w:val="single" w:sz="8" w:color="2C2C2C"/>
            </w:tcBorders>
          </w:tcPr>
          <w:p>
            <w:pPr>
              <w:spacing w:after="0"/>
              <w:rPr>
                <w:sz w:val="23"/>
                <w:szCs w:val="23"/>
                <w:color w:val="auto"/>
              </w:rPr>
            </w:pPr>
          </w:p>
        </w:tc>
        <w:tc>
          <w:tcPr>
            <w:tcW w:w="1200" w:type="dxa"/>
            <w:vAlign w:val="bottom"/>
            <w:tcBorders>
              <w:top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1,966,744</w:t>
            </w:r>
          </w:p>
        </w:tc>
        <w:tc>
          <w:tcPr>
            <w:tcW w:w="920" w:type="dxa"/>
            <w:vAlign w:val="bottom"/>
            <w:tcBorders>
              <w:top w:val="single" w:sz="8" w:color="2C2C2C"/>
            </w:tcBorders>
          </w:tcPr>
          <w:p>
            <w:pPr>
              <w:jc w:val="center"/>
              <w:ind w:right="54"/>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4080" w:type="dxa"/>
            <w:vAlign w:val="bottom"/>
            <w:tcBorders>
              <w:bottom w:val="single" w:sz="8" w:color="2C2C2C"/>
            </w:tcBorders>
            <w:gridSpan w:val="7"/>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60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effected pursuant to a Rule 10b5-1 trading plan adopted by Red Hook Capital LLC on August 6, 2024.</w:t>
      </w:r>
    </w:p>
    <w:p>
      <w:pPr>
        <w:spacing w:after="0" w:line="50" w:lineRule="exact"/>
        <w:rPr>
          <w:rFonts w:ascii="Times New Roman" w:cs="Times New Roman" w:eastAsia="Times New Roman" w:hAnsi="Times New Roman"/>
          <w:sz w:val="13"/>
          <w:szCs w:val="13"/>
          <w:color w:val="008000"/>
        </w:rPr>
      </w:pPr>
    </w:p>
    <w:p>
      <w:pPr>
        <w:ind w:left="40" w:right="2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between $17.97-$18.75, inclusive.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securities held directly by Red Hook Capital LLC. The Reporting Person has shared voting and dispositive power over Red Hook Capital LLC through his shared control of Rosedale Partners LLC, the sole member of Red Hook. Each of the Reporting Person and Rosedale Partners LLC disclaims beneficial ownership of the securities held by Red Hook Capital LLC, except to the extent of their respective pecuniary interest therein.</w:t>
      </w:r>
    </w:p>
    <w:p>
      <w:pPr>
        <w:spacing w:after="0" w:line="20" w:lineRule="exact"/>
        <w:rPr>
          <w:rFonts w:ascii="Times New Roman" w:cs="Times New Roman" w:eastAsia="Times New Roman" w:hAnsi="Times New Roman"/>
          <w:sz w:val="13"/>
          <w:szCs w:val="13"/>
          <w:color w:val="008000"/>
        </w:rPr>
      </w:pPr>
    </w:p>
    <w:p>
      <w:pPr>
        <w:ind w:left="40" w:right="2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between $17.91-$19.51, inclusive. The reporting person hereby undertakes to provide upon request, to the SEC staff, the Issuer or a security holder of the Issuer, full information regarding the number of shares and prices at which the transaction was effected.</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Mark Polemeni,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04/03/2025</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340" w:type="dxa"/>
            <w:vAlign w:val="bottom"/>
            <w:tcBorders>
              <w:top w:val="single" w:sz="8" w:color="auto"/>
            </w:tcBorders>
            <w:vMerge w:val="restart"/>
          </w:tcPr>
          <w:p>
            <w:pPr>
              <w:spacing w:after="0"/>
              <w:rPr>
                <w:sz w:val="7"/>
                <w:szCs w:val="7"/>
                <w:color w:val="auto"/>
              </w:rPr>
            </w:pPr>
          </w:p>
        </w:tc>
        <w:tc>
          <w:tcPr>
            <w:tcW w:w="5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340" w:type="dxa"/>
            <w:vAlign w:val="bottom"/>
            <w:tcBorders>
              <w:top w:val="single" w:sz="8" w:color="auto"/>
            </w:tcBorders>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3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16779" TargetMode="External"/><Relationship Id="rId14" Type="http://schemas.openxmlformats.org/officeDocument/2006/relationships/hyperlink" Target="http://www.sec.gov/cgi-bin/browse-edgar?action=getcompany&amp;CIK=00017778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2025-04-03T16:44:08Z</dcterms:created>
  <dcterms:modified xsi:type="dcterms:W3CDTF">2025-04-03T16:44:08Z</dcterms:modified>
</cp:coreProperties>
</file>