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97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Weinberg Peter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12/29/2023</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45"/>
        <w:spacing w:after="0"/>
        <w:rPr>
          <w:sz w:val="20"/>
          <w:szCs w:val="20"/>
          <w:color w:val="auto"/>
        </w:rPr>
      </w:pPr>
      <w:r>
        <w:rPr>
          <w:rFonts w:ascii="Times New Roman" w:cs="Times New Roman" w:eastAsia="Times New Roman" w:hAnsi="Times New Roman"/>
          <w:sz w:val="17"/>
          <w:szCs w:val="17"/>
          <w:color w:val="0000FF"/>
        </w:rPr>
        <w:t>Chairman</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979"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2"/>
                <w:szCs w:val="2"/>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20" w:type="dxa"/>
            <w:vAlign w:val="bottom"/>
          </w:tcPr>
          <w:p>
            <w:pPr>
              <w:spacing w:after="0"/>
              <w:rPr>
                <w:sz w:val="10"/>
                <w:szCs w:val="10"/>
                <w:color w:val="auto"/>
              </w:rPr>
            </w:pPr>
          </w:p>
        </w:tc>
        <w:tc>
          <w:tcPr>
            <w:tcW w:w="35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12/29/2023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3,895</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12.44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2,114,937</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01/21/2025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70,239</w:t>
            </w:r>
            <w:r>
              <w:rPr>
                <w:rFonts w:ascii="Times New Roman" w:cs="Times New Roman" w:eastAsia="Times New Roman" w:hAnsi="Times New Roman"/>
                <w:sz w:val="22"/>
                <w:szCs w:val="22"/>
                <w:color w:val="008000"/>
                <w:vertAlign w:val="superscript"/>
              </w:rPr>
              <w:t>(3)</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2,044,698</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560,621</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Hook</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deemed disposition of unvested restricted stock units to the Issuer to satisfy tax withholding obligations in connection with the reporting person becoming retirement eligible.</w:t>
      </w:r>
    </w:p>
    <w:p>
      <w:pPr>
        <w:spacing w:after="0" w:line="50" w:lineRule="exact"/>
        <w:rPr>
          <w:rFonts w:ascii="Times New Roman" w:cs="Times New Roman" w:eastAsia="Times New Roman" w:hAnsi="Times New Roman"/>
          <w:sz w:val="13"/>
          <w:szCs w:val="13"/>
          <w:color w:val="008000"/>
        </w:rPr>
      </w:pPr>
    </w:p>
    <w:p>
      <w:pPr>
        <w:ind w:left="40" w:right="8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number of shares reported in Column 5 reflects both the reported transaction and the transactions reported in subsequent Forms 4, as well as 3,895 shares of Class A common stock underreported in previous Forms 4.</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deemed disposition of shares of Class A common stock to the Issuer to satisfy tax withholding obligations in connection with the November 30, 2024 and December 31, 2024 achievement of certain service-based and performance-based vesting conditions.</w:t>
      </w:r>
    </w:p>
    <w:p>
      <w:pPr>
        <w:spacing w:after="0" w:line="7"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Red Hook Capital LLC. The Reporting Person has shared voting and dispositive power over Red Hook Capital LLC through his shared control of Rosedale Partners LLC, the sole member of Red Hook. Each of the Reporting Person and Rosedale Partners LLC disclaims beneficial ownership of the securities held by Red Hook Capital LLC, except to the extent of their respective pecuniary interest therein.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01/23/2025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6779"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2025-01-23T20:16:11Z</dcterms:created>
  <dcterms:modified xsi:type="dcterms:W3CDTF">2025-01-23T20:16:11Z</dcterms:modified>
</cp:coreProperties>
</file>