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Perella Weinberg Partners</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65"/>
        <w:gridCol w:w="8040"/>
      </w:tblGrid>
      <w:tr>
        <w:trPr/>
        <w:tc>
          <w:tcPr>
            <w:tcW w:w="2165" w:type="dxa"/>
            <w:tcBorders/>
            <w:vAlign w:val="center"/>
          </w:tcPr>
          <w:p>
            <w:pPr>
              <w:pStyle w:val="TableContents"/>
              <w:bidi w:val="0"/>
              <w:spacing w:before="0" w:after="283"/>
              <w:jc w:val="left"/>
              <w:rPr/>
            </w:pPr>
            <w:r>
              <w:rPr/>
              <w:t>1</w:t>
            </w:r>
          </w:p>
        </w:tc>
        <w:tc>
          <w:tcPr>
            <w:tcW w:w="804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TIAA CREF INVESTMENT MANAGEMENT LLC</w:t>
            </w:r>
          </w:p>
        </w:tc>
      </w:tr>
      <w:tr>
        <w:trPr/>
        <w:tc>
          <w:tcPr>
            <w:tcW w:w="2165" w:type="dxa"/>
            <w:tcBorders/>
            <w:vAlign w:val="center"/>
          </w:tcPr>
          <w:p>
            <w:pPr>
              <w:pStyle w:val="TableContents"/>
              <w:bidi w:val="0"/>
              <w:spacing w:before="0" w:after="283"/>
              <w:jc w:val="left"/>
              <w:rPr/>
            </w:pPr>
            <w:r>
              <w:rPr/>
              <w:t>2</w:t>
            </w:r>
          </w:p>
        </w:tc>
        <w:tc>
          <w:tcPr>
            <w:tcW w:w="804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65" w:type="dxa"/>
            <w:tcBorders/>
            <w:vAlign w:val="center"/>
          </w:tcPr>
          <w:p>
            <w:pPr>
              <w:pStyle w:val="TableContents"/>
              <w:bidi w:val="0"/>
              <w:spacing w:before="0" w:after="283"/>
              <w:jc w:val="left"/>
              <w:rPr/>
            </w:pPr>
            <w:r>
              <w:rPr/>
              <w:t>3</w:t>
            </w:r>
          </w:p>
        </w:tc>
        <w:tc>
          <w:tcPr>
            <w:tcW w:w="8040" w:type="dxa"/>
            <w:tcBorders/>
            <w:vAlign w:val="center"/>
          </w:tcPr>
          <w:p>
            <w:pPr>
              <w:pStyle w:val="TableContents"/>
              <w:bidi w:val="0"/>
              <w:spacing w:before="0" w:after="283"/>
              <w:jc w:val="left"/>
              <w:rPr/>
            </w:pPr>
            <w:r>
              <w:rPr/>
              <w:t>Sec Use Only</w:t>
            </w:r>
          </w:p>
        </w:tc>
      </w:tr>
      <w:tr>
        <w:trPr/>
        <w:tc>
          <w:tcPr>
            <w:tcW w:w="2165" w:type="dxa"/>
            <w:tcBorders/>
            <w:vAlign w:val="center"/>
          </w:tcPr>
          <w:p>
            <w:pPr>
              <w:pStyle w:val="TableContents"/>
              <w:bidi w:val="0"/>
              <w:spacing w:before="0" w:after="283"/>
              <w:jc w:val="left"/>
              <w:rPr/>
            </w:pPr>
            <w:r>
              <w:rPr/>
              <w:t>4</w:t>
            </w:r>
          </w:p>
        </w:tc>
        <w:tc>
          <w:tcPr>
            <w:tcW w:w="804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6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1,425,334.00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1,425,334.00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0" w:type="dxa"/>
            <w:tcBorders/>
            <w:vAlign w:val="center"/>
          </w:tcPr>
          <w:p>
            <w:pPr>
              <w:pStyle w:val="TableContents"/>
              <w:bidi w:val="0"/>
              <w:spacing w:before="0" w:after="283"/>
              <w:jc w:val="left"/>
              <w:rPr>
                <w:sz w:val="4"/>
                <w:szCs w:val="4"/>
              </w:rPr>
            </w:pPr>
            <w:r>
              <w:rPr>
                <w:sz w:val="4"/>
                <w:szCs w:val="4"/>
              </w:rPr>
            </w:r>
          </w:p>
        </w:tc>
      </w:tr>
      <w:tr>
        <w:trPr/>
        <w:tc>
          <w:tcPr>
            <w:tcW w:w="2165" w:type="dxa"/>
            <w:tcBorders/>
            <w:vAlign w:val="center"/>
          </w:tcPr>
          <w:p>
            <w:pPr>
              <w:pStyle w:val="TableContents"/>
              <w:bidi w:val="0"/>
              <w:spacing w:before="0" w:after="283"/>
              <w:jc w:val="left"/>
              <w:rPr/>
            </w:pPr>
            <w:r>
              <w:rPr/>
              <w:t>9</w:t>
            </w:r>
          </w:p>
        </w:tc>
        <w:tc>
          <w:tcPr>
            <w:tcW w:w="804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1,425,334.00</w:t>
            </w:r>
          </w:p>
        </w:tc>
      </w:tr>
      <w:tr>
        <w:trPr/>
        <w:tc>
          <w:tcPr>
            <w:tcW w:w="2165" w:type="dxa"/>
            <w:tcBorders/>
            <w:vAlign w:val="center"/>
          </w:tcPr>
          <w:p>
            <w:pPr>
              <w:pStyle w:val="TableContents"/>
              <w:bidi w:val="0"/>
              <w:spacing w:before="0" w:after="283"/>
              <w:jc w:val="left"/>
              <w:rPr/>
            </w:pPr>
            <w:r>
              <w:rPr/>
              <w:t>10</w:t>
            </w:r>
          </w:p>
        </w:tc>
        <w:tc>
          <w:tcPr>
            <w:tcW w:w="804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65" w:type="dxa"/>
            <w:tcBorders/>
            <w:vAlign w:val="center"/>
          </w:tcPr>
          <w:p>
            <w:pPr>
              <w:pStyle w:val="TableContents"/>
              <w:bidi w:val="0"/>
              <w:spacing w:before="0" w:after="283"/>
              <w:jc w:val="left"/>
              <w:rPr/>
            </w:pPr>
            <w:r>
              <w:rPr/>
              <w:t>11</w:t>
            </w:r>
          </w:p>
        </w:tc>
        <w:tc>
          <w:tcPr>
            <w:tcW w:w="804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2.01 % </w:t>
            </w:r>
          </w:p>
        </w:tc>
      </w:tr>
      <w:tr>
        <w:trPr/>
        <w:tc>
          <w:tcPr>
            <w:tcW w:w="2165" w:type="dxa"/>
            <w:tcBorders/>
            <w:vAlign w:val="center"/>
          </w:tcPr>
          <w:p>
            <w:pPr>
              <w:pStyle w:val="TableContents"/>
              <w:bidi w:val="0"/>
              <w:spacing w:before="0" w:after="283"/>
              <w:jc w:val="left"/>
              <w:rPr/>
            </w:pPr>
            <w:r>
              <w:rPr/>
              <w:t>12</w:t>
            </w:r>
          </w:p>
        </w:tc>
        <w:tc>
          <w:tcPr>
            <w:tcW w:w="804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Perella Weinberg Partners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767 5th Avenue, New York, NY 10153 United States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TIAA-CREF Investment Management, LLC ("TCIM")</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730 Third Avenue New York, NY 10017-3206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3,601,078</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5.07%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1,425,334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1,425,334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Exhibit A attached</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205" w:type="dxa"/>
        <w:jc w:val="left"/>
        <w:tblInd w:w="0" w:type="dxa"/>
        <w:tblLayout w:type="fixed"/>
        <w:tblCellMar>
          <w:top w:w="28" w:type="dxa"/>
          <w:left w:w="28" w:type="dxa"/>
          <w:bottom w:w="28" w:type="dxa"/>
          <w:right w:w="28" w:type="dxa"/>
        </w:tblCellMar>
      </w:tblPr>
      <w:tblGrid>
        <w:gridCol w:w="5196"/>
        <w:gridCol w:w="5009"/>
      </w:tblGrid>
      <w:tr>
        <w:trPr/>
        <w:tc>
          <w:tcPr>
            <w:tcW w:w="5196" w:type="dxa"/>
            <w:tcBorders/>
            <w:vAlign w:val="center"/>
          </w:tcPr>
          <w:p>
            <w:pPr>
              <w:pStyle w:val="TableContents"/>
              <w:bidi w:val="0"/>
              <w:spacing w:before="0" w:after="0"/>
              <w:jc w:val="left"/>
              <w:rPr/>
            </w:pPr>
            <w:r>
              <w:rPr/>
              <w:t> </w:t>
            </w:r>
          </w:p>
          <w:tbl>
            <w:tblPr>
              <w:tblW w:w="5401" w:type="dxa"/>
              <w:jc w:val="left"/>
              <w:tblInd w:w="0" w:type="dxa"/>
              <w:tblLayout w:type="fixed"/>
              <w:tblCellMar>
                <w:top w:w="28" w:type="dxa"/>
                <w:left w:w="28" w:type="dxa"/>
                <w:bottom w:w="28" w:type="dxa"/>
                <w:right w:w="28" w:type="dxa"/>
              </w:tblCellMar>
            </w:tblPr>
            <w:tblGrid>
              <w:gridCol w:w="5401"/>
            </w:tblGrid>
            <w:tr>
              <w:trPr/>
              <w:tc>
                <w:tcPr>
                  <w:tcW w:w="5401" w:type="dxa"/>
                  <w:tcBorders/>
                  <w:vAlign w:val="center"/>
                </w:tcPr>
                <w:p>
                  <w:pPr>
                    <w:pStyle w:val="TableContents"/>
                    <w:bidi w:val="0"/>
                    <w:spacing w:before="0" w:after="0"/>
                    <w:jc w:val="left"/>
                    <w:rPr/>
                  </w:pPr>
                  <w:r>
                    <w:rPr/>
                    <w:t>TIAA CREF INVESTMENT MANAGEMENT LLC</w:t>
                  </w:r>
                </w:p>
              </w:tc>
            </w:tr>
          </w:tbl>
          <w:p>
            <w:pPr>
              <w:pStyle w:val="TableContents"/>
              <w:bidi w:val="0"/>
              <w:spacing w:before="0" w:after="283"/>
              <w:jc w:val="left"/>
              <w:rPr/>
            </w:pPr>
            <w:r>
              <w:rPr/>
            </w:r>
          </w:p>
        </w:tc>
        <w:tc>
          <w:tcPr>
            <w:tcW w:w="50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2"/>
        <w:gridCol w:w="4263"/>
      </w:tblGrid>
      <w:tr>
        <w:trPr/>
        <w:tc>
          <w:tcPr>
            <w:tcW w:w="59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Stuart R. Brunet</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Stuart Brunet, Managing Director, Chief Compliance Officer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08/03/2026</w:t>
                  </w:r>
                </w:p>
              </w:tc>
            </w:tr>
          </w:tbl>
          <w:p>
            <w:pPr>
              <w:pStyle w:val="TableContents"/>
              <w:bidi w:val="0"/>
              <w:spacing w:before="0" w:after="283"/>
              <w:jc w:val="left"/>
              <w:rPr/>
            </w:pPr>
            <w:r>
              <w:rPr/>
            </w:r>
          </w:p>
        </w:tc>
        <w:tc>
          <w:tcPr>
            <w:tcW w:w="4263" w:type="dxa"/>
            <w:tcBorders/>
            <w:vAlign w:val="center"/>
          </w:tcPr>
          <w:p>
            <w:pPr>
              <w:pStyle w:val="TableContents"/>
              <w:bidi w:val="0"/>
              <w:spacing w:before="0" w:after="283"/>
              <w:jc w:val="left"/>
              <w:rPr>
                <w:sz w:val="4"/>
                <w:szCs w:val="4"/>
              </w:rPr>
            </w:pPr>
            <w:r>
              <w:rPr>
                <w:sz w:val="4"/>
                <w:szCs w:val="4"/>
              </w:rPr>
            </w:r>
          </w:p>
        </w:tc>
      </w:tr>
    </w:tbl>
    <w:p>
      <w:pPr>
        <w:pStyle w:val="TextBody"/>
        <w:bidi w:val="0"/>
        <w:jc w:val="center"/>
        <w:rPr>
          <w:rFonts w:ascii="Times New Roman;Times;Serif" w:hAnsi="Times New Roman;Times;Serif"/>
          <w:b/>
          <w:i w:val="false"/>
          <w:caps w:val="false"/>
          <w:smallCaps w:val="false"/>
          <w:sz w:val="22"/>
          <w:u w:val="single"/>
        </w:rPr>
      </w:pPr>
      <w:bookmarkStart w:id="16" w:name="c117289_ex-a.htm"/>
      <w:bookmarkStart w:id="17" w:name="ksc117289_exa"/>
      <w:bookmarkEnd w:id="16"/>
      <w:bookmarkEnd w:id="17"/>
      <w:r>
        <w:rPr>
          <w:rFonts w:ascii="Times New Roman;Times;Serif" w:hAnsi="Times New Roman;Times;Serif"/>
          <w:b/>
          <w:i w:val="false"/>
          <w:caps w:val="false"/>
          <w:smallCaps w:val="false"/>
          <w:sz w:val="22"/>
          <w:u w:val="single"/>
        </w:rPr>
        <w:t>EXHIBIT A</w:t>
      </w:r>
      <w:r>
        <w:br w:type="page"/>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ITEM 6. OWNERSHIP.</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2"/>
        </w:rPr>
      </w:pPr>
      <w:bookmarkStart w:id="18" w:name="OLE_LINK2"/>
      <w:bookmarkEnd w:id="18"/>
      <w:r>
        <w:rPr>
          <w:rFonts w:ascii="Times New Roman;Times;Serif" w:hAnsi="Times New Roman;Times;Serif"/>
          <w:b w:val="false"/>
          <w:i w:val="false"/>
          <w:caps w:val="false"/>
          <w:smallCaps w:val="false"/>
          <w:sz w:val="22"/>
        </w:rPr>
        <w:t>Nuveen Asset Management, LLC (“NAM”), is a registered investment adviser affiliated with TCIM and TAL. NAM may be deemed to be a beneficial owner of 2,033,386 shares of Issuer’s common stock. TIAA-CREF Investment Management, LLC (“TCIM”) is the investment adviser to the College Retirement Equities Fund (“CREF”), a registered investment company, and may be deemed to be a beneficial owner of 1,425,334 shares of Issuer’s common stock owned by CREF. Teachers Advisors, LLC (“TAL”) is the investment adviser to three registered investment companies, TIAA-CREF Funds (“Funds”), TIAA-CREF Life Funds (“Life Funds”), and TIAA Separate Account VA-1 (“VA-1”), as well as one or more separately managed accounts of Advisors (collectively, the “Separate Accounts”), and may be deemed to be a beneficial owner of 142,358 shares of Issuer’s common stock owned separately by Funds, Life Funds, VA-1, and/or the Separate Accounts.. These shares were acquired in the ordinary course of business, and not with the purpose or effect of changing or influencing control of the Issuer.</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24" w:space="1" w:color="999999"/>
        </w:rPr>
      </w:pPr>
      <w:r>
        <w:rPr>
          <w:bdr w:val="single" w:sz="24" w:space="1" w:color="999999"/>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992</Words>
  <Characters>5157</Characters>
  <CharactersWithSpaces>6140</CharactersWithSpaces>
  <Paragraphs>168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