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-10160</wp:posOffset>
            </wp:positionV>
            <wp:extent cx="138430" cy="187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7325"/>
                    </a:xfrm>
                    <a:prstGeom prst="rect">
                      <a:avLst/>
                    </a:prstGeom>
                    <a:noFill/>
                  </pic:spPr>
                </pic:pic>
              </a:graphicData>
            </a:graphic>
          </wp:anchor>
        </w:drawing>
      </w:r>
    </w:p>
    <w:p>
      <w:pPr>
        <w:jc w:val="both"/>
        <w:ind w:left="340" w:right="340" w:hanging="262"/>
        <w:spacing w:after="0" w:line="181" w:lineRule="auto"/>
        <w:tabs>
          <w:tab w:leader="none" w:pos="34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23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089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08965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380"/>
            <w:col w:w="8500"/>
          </w:cols>
          <w:pgMar w:left="460" w:top="220" w:right="359" w:bottom="9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McEntee James J III</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96"/>
        <w:spacing w:after="0"/>
        <w:rPr>
          <w:sz w:val="20"/>
          <w:szCs w:val="20"/>
          <w:color w:val="auto"/>
        </w:rPr>
      </w:pPr>
      <w:r>
        <w:rPr>
          <w:rFonts w:ascii="Arial" w:cs="Arial" w:eastAsia="Arial" w:hAnsi="Arial"/>
          <w:sz w:val="17"/>
          <w:szCs w:val="17"/>
          <w:color w:val="0000FF"/>
        </w:rPr>
        <w:t>President and Secretary</w:t>
      </w:r>
    </w:p>
    <w:p>
      <w:pPr>
        <w:spacing w:after="0" w:line="299" w:lineRule="exact"/>
        <w:rPr>
          <w:sz w:val="24"/>
          <w:szCs w:val="24"/>
          <w:color w:val="auto"/>
        </w:rPr>
      </w:pPr>
    </w:p>
    <w:p>
      <w:pPr>
        <w:sectPr>
          <w:pgSz w:w="11900" w:h="16838" w:orient="portrait"/>
          <w:cols w:equalWidth="0" w:num="3">
            <w:col w:w="3200" w:space="720"/>
            <w:col w:w="3104" w:space="720"/>
            <w:col w:w="3336"/>
          </w:cols>
          <w:pgMar w:left="460" w:top="220" w:right="359" w:bottom="925"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20" w:type="dxa"/>
            <w:vAlign w:val="bottom"/>
          </w:tcPr>
          <w:p>
            <w:pPr>
              <w:ind w:left="440"/>
              <w:spacing w:after="0"/>
              <w:rPr>
                <w:sz w:val="20"/>
                <w:szCs w:val="20"/>
                <w:color w:val="auto"/>
              </w:rPr>
            </w:pPr>
            <w:r>
              <w:rPr>
                <w:rFonts w:ascii="Arial" w:cs="Arial" w:eastAsia="Arial" w:hAnsi="Arial"/>
                <w:sz w:val="17"/>
                <w:szCs w:val="17"/>
                <w:color w:val="0000FF"/>
              </w:rPr>
              <w:t>19104</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2" w:lineRule="exact"/>
        <w:rPr>
          <w:sz w:val="24"/>
          <w:szCs w:val="24"/>
          <w:color w:val="auto"/>
        </w:rPr>
      </w:pPr>
    </w:p>
    <w:p>
      <w:pPr>
        <w:sectPr>
          <w:pgSz w:w="11900" w:h="16838" w:orient="portrait"/>
          <w:cols w:equalWidth="0" w:num="2">
            <w:col w:w="3760" w:space="160"/>
            <w:col w:w="7160"/>
          </w:cols>
          <w:pgMar w:left="460" w:top="220" w:right="359" w:bottom="92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vMerge w:val="restart"/>
          </w:tcPr>
          <w:p>
            <w:pPr>
              <w:jc w:val="center"/>
              <w:ind w:left="675"/>
              <w:spacing w:after="0"/>
              <w:rPr>
                <w:sz w:val="20"/>
                <w:szCs w:val="20"/>
                <w:color w:val="auto"/>
              </w:rPr>
            </w:pPr>
            <w:r>
              <w:rPr>
                <w:rFonts w:ascii="Arial" w:cs="Arial" w:eastAsia="Arial" w:hAnsi="Arial"/>
                <w:sz w:val="17"/>
                <w:szCs w:val="17"/>
                <w:color w:val="0000FF"/>
                <w:w w:val="86"/>
              </w:rPr>
              <w:t>06/24/2021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204,562</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Pr>
          <w:p>
            <w:pPr>
              <w:spacing w:after="0"/>
              <w:rPr>
                <w:sz w:val="17"/>
                <w:szCs w:val="17"/>
                <w:color w:val="auto"/>
              </w:rPr>
            </w:pPr>
          </w:p>
        </w:tc>
        <w:tc>
          <w:tcPr>
            <w:tcW w:w="1260" w:type="dxa"/>
            <w:vAlign w:val="bottom"/>
            <w:gridSpan w:val="3"/>
            <w:vMerge w:val="restart"/>
          </w:tcPr>
          <w:p>
            <w:pPr>
              <w:ind w:left="360"/>
              <w:spacing w:after="0"/>
              <w:rPr>
                <w:sz w:val="20"/>
                <w:szCs w:val="20"/>
                <w:color w:val="auto"/>
              </w:rPr>
            </w:pPr>
            <w:r>
              <w:rPr>
                <w:rFonts w:ascii="Arial" w:cs="Arial" w:eastAsia="Arial" w:hAnsi="Arial"/>
                <w:sz w:val="17"/>
                <w:szCs w:val="17"/>
                <w:color w:val="0000FF"/>
              </w:rPr>
              <w:t>204,562</w:t>
            </w:r>
          </w:p>
        </w:tc>
        <w:tc>
          <w:tcPr>
            <w:tcW w:w="30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309"/>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9"/>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right="11"/>
              <w:spacing w:after="0"/>
              <w:rPr>
                <w:sz w:val="20"/>
                <w:szCs w:val="20"/>
                <w:color w:val="auto"/>
              </w:rPr>
            </w:pPr>
            <w:r>
              <w:rPr>
                <w:rFonts w:ascii="Arial" w:cs="Arial" w:eastAsia="Arial" w:hAnsi="Arial"/>
                <w:sz w:val="17"/>
                <w:szCs w:val="17"/>
                <w:color w:val="0000FF"/>
                <w:w w:val="88"/>
              </w:rPr>
              <w:t>32,507</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restart"/>
          </w:tcPr>
          <w:p>
            <w:pPr>
              <w:jc w:val="center"/>
              <w:ind w:right="282"/>
              <w:spacing w:after="0" w:line="140"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41"/>
              <w:spacing w:after="0" w:line="140" w:lineRule="exact"/>
              <w:rPr>
                <w:sz w:val="20"/>
                <w:szCs w:val="20"/>
                <w:color w:val="auto"/>
              </w:rPr>
            </w:pPr>
            <w:r>
              <w:rPr>
                <w:rFonts w:ascii="Arial" w:cs="Arial" w:eastAsia="Arial" w:hAnsi="Arial"/>
                <w:sz w:val="13"/>
                <w:szCs w:val="13"/>
                <w:color w:val="0000FF"/>
                <w:w w:val="85"/>
              </w:rPr>
              <w:t>32,507</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restart"/>
          </w:tcPr>
          <w:p>
            <w:pPr>
              <w:jc w:val="center"/>
              <w:ind w:right="15"/>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5"/>
              </w:rPr>
              <w:t>217,493</w:t>
            </w: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restart"/>
          </w:tcPr>
          <w:p>
            <w:pPr>
              <w:jc w:val="center"/>
              <w:ind w:right="262"/>
              <w:spacing w:after="0" w:line="216" w:lineRule="exact"/>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(5)</w:t>
            </w: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right="11"/>
              <w:spacing w:after="0"/>
              <w:rPr>
                <w:sz w:val="20"/>
                <w:szCs w:val="20"/>
                <w:color w:val="auto"/>
              </w:rPr>
            </w:pPr>
            <w:r>
              <w:rPr>
                <w:rFonts w:ascii="Arial" w:cs="Arial" w:eastAsia="Arial" w:hAnsi="Arial"/>
                <w:sz w:val="17"/>
                <w:szCs w:val="17"/>
                <w:color w:val="0000FF"/>
                <w:w w:val="88"/>
              </w:rPr>
              <w:t>12,931</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restart"/>
          </w:tcPr>
          <w:p>
            <w:pPr>
              <w:jc w:val="center"/>
              <w:ind w:left="241"/>
              <w:spacing w:after="0" w:line="140" w:lineRule="exact"/>
              <w:rPr>
                <w:sz w:val="20"/>
                <w:szCs w:val="20"/>
                <w:color w:val="auto"/>
              </w:rPr>
            </w:pPr>
            <w:r>
              <w:rPr>
                <w:rFonts w:ascii="Arial" w:cs="Arial" w:eastAsia="Arial" w:hAnsi="Arial"/>
                <w:sz w:val="13"/>
                <w:szCs w:val="13"/>
                <w:color w:val="0000FF"/>
                <w:w w:val="85"/>
              </w:rPr>
              <w:t>12,931</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restart"/>
          </w:tcPr>
          <w:p>
            <w:pPr>
              <w:jc w:val="center"/>
              <w:ind w:right="15"/>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5"/>
              </w:rPr>
              <w:t>204,562</w:t>
            </w: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gridSpan w:val="2"/>
            <w:vMerge w:val="continue"/>
          </w:tcPr>
          <w:p>
            <w:pPr>
              <w:spacing w:after="0"/>
              <w:rPr>
                <w:sz w:val="6"/>
                <w:szCs w:val="6"/>
                <w:color w:val="auto"/>
              </w:rPr>
            </w:pPr>
          </w:p>
        </w:tc>
        <w:tc>
          <w:tcPr>
            <w:tcW w:w="620" w:type="dxa"/>
            <w:vAlign w:val="bottom"/>
            <w:vMerge w:val="restart"/>
          </w:tcPr>
          <w:p>
            <w:pPr>
              <w:jc w:val="center"/>
              <w:ind w:right="11"/>
              <w:spacing w:after="0"/>
              <w:rPr>
                <w:sz w:val="20"/>
                <w:szCs w:val="20"/>
                <w:color w:val="auto"/>
              </w:rPr>
            </w:pPr>
            <w:r>
              <w:rPr>
                <w:rFonts w:ascii="Arial" w:cs="Arial" w:eastAsia="Arial" w:hAnsi="Arial"/>
                <w:sz w:val="17"/>
                <w:szCs w:val="17"/>
                <w:color w:val="0000FF"/>
                <w:w w:val="87"/>
              </w:rPr>
              <w:t>204,562</w:t>
            </w:r>
          </w:p>
        </w:tc>
        <w:tc>
          <w:tcPr>
            <w:tcW w:w="40" w:type="dxa"/>
            <w:vAlign w:val="bottom"/>
          </w:tcPr>
          <w:p>
            <w:pPr>
              <w:spacing w:after="0"/>
              <w:rPr>
                <w:sz w:val="6"/>
                <w:szCs w:val="6"/>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(3)</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restart"/>
          </w:tcPr>
          <w:p>
            <w:pPr>
              <w:jc w:val="center"/>
              <w:ind w:right="262"/>
              <w:spacing w:after="0" w:line="140"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jc w:val="center"/>
              <w:ind w:left="241"/>
              <w:spacing w:after="0" w:line="140" w:lineRule="exact"/>
              <w:rPr>
                <w:sz w:val="20"/>
                <w:szCs w:val="20"/>
                <w:color w:val="auto"/>
              </w:rPr>
            </w:pPr>
            <w:r>
              <w:rPr>
                <w:rFonts w:ascii="Arial" w:cs="Arial" w:eastAsia="Arial" w:hAnsi="Arial"/>
                <w:sz w:val="13"/>
                <w:szCs w:val="13"/>
                <w:color w:val="0000FF"/>
                <w:w w:val="89"/>
              </w:rPr>
              <w:t>204,562</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restart"/>
          </w:tcPr>
          <w:p>
            <w:pPr>
              <w:jc w:val="center"/>
              <w:ind w:right="15"/>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restart"/>
          </w:tcPr>
          <w:p>
            <w:pPr>
              <w:jc w:val="center"/>
              <w:ind w:left="181"/>
              <w:spacing w:after="0" w:line="140"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-2753360</wp:posOffset>
            </wp:positionV>
            <wp:extent cx="28575" cy="275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584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00"/>
        <w:spacing w:after="0" w:line="236"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FinTech Investor Holdings IV, LLC ("Holdings"), FinTech Masala Advisors, LLC ("Masala"), PWP Holdings LP ("PWP OpCo"), PWP GP LLC, PWP Professional Partners LP, and Perella Weinberg Partners LLC.</w:t>
      </w:r>
    </w:p>
    <w:p>
      <w:pPr>
        <w:spacing w:after="0" w:line="30" w:lineRule="exact"/>
        <w:rPr>
          <w:rFonts w:ascii="Arial" w:cs="Arial" w:eastAsia="Arial" w:hAnsi="Arial"/>
          <w:sz w:val="13"/>
          <w:szCs w:val="13"/>
          <w:color w:val="008000"/>
        </w:rPr>
      </w:pPr>
    </w:p>
    <w:p>
      <w:pPr>
        <w:ind w:left="40" w:right="200"/>
        <w:spacing w:after="0" w:line="233"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In connection with the Business Combination, on the Closing Date, upon consummation of the Business Combination, each of the Issuer's outstanding shares of Class B Common Stock automatically converted into one share of Class A Common Stock.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Business Combination, on the Closing Date, each of the Issuer's outstanding shares of Class B Common Stock automatically converted into one share of Class A Common Stock.</w:t>
      </w:r>
    </w:p>
    <w:p>
      <w:pPr>
        <w:spacing w:after="0" w:line="53" w:lineRule="exact"/>
        <w:rPr>
          <w:rFonts w:ascii="Arial" w:cs="Arial" w:eastAsia="Arial" w:hAnsi="Arial"/>
          <w:sz w:val="12"/>
          <w:szCs w:val="12"/>
          <w:color w:val="008000"/>
        </w:rPr>
      </w:pPr>
    </w:p>
    <w:p>
      <w:pPr>
        <w:ind w:left="40" w:right="240"/>
        <w:spacing w:after="0" w:line="284" w:lineRule="auto"/>
        <w:tabs>
          <w:tab w:leader="none" w:pos="16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shares held directly by Masala. JMcEntee FinTech IV Partners and Swarthmore Trust of 2016 are members of Masala.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transferred to other members of Holdings and Masala pursuant to certain side letters by and among certain members of Holdings and Masala.</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Amanda Abrams,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06/28/2021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9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2746"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2021-06-28T20:56:02Z</dcterms:created>
  <dcterms:modified xsi:type="dcterms:W3CDTF">2021-06-28T20:56:02Z</dcterms:modified>
</cp:coreProperties>
</file>