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68" w:before="0" w:after="18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lineRule="auto" w:line="276" w:before="6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February 27, 2024</w:t>
      </w:r>
    </w:p>
    <w:p>
      <w:pPr>
        <w:pStyle w:val="TextBody"/>
        <w:bidi w:val="0"/>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001-39558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44"/>
        </w:rPr>
      </w:pPr>
      <w:r>
        <w:rPr>
          <w:rFonts w:ascii="Times New Roman;sans-serif" w:hAnsi="Times New Roman;sans-serif"/>
          <w:b/>
          <w:color w:val="000000"/>
          <w:sz w:val="44"/>
        </w:rPr>
        <w:t>PERELLA WEINBERG PARTNERS</w:t>
      </w:r>
    </w:p>
    <w:p>
      <w:pPr>
        <w:pStyle w:val="TextBody"/>
        <w:bidi w:val="0"/>
        <w:spacing w:lineRule="auto" w:line="240" w:before="0" w:after="180"/>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673" w:type="dxa"/>
        <w:jc w:val="left"/>
        <w:tblInd w:w="0" w:type="dxa"/>
        <w:tblLayout w:type="fixed"/>
        <w:tblCellMar>
          <w:top w:w="28" w:type="dxa"/>
          <w:left w:w="28" w:type="dxa"/>
          <w:bottom w:w="28" w:type="dxa"/>
          <w:right w:w="28" w:type="dxa"/>
        </w:tblCellMar>
      </w:tblPr>
      <w:tblGrid>
        <w:gridCol w:w="877"/>
        <w:gridCol w:w="771"/>
        <w:gridCol w:w="781"/>
        <w:gridCol w:w="363"/>
        <w:gridCol w:w="363"/>
        <w:gridCol w:w="518"/>
      </w:tblGrid>
      <w:tr>
        <w:trPr/>
        <w:tc>
          <w:tcPr>
            <w:tcW w:w="87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84-1770732</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State or other jurisdiction</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of incorporation)</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767 Fifth Avenue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10153</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(212) 287-3200</w:t>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lineRule="auto" w:line="240"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796" w:type="dxa"/>
        <w:jc w:val="left"/>
        <w:tblInd w:w="0" w:type="dxa"/>
        <w:tblLayout w:type="fixed"/>
        <w:tblCellMar>
          <w:top w:w="28" w:type="dxa"/>
          <w:left w:w="28" w:type="dxa"/>
          <w:bottom w:w="28" w:type="dxa"/>
          <w:right w:w="28" w:type="dxa"/>
        </w:tblCellMar>
      </w:tblPr>
      <w:tblGrid>
        <w:gridCol w:w="1133"/>
        <w:gridCol w:w="997"/>
        <w:gridCol w:w="1004"/>
        <w:gridCol w:w="109"/>
        <w:gridCol w:w="109"/>
        <w:gridCol w:w="109"/>
        <w:gridCol w:w="509"/>
        <w:gridCol w:w="509"/>
        <w:gridCol w:w="511"/>
        <w:gridCol w:w="109"/>
        <w:gridCol w:w="109"/>
        <w:gridCol w:w="109"/>
        <w:gridCol w:w="1019"/>
        <w:gridCol w:w="1019"/>
        <w:gridCol w:w="1441"/>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PWP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698" w:type="dxa"/>
        <w:jc w:val="left"/>
        <w:tblInd w:w="0" w:type="dxa"/>
        <w:tblLayout w:type="fixed"/>
        <w:tblCellMar>
          <w:top w:w="28" w:type="dxa"/>
          <w:left w:w="28" w:type="dxa"/>
          <w:bottom w:w="28" w:type="dxa"/>
          <w:right w:w="28" w:type="dxa"/>
        </w:tblCellMar>
      </w:tblPr>
      <w:tblGrid>
        <w:gridCol w:w="124"/>
        <w:gridCol w:w="109"/>
        <w:gridCol w:w="109"/>
        <w:gridCol w:w="690"/>
        <w:gridCol w:w="690"/>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r>
    </w:tbl>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2024, Perella Weinberg Partners (the “Company”) and PWP Holdings LP ("PWP OpCo"), the Company’s operating partnership, entered into an underwriting agreement (the “Underwriting Agreement”) with Citizens JMP Securities, LLC, as underwriter (the “Underwriter”), relating to the issuance and sale pursuant to an underwritten public offering (the “Offering”) of an aggregate of 5,000,000 shares (the “Firm Shares”) of the Company’s Class A common stock, par value $0.0001 per share (the “Class A common stock”), and up to an additional 750,000 shares (the “Option Shares” and, together with the Firm Shares, the “Shares”) of Class A common stock at the Underwriter’s option, which the Underwriter exercised in full on February 28, 2024. The Shares were sold at a public offering price of $12.00 per share, less underwriting discounts and commissions. Closing for the sale of the Shares occurred on March 1, 2024.</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Offering was made pursuant to the Company’s shelf registration statement on Form S-3 (File No. 333-266051) (the “Registration Statement”), filed with the Securities and Exchange Commission (“SEC”) on July 7, 2022 and declared effective by the SEC on July 19, 2022, a prospectus included in the Registration Statement and a prospectus supplement, dated February 27, 2024. A copy of the opinion of Skadden, Arps, Slate, Meagher &amp; Flom LLP relating to the validity of the Shares is filed herewith as Exhibit 5.1 to this Current Report on Form 8-K and is filed with reference to, and is hereby incorporated by reference into, the Registration Statement.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Underwriting Agreement contains customary representations, warranties, covenants, indemnification obligations, including for liabilities under the Securities Act of 1933, as amended, and other obligations of the parties and termination provisions. The foregoing description of the Underwriting Agreement does not purport to be complete and is qualified in its entirety by reference to the Underwriting Agreement, a copy of which is attached hereto as Exhibit 1.1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
        <w:jc w:val="left"/>
        <w:rPr>
          <w:rFonts w:ascii="Times New Roman;sans-serif" w:hAnsi="Times New Roman;sans-serif"/>
          <w:b/>
          <w:color w:val="000000"/>
          <w:sz w:val="20"/>
        </w:rPr>
      </w:pPr>
      <w:r>
        <w:rPr>
          <w:rFonts w:ascii="Times New Roman;sans-serif" w:hAnsi="Times New Roman;sans-serif"/>
          <w:b/>
          <w:color w:val="000000"/>
          <w:sz w:val="20"/>
        </w:rPr>
        <w:t>Item 3.02 Unregistered Sales of Equity Securities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 2024, the Company issued 794,146 shares of its Class A common stock in exchange for 793,354 Class A partnership units of PWP OpCo and 793,354 shares of Class B common stock of the Company that were held by certain limited partners of PWP OpCo pursuant to the Amended and Restated Limited Partnership Agreement of PWP OpCo (as amended, the “PWP OpCo LPA”).</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or (ii) cash from an offering of shares of Class A common stock of the Company (based on the net proceeds received by the Company for such shares in such offering) with the form of consideration determined by the Company.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the Company’s option) at a conversion rate of 1:1000 (or 0.001).</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12"/>
        <w:gridCol w:w="273"/>
        <w:gridCol w:w="276"/>
        <w:gridCol w:w="109"/>
        <w:gridCol w:w="109"/>
        <w:gridCol w:w="109"/>
        <w:gridCol w:w="2629"/>
        <w:gridCol w:w="2629"/>
        <w:gridCol w:w="3759"/>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1-closing8xk.htm">
              <w:r>
                <w:rPr>
                  <w:rStyle w:val="InternetLink"/>
                  <w:rFonts w:ascii="Times New Roman;sans-serif" w:hAnsi="Times New Roman;sans-serif"/>
                  <w:b w:val="false"/>
                  <w:color w:val="0000FF"/>
                  <w:sz w:val="20"/>
                  <w:u w:val="single"/>
                </w:rPr>
                <w:t>Underwriting Agreement, dated February 27, 2024, by and among Perella Weinberg Partners, PWP Holdings LP and Citizens JMP Securities, LLC.</w:t>
              </w:r>
            </w:hyperlink>
          </w:p>
        </w:tc>
      </w:tr>
      <w:tr>
        <w:trPr/>
        <w:tc>
          <w:tcPr>
            <w:tcW w:w="8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closing8xk.htm">
              <w:r>
                <w:rPr>
                  <w:rStyle w:val="InternetLink"/>
                  <w:rFonts w:ascii="Times New Roman;sans-serif" w:hAnsi="Times New Roman;sans-serif"/>
                  <w:b w:val="false"/>
                  <w:color w:val="0000FF"/>
                  <w:sz w:val="20"/>
                  <w:u w:val="single"/>
                </w:rPr>
                <w:t>Opinion of Skadden, Arps, Slate, Meagher &amp; Flom LLP.</w:t>
              </w:r>
            </w:hyperlink>
          </w:p>
        </w:tc>
      </w:tr>
      <w:tr>
        <w:trPr/>
        <w:tc>
          <w:tcPr>
            <w:tcW w:w="8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closing8xk.htm">
              <w:r>
                <w:rPr>
                  <w:rStyle w:val="InternetLink"/>
                  <w:rFonts w:ascii="Times New Roman;sans-serif" w:hAnsi="Times New Roman;sans-serif"/>
                  <w:b w:val="false"/>
                  <w:color w:val="0000FF"/>
                  <w:sz w:val="20"/>
                  <w:u w:val="single"/>
                </w:rPr>
                <w:t>Consent of Skadden, Arps, Slate, Meagher &amp; Flom LLP (included in Exhibit 5.1).</w:t>
              </w:r>
            </w:hyperlink>
          </w:p>
        </w:tc>
      </w:tr>
      <w:tr>
        <w:trPr/>
        <w:tc>
          <w:tcPr>
            <w:tcW w:w="8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6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5389" w:type="dxa"/>
        <w:jc w:val="center"/>
        <w:tblInd w:w="0" w:type="dxa"/>
        <w:tblLayout w:type="fixed"/>
        <w:tblCellMar>
          <w:top w:w="28" w:type="dxa"/>
          <w:left w:w="28" w:type="dxa"/>
          <w:bottom w:w="28" w:type="dxa"/>
          <w:right w:w="28" w:type="dxa"/>
        </w:tblCellMar>
      </w:tblPr>
      <w:tblGrid>
        <w:gridCol w:w="645"/>
        <w:gridCol w:w="568"/>
        <w:gridCol w:w="571"/>
        <w:gridCol w:w="482"/>
        <w:gridCol w:w="482"/>
        <w:gridCol w:w="482"/>
        <w:gridCol w:w="628"/>
        <w:gridCol w:w="628"/>
        <w:gridCol w:w="903"/>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 2024</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Alexandra Gottschalk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Alexandra Gottschalk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Helvetica;sans-serif" w:hAnsi="Helvetica;sans-serif"/>
          <w:b/>
          <w:color w:val="000000"/>
          <w:sz w:val="36"/>
        </w:rPr>
      </w:pPr>
      <w:r>
        <w:rPr>
          <w:rFonts w:ascii="Helvetica;sans-serif" w:hAnsi="Helvetica;sans-serif"/>
          <w:b/>
          <w:color w:val="000000"/>
          <w:sz w:val="36"/>
        </w:rPr>
        <w:t>Perella Weinberg Partners</w:t>
      </w:r>
    </w:p>
    <w:p>
      <w:pPr>
        <w:pStyle w:val="TextBody"/>
        <w:bidi w:val="0"/>
        <w:spacing w:lineRule="auto" w:line="288" w:before="0" w:after="240"/>
        <w:jc w:val="center"/>
        <w:rPr>
          <w:rFonts w:ascii="Helvetica;sans-serif" w:hAnsi="Helvetica;sans-serif"/>
          <w:b/>
          <w:color w:val="000000"/>
          <w:sz w:val="28"/>
        </w:rPr>
      </w:pPr>
      <w:r>
        <w:rPr>
          <w:rFonts w:ascii="Helvetica;sans-serif" w:hAnsi="Helvetica;sans-serif"/>
          <w:b/>
          <w:color w:val="000000"/>
          <w:sz w:val="28"/>
        </w:rPr>
        <w:t>Class A Common Stock, Par Value $0.0001 Per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Helvetica;sans-serif" w:hAnsi="Helvetica;sans-serif"/>
          <w:b/>
          <w:color w:val="000000"/>
          <w:sz w:val="22"/>
          <w:u w:val="single"/>
        </w:rPr>
      </w:pPr>
      <w:r>
        <w:rPr>
          <w:rFonts w:ascii="Helvetica;sans-serif" w:hAnsi="Helvetica;sans-serif"/>
          <w:b/>
          <w:color w:val="000000"/>
          <w:sz w:val="22"/>
          <w:u w:val="single"/>
        </w:rPr>
        <w:t>Underwriting Agreement</w:t>
      </w:r>
    </w:p>
    <w:p>
      <w:pPr>
        <w:pStyle w:val="TextBody"/>
        <w:bidi w:val="0"/>
        <w:spacing w:lineRule="auto" w:line="288" w:before="0" w:after="0"/>
        <w:jc w:val="right"/>
        <w:rPr>
          <w:rFonts w:ascii="Helvetica;sans-serif" w:hAnsi="Helvetica;sans-serif"/>
          <w:b w:val="false"/>
          <w:color w:val="000000"/>
          <w:sz w:val="22"/>
        </w:rPr>
      </w:pPr>
      <w:r>
        <w:rPr>
          <w:rFonts w:ascii="Helvetica;sans-serif" w:hAnsi="Helvetica;sans-serif"/>
          <w:b w:val="false"/>
          <w:color w:val="000000"/>
          <w:sz w:val="22"/>
        </w:rPr>
        <w:t>February 27, 2024</w:t>
      </w:r>
    </w:p>
    <w:p>
      <w:pPr>
        <w:pStyle w:val="TextBody"/>
        <w:bidi w:val="0"/>
        <w:spacing w:lineRule="auto" w:line="288" w:before="0" w:after="0"/>
        <w:jc w:val="both"/>
        <w:rPr>
          <w:rFonts w:ascii="Helvetica;sans-serif" w:hAnsi="Helvetica;sans-serif"/>
          <w:b w:val="false"/>
          <w:color w:val="000000"/>
          <w:sz w:val="22"/>
        </w:rPr>
      </w:pPr>
      <w:r>
        <w:rPr>
          <w:rFonts w:ascii="Helvetica;sans-serif" w:hAnsi="Helvetica;sans-serif"/>
          <w:b w:val="false"/>
          <w:color w:val="000000"/>
          <w:sz w:val="22"/>
        </w:rPr>
        <w:t>Citizens JMP Securities, LLC</w:t>
      </w:r>
    </w:p>
    <w:p>
      <w:pPr>
        <w:pStyle w:val="TextBody"/>
        <w:bidi w:val="0"/>
        <w:spacing w:lineRule="auto" w:line="288" w:before="0" w:after="0"/>
        <w:jc w:val="both"/>
        <w:rPr>
          <w:rFonts w:ascii="Helvetica;sans-serif" w:hAnsi="Helvetica;sans-serif"/>
          <w:b w:val="false"/>
          <w:color w:val="000000"/>
          <w:sz w:val="22"/>
        </w:rPr>
      </w:pPr>
      <w:r>
        <w:rPr>
          <w:rFonts w:ascii="Helvetica;sans-serif" w:hAnsi="Helvetica;sans-serif"/>
          <w:b w:val="false"/>
          <w:color w:val="000000"/>
          <w:sz w:val="22"/>
        </w:rPr>
        <w:t>600 Montgomery Street, Suite 1100</w:t>
      </w:r>
    </w:p>
    <w:p>
      <w:pPr>
        <w:pStyle w:val="TextBody"/>
        <w:bidi w:val="0"/>
        <w:spacing w:lineRule="auto" w:line="288" w:before="0" w:after="240"/>
        <w:jc w:val="both"/>
        <w:rPr>
          <w:rFonts w:ascii="Helvetica;sans-serif" w:hAnsi="Helvetica;sans-serif"/>
          <w:b w:val="false"/>
          <w:color w:val="000000"/>
          <w:sz w:val="22"/>
        </w:rPr>
      </w:pPr>
      <w:r>
        <w:rPr>
          <w:rFonts w:ascii="Helvetica;sans-serif" w:hAnsi="Helvetica;sans-serif"/>
          <w:b w:val="false"/>
          <w:color w:val="000000"/>
          <w:sz w:val="22"/>
        </w:rPr>
        <w:t>San Francisco, California 94111</w: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Ladies and Gentlemen:</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Perella Weinberg Partners, a Delaware corporation (the “Company”), proposes, subject to the terms and conditions stated in this agreement (this “Agreement”), to issue and sell to Citizens JMP Securities, LLC (the “Underwriter”) an aggregate of 5,000,000 shares of Class A common stock, par value $0.0001 per share (“Stock”) of the Company. The Company has also agreed to grant to the Underwriter an option (the “Option”) to purchase up to an additional 750,000 shares of Stock. The aggregate of 5,000,000 shares to be sold by the Company is herein called the “Firm Shares” and the aggregate of 750,000 shares to be sold by the Company is herein called the “Optional Shares.” The Firm Shares and the Optional Shares that the Underwriter elects to the purchase pursuant to Section 2(b) hereof are herein collectively called the “Shares.” The Company intends to contribute the net proceeds from its issuance and sale of the Shares to PWP Holdings LP, a Delaware limited partnership (“OpCo”), in exchange for an equivalent number of OpCo Class A partnership units. </w:t>
      </w:r>
    </w:p>
    <w:p>
      <w:pPr>
        <w:pStyle w:val="TextBody"/>
        <w:bidi w:val="0"/>
        <w:spacing w:lineRule="auto" w:line="288" w:before="0" w:after="120"/>
        <w:ind w:left="0" w:right="0" w:firstLine="720"/>
        <w:jc w:val="both"/>
        <w:rPr/>
      </w:pPr>
      <w:r>
        <w:rPr>
          <w:rFonts w:ascii="Arial;sans-serif" w:hAnsi="Arial;sans-serif"/>
          <w:b w:val="false"/>
          <w:color w:val="000000"/>
          <w:sz w:val="22"/>
        </w:rPr>
        <w:t>1.</w:t>
      </w:r>
      <w:r>
        <w:rPr>
          <w:rFonts w:ascii="Helvetica;sans-serif" w:hAnsi="Helvetica;sans-serif"/>
          <w:b w:val="false"/>
          <w:color w:val="000000"/>
          <w:sz w:val="22"/>
        </w:rPr>
        <w:t>The Company and OpCo, jointly and severally represent and warrant to, and agree with, the Underwriter that:</w:t>
      </w:r>
    </w:p>
    <w:p>
      <w:pPr>
        <w:pStyle w:val="TextBody"/>
        <w:bidi w:val="0"/>
        <w:spacing w:lineRule="auto" w:line="288" w:before="0" w:after="120"/>
        <w:ind w:left="0" w:right="0" w:firstLine="720"/>
        <w:jc w:val="both"/>
        <w:rPr/>
      </w:pPr>
      <w:r>
        <w:rPr>
          <w:rFonts w:ascii="Arial;sans-serif" w:hAnsi="Arial;sans-serif"/>
          <w:b w:val="false"/>
          <w:color w:val="000000"/>
          <w:sz w:val="22"/>
        </w:rPr>
        <w:t>(a)</w:t>
      </w:r>
      <w:r>
        <w:rPr>
          <w:rFonts w:ascii="Helvetica;sans-serif" w:hAnsi="Helvetica;sans-serif"/>
          <w:b w:val="false"/>
          <w:color w:val="000000"/>
          <w:sz w:val="22"/>
        </w:rPr>
        <w:t xml:space="preserve">A registration statement on Form S-3 (File No. 333-266051) in respect of the Shares has been filed with the Securities and Exchange Commission (the “Commission”) not earlier than three years prior to the date hereof; such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and no stop order suspending the effectiveness of such registration statement or any part thereof or the Rule 462(b) Registration Statement, if any, has been issued and no proceeding for that purpose has been initiated or, to the Company’s and OpCo’s knowledge, threatened by the Commission, and no notice of objection of the Commission to the use of such registration statement or any post-effective amendment thereto or the Rule 462(b) Registration Statement, if any, pursuant to Rule 401(g)(2) under the Act, has been received by the Company (the base prospectus filed as part of such registration statement, in the form in which it has most recently been filed with the Commission on or prior to the date of this Agreement, is hereinafter called the “Basic Prospectus”; any preliminary prospectus (including any preliminary prospectus supplement) relating to the Shares filed with the Commission pursuant to Rule 424(b) under the Act is hereinafter called a “Preliminary Prospectus”; the various parts of such registration statement and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the Rule 462(b) Registration Statement, if any, including all exhibits thereto but excluding Form T-1 and including any prospectus supplement relating to the Shares that is filed with the Commission and deemed by virtue of Rule 430B to be part of such registration statement, each as amended at the time such part of the registration statement became effective or such part of the Rule 462(b) Registration Statement, if any, became or hereafter becomes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Shares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(b)(A) No order preventing or suspending the use of any Preliminary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 </w:t>
      </w:r>
    </w:p>
    <w:p>
      <w:pPr>
        <w:pStyle w:val="TextBody"/>
        <w:bidi w:val="0"/>
        <w:spacing w:lineRule="auto" w:line="288" w:before="0" w:after="120"/>
        <w:ind w:left="0" w:right="0" w:firstLine="720"/>
        <w:jc w:val="both"/>
        <w:rPr/>
      </w:pPr>
      <w:r>
        <w:rPr>
          <w:rFonts w:ascii="Helvetica;sans-serif" w:hAnsi="Helvetica;sans-serif"/>
          <w:b w:val="false"/>
          <w:color w:val="000000"/>
          <w:sz w:val="22"/>
        </w:rPr>
        <w:t>(c)For the purposes of this Agreement, the “Applicable Time” is 6:30 p.m. (Eastern time) on the date of this Agreement; the Pricing Prospectus, as supplemented by the information listed on Schedule I hereto, taken together (collectively, the “Pricing Disclosure Package”), as of the Applicable Time, did not, and as of each</w:t>
      </w:r>
      <w:r>
        <w:rPr>
          <w:color w:val="000000"/>
        </w:rPr>
        <w:t xml:space="preserve"> </w:t>
      </w:r>
      <w:r>
        <w:rPr>
          <w:rFonts w:ascii="Helvetica;sans-serif" w:hAnsi="Helvetica;sans-serif"/>
          <w:b w:val="false"/>
          <w:color w:val="000000"/>
          <w:sz w:val="22"/>
        </w:rPr>
        <w:t xml:space="preserve">Time of Delivery (as defined in Section 4(a) of this Agreement)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 </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(d)[Reserved];</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(e)The Registration Statement conforms, and the Prospectus and any further amendments or supplements to the Registration Statement and the Prospectus will conform, in all material respects to the requirements of the Act and the rules and regulations of the Commission thereunder; as of the applicable effective date as to each part of the Registration Statement, the Registration Statement did not and will not contain an untrue statement of a material fact or omit to state a material fact required to be stated therein or necessary to make the statements therein not misleading, and as of the applicable filing date as to the Prospectus and any amendment or supplement thereto, and as of each Time of Delivery, the Prospectus (together with any supplement thereto) did not and will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w:t>
      </w:r>
    </w:p>
    <w:p>
      <w:pPr>
        <w:pStyle w:val="TextBody"/>
        <w:bidi w:val="0"/>
        <w:spacing w:lineRule="auto" w:line="288" w:before="0" w:after="120"/>
        <w:ind w:left="0" w:right="0" w:firstLine="720"/>
        <w:jc w:val="both"/>
        <w:rPr/>
      </w:pPr>
      <w:r>
        <w:rPr>
          <w:rFonts w:ascii="Helvetica;sans-serif" w:hAnsi="Helvetica;sans-serif"/>
          <w:b w:val="false"/>
          <w:color w:val="000000"/>
          <w:sz w:val="22"/>
        </w:rPr>
        <w:t>(f)Neither the Company, OpCo nor any of their subsidiaries have, since the date of the latest audited financial statements included or incorporated by reference in the Pricing Prospectus, (i) sustained any material loss or interference with their businesses, taken as a whole,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OpCo and their subsidiaries taken as a whole or incurred any liability or obligation, direct or contingent, that is material to the Company, OpCo and their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or settlement, if any, of stock options or restricted stock units, respectively, or the award, if any, of stock options, restricted stock units or restricted stock in the ordinary course of business pursuant to the Company’s or OpCo’s equity plans that are described in the Pricing Prospectus and the Prospectus or (ii) the issuance, if any, of stock upon conversion or exchange of Company or OpCo securities as described in the Pricing Prospectus and the Prospectus) or long-term debt of the Company, OpCo or any of their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OpCo and their subsidiaries, taken as a whole, except as set forth or contemplated in the Pricing Prospectus, or (ii) the ability of the Company or OpCo to perform its obligations under this Agreement</w:t>
      </w:r>
      <w:r>
        <w:rPr>
          <w:rFonts w:ascii="Helvetica;sans-serif" w:hAnsi="Helvetica;sans-serif"/>
          <w:b/>
          <w:color w:val="000000"/>
          <w:sz w:val="22"/>
        </w:rPr>
        <w:t xml:space="preserve">, </w:t>
      </w:r>
      <w:r>
        <w:rPr>
          <w:rFonts w:ascii="Helvetica;sans-serif" w:hAnsi="Helvetica;sans-serif"/>
          <w:b w:val="false"/>
          <w:color w:val="000000"/>
          <w:sz w:val="22"/>
        </w:rPr>
        <w:t>including the issuance and sale of the Shares, or to consummate the transactions contemplated in the Pricing Prospectus and the Prospectus;</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(g)The Company, OpCo and their subsidiaries have good and marketable title in fee simple to all material real property owned by them and good and marketable title to all material personal property (other than with respect to intellectual property which is addressed exclusively in subsection (ff)) owned by them, in each case free and clear of all liens, encumbrances and defects except such as are described in the Pricing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Prospectus or such as do not materially affect the value of such property and do not materially interfere with the use made and proposed to be made of such property by the Company, OpCo and their subsidiaries; and any real property and buildings held under lease by the Company, OpCo and their subsidiaries are held by them under valid, subsisting and enforceable leases (subject to the effects of (x) bankruptcy, insolvency, fraudulent conveyance, fraudulent transfer, reorganization, moratorium or other similar laws relating to or affecting the rights or remedies of creditors generally and (y) the application of general principles of equity (including, without limitation, concepts of materiality, reasonableness, good faith and fair dealing, regardless of whether enforcement is considered in proceedings at law or in equity)) with such exceptions as are not material and do not materially interfere with the use made and proposed to be made of such property and buildings by the Company, OpCo and their subsidiaries, taken as a whole;</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(h)Each of the Company, OpCo and their subsidiaries has been (i) duly incorporated or organized, as applicable, and is validly existing and in good standing (to the extent such concept is recognized in such jurisdiction)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(to the extent such concept is recognized in such jurisdiction) under the laws of each other jurisdiction in which it owns or leases properties or conducts any business so as to require such qualification, except where the failure to be so qualified or in good standing would not, individually or in the aggregate, have a Material Adverse Effect; and each subsidiary of the Company has been listed in Exhibit 21.1 to the Company’s Annual Report on Form 10-K for the year ended December 31, 2023 (the “2023 Annual Report”) incorporated by reference in the Registration Statement, except as permitted by Item 601(b)(21) of Regulation S-K; all references in this Agreement to “subsidiaries” shall be construed as referring only to the subsidiaries of the Company listed in Exhibit 21.1 to the 2023 Annual Report;</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(i)The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capital stock contained in the Pricing Disclosure Package and the Prospectus; and all of the issued equity interests of OpCo and each other subsidiary of the Company have been duly and validly authorized and issued, are fully paid and non-assessable and (except, in the case of any foreign subsidiary, for directors’ qualifying shares or as otherwise set forth in the Pricing Disclosure Package) are owned directly or indirectly by the Company, free and clear of all liens, encumbrances, equities or claims, except for such liens, encumbrances, equities or claims described in the Pricing Prospectus and the Prospectus or that would not, individually or in the aggregate, reasonably be expected to have a Material Adverse Effect;</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(j)The Shares to be issued and sold by the Company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Package and the Prospectus; and the issuance of the Shares is not subject to any preemptive or similar rights;</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(k)The issue and sale of the Shares to be sold by the Company and the compliance by the Company and OpCo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OpCo or any of their subsidiaries is a party or by which the Company, OpCo or any of their subsidiaries is bound or to which any of the property or assets of the Company, OpCo or any of their subsidiaries is subject, (B) the certificate of incorporation or by-laws (or other applicable organizational document) of the Company, OpCo or any of their subsidiaries, or (C) any statute or any judgment, order, rule or regulation of any Governmental Authority (as defined below) or other body having jurisdiction over the Company, OpCo or any of their subsidiaries or any of their properties, except, in the case of clauses (A) and (C) for such defaults, conflicts, breaches, or violations that would not, individually or in the aggregate, have a Material Adverse Effect; and no consent, approval, authorization, order, registration or qualification of or with any such Governmental Authority or body is required for the issuance of the Shares to be sold by the Company and the sale of the Shares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orders, registrations or qualifications as may be required under state securities or Blue Sky laws in connection with the purchase and distribution of the Shares by the Underwriter, the listing rules of the Nasdaq Global Select Market (the “Exchange”) or that would not impair the ability of the Company to issue and sell the Shares to be issued and sold by it or to consummate the transactions contemplated by this Agreement and the Pricing Prospectus;</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(l)None of the Company, OpCo nor any of their subsidiaries is (i) in violation of its certificate of incorporation, by-laws, limited partnership agreement or operating agreement (or other applicable organization document), as applicable, (ii) in violation of any statute or any judgment, order, rule or regulation of any court or governmental agency or body having jurisdiction over the Company, OpCo or any of their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have a Material Adverse Effect;</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(m)The statements set forth in the Pricing Prospectus and the Prospectus under the caption “Description of Securities”, insofar as they purport to constitute a summary of the terms of the Stock, under the caption “U.S. Federal Income Tax Considerations for Non-U.S. Holders” and under the caption “Underwriting”, insofar as they purport to describe the provisions of the laws and documents referred to therein, are accurate, complete and fair in all material respects; </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(n)Other than as set forth in the Pricing Prospectus, there are no legal, governmental or self-regulatory proceedings pending to which the Company or any of its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any Governmental Authority or others; such legal, governmental or self-regulatory proceedings include, but are not limited to, (i) any investigation with respect to any cease-and-desist order, consent agreement, any commitment letter or similar undertaking to, memorandum of understanding or other regulatory enforcement action, proceeding or order or (ii) any directive by, or any supervisory letter from, the Commission, FINRA or any other applicable self-regulatory organization, or any court, administrative agency or commission or other governmental agency, authority or instrumentality having supervisory or regulatory authority with respect to the Company or any of its subsidiaries (each, a “Governmental Authority”) that currently restricts in any material respect the conduct of the business of the Company or its subsidiaries or that relates to their capital adequacy, their credit policies, their management or their business (each, a “Regulatory Agreement”). Neither the Company nor OpCo nor any of their subsidiaries has been advised by any Governmental Authority that it is considering issuing or requesting any such Regulatory Agreement or that they may be subject to an investigation, audit or other examination which is likely to lead to the imposition of any civil monetary or other penalties. There is no unresolved violation, criticism or exception by any Governmental Authority with respect to any report or statement relating to any examinations of the Company, OpCo or any of their subsidiaries which would, singly or in the aggregate, reasonably be expected to have a Material Adverse Effect. Neither the Company nor OpCo nor any of its subsidiaries nor any of their respective officers, directors or employees has been the subject of any disciplinary proceedings or orders of any Governmental Authority arising under applicable laws or regulations which would be required to be disclosed on the Form BD of a Broker-Dealer Subsidiary (as defined below), except as disclosed thereon, and no such disciplinary proceeding or order is pending or, to the knowledge of the Company, threatened, nor, to the knowledge of the Company, do grounds exist for any such material action by any Governmental Authority; and except as disclosed on such Form BD, neither the Company nor OpCo nor any of their subsidiaries nor any of their respective officers, directors or employees has been enjoined by the order, judgment or decree of any Governmental Authority from engaging in or continuing any conduct or practice in connection with any Company, OpCo or subsidiary activity;</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(o)The Company is not and, after giving effect to the offering and sale of the Shares and the application of the proceeds thereof as described in the Pricing Disclosure Package, will not be an “investment company”, as such term is defined in the Investment Company Act of 1940, as amended (the “Investment Company Act”);</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(p)[Reserved];</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(q)Ernst &amp; Young LLP, who have certified certain financial statements of the Company, are independent public accountants as required by the Act and the rules and regulations of the Commission thereunder;</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(r)The Company maintains a system of internal control over financial reporting (as such term is defined in Rule 13a-15(f) under the Exchange Act) that (i)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complies with the applicable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 and OpCo’s internal controls over financial reporting are effective and neither the Company nor OpCo is aware of any material weaknesses in the Company’s internal control over financial reporting other than as disclosed in the Pricing Disclosure Package and the Prospectus; provided, that, it is understood that this subsection shall not require the Company to comply with Section 404(b) of the Sarbanes-Oxley Act of 2002 as of an earlier date than it would otherwise be required to so comply under applicable law;</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(s)Since the date of the latest audited financial statements included or incorporated by reference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(t)The Company maintains disclosure controls and procedures (as such term is defined in Rule 13a-15(e) under the Exchange Act) that comply with the applicable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 </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(u)This Agreement has been duly authorized, executed and delivered by the Company;</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(v)All statistical or market-related data included or incorporated by reference in the Registration Statement, the Preliminary Prospectus or the Pricing Prospectus are based on or derived from sources that are reasonably believed to be reliable and accurate, and no consent for the use of such data is required other than those consents that have been obtained;</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(w)All federal, state, local and foreign tax returns required to be filed by the Company, OpCo or any of their subsidiaries have been timely filed or extensions to file such returns have been timely requested (except in any case in which the failure to file would not, individually or in the aggregate, have a Material Adverse Effect) and all taxes and other assessments of a similar nature (whether imposed directly or through withholding) including any interest, additions to tax or penalties applicable thereto due or claimed to be due from such entities have been timely paid, other than those being contested in good faith and for which adequate reserves have been provided in accordance with U.S. generally accepted accounting principles (“U.S. GAAP”) and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except in any case where the failure to pay would not, individually or in the aggregate, have a Material Adverse Effect, and no unpaid tax deficiency has been determined adversely to the Company, OpCo or any of their subsidiaries which has had (nor does the Company, OpCo nor any of their subsidiaries have any written notice or knowledge of any tax deficiency which could reasonably be expected to be determined adversely to the Company, Opco or their subsidiaries and which could reasonably be expected to have) a Material Adverse Effect;</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(x)Other than New York State stock transfer tax, there are no transfer taxes or other similar fees or charges under U.S. federal law or the laws of any state, or any political subdivision thereof required to be paid in connection with the execution and delivery of this Agreement;</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(y)The Company, OpCo and each of their subsidiaries carry, or are covered by, insurance from insurers of recognized financial responsibility in such amounts and covering such risks as are reasonably believed to be adequate for the conduct of their respective businesses and the value of their respective properties;</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(z)The Company, OpCo and each of their subsidiaries have such registrations with and permits, licenses, patents, franchises, certificates of need and other approvals or authorizations of, governmental or regulatory authorities (“Permits”), in each case as are necessary under applicable law to own the properties and conduct the businesses of the Company, OpCo and each of their subsidiaries in the manner described in the Pricing Prospectus, except where the failure to have any such Permit would not, individually or in the aggregate, have a Material Adverse Effect; each of the Company, OpCo and their subsidiaries has fulfilled and performed all of its obligations with respect to the Permits, and no event has occurred that allows, or after notice or lapse of time would allow, revocation or termination thereof or results in any other impairment of the rights of the holder or any such Permits, in each case except for any such failure or event that would not, individually or in the aggregate, have a Material Adverse Effect; each of the Company and its subsidiaries, and, to the Company’s and OpCo’s knowledge, each of their respective officers, partners, directors, affiliates and employees, is a member in good standing of each federal, state or foreign exchange, board of trade, clearing house, association, self-regulatory or similar organization, in each case as are necessary to own the properties and conduct the businesses of the Company, OpCo and each of their subsidiaries in the manner described in the Pricing Prospectus, except to the extent any such failure to be in good standing would not, individually or in the aggregate, have a Material Adverse Effect;</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(aa) (i) None of the Company, OpCo or any of their subsidiaries (other than Perella Weinberg Partners LP and Tudor, Pickering, Holt &amp; Co. Securities, LLC (each, a “Broker-Dealer Subsidiary”)) is required to register as a broker-dealer under the Exchange Act and the rules and regulations of the Commission thereunder or the securities laws of any state; (ii) to the Company’s and OpCo’s knowledge, no officer, partner, director, affiliate or employee of the Company, OpCo or any of their subsidiaries is, or will as a result of the transactions contemplated by this Agreement be, required to register as a broker-dealer under the Exchange Act and the rules and regulations of the Commission thereunder or the securities laws of any state, other than such officers, partners, directors, affiliates and employees of the Company, OpCo or any of their subsidiaries who are so registered under the Exchange Act and in such jurisdictions as of the date hereof; (iii) each Broker-Dealer Subsidiary is (x) duly registered with the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Commission, licensed and qualified as a broker-dealer under the Exchange Act and the rules and regulations of the Commission thereunder, (y) the securities laws of each state where the conduct of its respective business requires such registration, license or qualification and such registrations, licenses or qualifications have not been suspended, revoked or rescinded and remain in full force and effect and (z) is duly registered and is in good standing with FINRA and each self-regulatory organization of which it is required to be a member; and (iv) all persons associated with a Broker-Dealer Subsidiary are duly registered with any self-regulatory organization and each jurisdiction where the association of such persons with a Broker-Dealer Subsidiary requires such registration, and such registrations have not been suspended, revoked or rescinded and remain in full force and effect (except, in the case of clauses (iii) and (iv), to the extent any such failure to be so registered or suspension, revocation or rescission of such registration would not, individually or in the aggregate, have a Material Adverse Effect). The operations of each Broker-Dealer Subsidiary have been conducted in compliance with all applicable requirements of the Exchange Act and the rules and regulations of the Commission and each applicable self-regulatory organization and state securities regulatory authority in all material respects. Other than with respect to customers that are subsidiaries of the Company or OpCo, the business activities engaged in by a Broker-Dealer Subsidiary do not involve the handling of customer funds or securities. None of the Company, OpCo, any of their subsidiaries or, to the Company’s and OpCo’s knowledge, any of their respective Associated Persons (as defined under the Exchange Act or the by-laws of FINRA, as applicable), is (i) ineligible or disqualified pursuant to Section 15(b) of the Exchange Act to serve as a broker-dealer or as a person “associated” with a broker-dealer, (ii) subject to “statutory disqualification” (as such term is defined in Section 3(a)(39) of the Exchange Act) or (iii) is subject to a disqualification that would be a basis for censure or suspension or revocation of registration as a securities broker-dealer under Section 15 of the Exchange Act, or similar state law (except in the cases of clauses (i), (ii) and (iii), to the extent that any such disqualification would not, individually or in the aggregate, have a Material Adverse Effect);</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(bb)  Perella Weinberg UK Limited is duly authorized by the UK Financial Conduct Authority (the “FCA”) pursuant to Part 4A of FSMA to conduct the following regulated activities, subject to applicable limitations and requirements set forth in such authorization: (i) to agree to carry on a regulated activity, (ii) to arrange (bring about) deals in investments, (iii) to advise on investments, (iv) to make arrangements with a view to transactions in investments, (v) to receive and transmit orders, and (vi) to do placing of financial instruments on a non-firm commitment basis. Perella Weinberg Partners France SAS is duly authorized by the French Autorité de Contrôle Prudentiel et de Resolution (“ACPR”) and the Autorité des Marches Financiers to carry out the following investment services: (i) reception and transmission of orders in relation to one or more financial instruments (ii) investment advice and (iii) placing of financial instruments on a non-firm commitment basis;</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(cc)No additional authorizations from, to or with the FCA, the ACPR and the Autorité des Marches Financiers, or any self-regulatory organization, court, administrative agency or commission or other governmental agency, authority, or instrumentality are required to be obtained or made in order for Perella Weinberg UK Limited and Perella Weinberg Partners France SAS to conduct their respective businesses as described in the Pricing Prospectus and Prospectus, except for such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authorizations, the failure of which to obtain or make, would not, singly or in the aggregate, have a Material Adverse Effect;</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(dd)Tudor, Pickering, Holt &amp; Co. Securities – Canada, ULC, is a registered broker-dealer and member in good standing of the Canadian Investment Regulatory Organization of Canada (“CIRO,” formerly the New Self-Regulatory Organization of Canada or “New SRO”) and neither the Company nor any other subsidiary is required to be so registered;</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(ee)The Company, OpCo and each of their applicable subsidiaries have duly filed with the Commission, FINRA, the FCA, the ACPR and CIRO, as the case may be, in correct form in all material respects the reports, data, other information returns and other applications required to be filed under applicable laws and regulations and such reports, data, other information returns and other applications were complete and accurate and in compliance with the requirements of applicable laws and regulations in all material respects as of the time of filing and are complete and accurate and in compliance with the requirements of applicable laws and regulations in all material respects, provided that information as of a later date shall be deemed to modify information as of an earlier date; the Company and OpCo have previously delivered or made available to the Underwriter, to the extent the Underwriter has requested the same, accurate and complete copies of all such reports, data, other information returns and other applications; neither the Company, OpCo nor any of their applicable subsidiaries (i) is subject to any formal or informal enforcement or supervisory action by the Commission, FINRA, the FCA, ACPR or CIRO (except as otherwise disclosed in the Pricing Disclosure Package or the Prospectus and except as would not, individually or in the aggregate, have a Material Adverse Effect) or (ii) expects to be subject to any formal or informal enforcement or supervisory action by the Commission, FINRA, the FCA, ACPR or CIRO; </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(ff) The Company, OpCo and each of their subsidiaries own or possess adequate rights to use all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as currently conducted, and to their knowledge, the conduct of their respective businesses does not and will not infringe any such intellectual property rights of a third party, nor have they received any notice thereof from a third party that is undisclosed as of the date hereof, except in each case that would not, individually or in the aggregate, reasonably be expected to have a Material Adverse Effect;</w:t>
      </w:r>
    </w:p>
    <w:p>
      <w:pPr>
        <w:pStyle w:val="TextBody"/>
        <w:bidi w:val="0"/>
        <w:spacing w:lineRule="auto" w:line="288" w:before="0" w:after="120"/>
        <w:ind w:left="0" w:right="0" w:firstLine="720"/>
        <w:jc w:val="both"/>
        <w:rPr/>
      </w:pPr>
      <w:r>
        <w:rPr>
          <w:rFonts w:ascii="Helvetica;sans-serif" w:hAnsi="Helvetica;sans-serif"/>
          <w:b w:val="false"/>
          <w:color w:val="000000"/>
          <w:sz w:val="22"/>
        </w:rPr>
        <w:t>(gg)None of the Company, OpCo or any of their subsidiaries nor, to the knowledge of the Company and OpCo, any director, officer, agent, employee, affiliate</w:t>
      </w:r>
      <w:r>
        <w:rPr>
          <w:color w:val="000000"/>
        </w:rPr>
        <w:t xml:space="preserve"> </w:t>
      </w:r>
      <w:r>
        <w:rPr>
          <w:rFonts w:ascii="Helvetica;sans-serif" w:hAnsi="Helvetica;sans-serif"/>
          <w:b w:val="false"/>
          <w:color w:val="000000"/>
          <w:sz w:val="22"/>
        </w:rPr>
        <w:t>or other person acting on behalf of the Company, OpCo or any of their subsidiaries has, in the previous five years, (i) made, offered, promised or authorized</w:t>
      </w:r>
      <w:r>
        <w:rPr>
          <w:color w:val="000000"/>
        </w:rPr>
        <w:t xml:space="preserve"> </w:t>
      </w:r>
      <w:r>
        <w:rPr>
          <w:rFonts w:ascii="Helvetica;sans-serif" w:hAnsi="Helvetica;sans-serif"/>
          <w:b w:val="false"/>
          <w:color w:val="000000"/>
          <w:sz w:val="22"/>
        </w:rPr>
        <w:t>any unlawful contribution, gift, entertainment or other unlawful expense (or taken any act in furtherance thereof); (ii) made, offered, promised or authorized any direct or knowingly indirect unlawful payment; or (iii) violated or is in violation, in any material respect, of any provision of the Foreign Corrupt Practices Act of 1977,</w:t>
      </w:r>
      <w:r>
        <w:rPr>
          <w:color w:val="000000"/>
        </w:rPr>
        <w:t xml:space="preserve"> </w:t>
      </w:r>
      <w:r>
        <w:rPr>
          <w:rFonts w:ascii="Helvetica;sans-serif" w:hAnsi="Helvetica;sans-serif"/>
          <w:b w:val="false"/>
          <w:color w:val="000000"/>
          <w:sz w:val="22"/>
        </w:rPr>
        <w:t xml:space="preserve">as amended, or the rules and regulations thereunder, the Bribery Act 2010 of the United Kingdom or any other applicable anti-corruption, anti-bribery or related law, statute or regulation (collectively,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120"/>
        <w:jc w:val="both"/>
        <w:rPr>
          <w:color w:val="000000"/>
        </w:rPr>
      </w:pPr>
      <w:r>
        <w:rPr>
          <w:color w:val="000000"/>
        </w:rPr>
        <w:t>“</w:t>
      </w:r>
      <w:r>
        <w:rPr>
          <w:rFonts w:ascii="Helvetica;sans-serif" w:hAnsi="Helvetica;sans-serif"/>
          <w:b w:val="false"/>
          <w:color w:val="000000"/>
          <w:sz w:val="22"/>
        </w:rPr>
        <w:t>Anti-Corruption Laws”); for the previous five years, the Company and its subsidiaries have conducted their businesses in material compliance with Anti-Corruption Laws and have instituted and maintained and will continue to maintain policies and procedures reasonably designed to promote compliance with such laws and with the representations and warranties contained herein; neither the Company nor any of its subsidiaries will use, directly or knowingly indirectly, the proceeds of the offering in furtherance of an offer, payment, promise to pay, or authorization of the payment or giving of money, or anything else of value, to any person in material violation of Anti-Corruption Laws;</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(hh) The operations of the Company and its subsidiaries are and, for the past five years, have been conducted at all times in material compliance with the requirements of all applicable federal, state and foreign laws, rules and regulations, including, but not limited to laws governing transactions in securities, futures and other financial instruments or anti-money laundering laws, such as the Bank Secrecy Act of 1970, as amended by the USA PATRIOT ACT of 2001, and the rules and regulations promulgated thereunder, and the anti-money laundering laws of the various jurisdictions in which the Company and its subsidiaries conduct business, and no action, suit or proceeding by or before any Governmental Authority or other body or any arbitrator involving the Company or any of its subsidiaries with respect to these laws, rules and regulations is pending or, to the knowledge of the Company, threatened;</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(ii) None of the Company, OpCo nor any of their subsidiaries nor, to the knowledge of the Company or OpCo, any director, officer, agent, employee or affiliate of the Company, OpCo or any of their subsidiaries is currently the subject or the target of any sanctions administered or enforced by the U.S. Government through the Office of Foreign Assets Control of the U.S. Department of the Treasury (“OFAC”) or the U.S. Department of State, including, without limitation, the designation as a “specially designated national” or “blocked person,” the European Union, His Majesty’s Treasury, or the United Nations Security Council (collectively, “Sanctions”), located, organized, or resident in a country or territory that is the subject or target of comprehensive Sanctions (at the time of this agreement, Cuba, Iran, North Korea, Syria, and the Crimea region) (a “Sanctioned Jurisdiction”), and the Company will not directly or knowingly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is the subject or the target of Sanctions, or in any Sanctioned Jurisdiction, each to the extent in violation of Sanctions, or (ii) in any other manner that will result in a violation by any person participating in the transaction (whether as underwriter, advisor, investor or otherwise) of Sanctions; neither the Company nor any of its subsidiaries is engaged in, or has, at any time in the past five years, engaged in, any dealings or transactions with or involving any individual or entity that was or is, as applicable, at the time of such dealing or transaction, the subject or target of Sanctions or with any Sanctioned Jurisdiction, each of the foregoing to the extent in violation of Sanctions; the Company and its subsidiaries have instituted, and maintain, policies and procedures designed to promote and achieve continued compliance with Sanctions;</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(jj)The audited consolidated financial statements (including the related notes thereto) of the Company included or incorporated by reference in the Registration Statement, the Pricing Prospectus and the Prospectus present fairly in all material respects the financial condition, results of operations and cash flows of the Company as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of the dates and for the periods indicated, comply as to form in all material respects with the applicable accounting requirements of the Act and have been prepared in conformity with U.S. GAAP applied on a consistent basis throughout the periods involved; and the other financial information included or incorporated by reference in the Registration Statement, the Pricing Prospectus and the Prospectus has been derived from the accounting records of the Company and presents fairly in all material respects the information shown thereby. Except as included or incorporated by reference therein, no historical or pro forma financial statements or supporting schedules are required to be included in the Registration Statement, the Pricing Prospectus or the Prospectus under the Act or the rules and regulations promulgated thereunder. All disclosures contained or incorporated by reference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(kk) The Company, OpCo and each of their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OpCo and each of their subsidiaries as currently conducted, free and clear of all material bugs, errors, defects, Trojan horses, time bombs, malware and other corruptants; the Company, OpCo and each of their subsidiaries have implemented and maintained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material breaches, violations, outages or unauthorized uses of or accesses to the same, except for those that have been remedied without material cost or liability or the duty to notify any other person, nor any material incidents under internal review or investigations relating to the same; the Company, OpCo and each of their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(ll) Neither the Company nor OpCo has taken and neither will take, directly or indirectly, any action designed to or that has constituted or that could reasonably be expected to cause or result in any stabilization or manipulation of the price of the Shares;</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(mm) Except to the extent restricted by applicable corporate or other organizational law or by applicable regulatory net capital rules to which they are subject or otherwise, in each case as described in the Pricing Prospectus, neither OpCo nor any other subsidiary of the Company is currently prohibited, directly or indirectly, from making distributions on such subsidiary’s capital stock or other equity interests or from transferring any of such subsidiary’s property or assets to the Company or any other subsidiary of the Company; and</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(nn) From the time of the initial filing of the Registration Statement with the Commission through the date hereof, the Company has been and is an “emerging growth company” as defined in Section 2(a)(19) of the Act (an “Emerging Growth Company”). </w:t>
      </w:r>
    </w:p>
    <w:p>
      <w:pPr>
        <w:pStyle w:val="TextBody"/>
        <w:bidi w:val="0"/>
        <w:spacing w:lineRule="auto" w:line="288" w:before="0" w:after="120"/>
        <w:ind w:left="0" w:right="0" w:firstLine="720"/>
        <w:jc w:val="both"/>
        <w:rPr/>
      </w:pPr>
      <w:r>
        <w:rPr>
          <w:rFonts w:ascii="Arial;sans-serif" w:hAnsi="Arial;sans-serif"/>
          <w:b w:val="false"/>
          <w:color w:val="000000"/>
          <w:sz w:val="22"/>
        </w:rPr>
        <w:t>2.</w:t>
      </w:r>
      <w:r>
        <w:rPr>
          <w:rFonts w:ascii="Helvetica;sans-serif" w:hAnsi="Helvetica;sans-serif"/>
          <w:b w:val="false"/>
          <w:color w:val="000000"/>
          <w:sz w:val="22"/>
        </w:rPr>
        <w:t>(a) Subject to the terms and conditions herein set forth, the Company agrees to sell to the Underwriter, and the Underwriter agrees to purchase from the Company at a purchase price per share of $11.40, 5,000,000 Firm Shares.</w:t>
      </w:r>
    </w:p>
    <w:p>
      <w:pPr>
        <w:pStyle w:val="TextBody"/>
        <w:bidi w:val="0"/>
        <w:spacing w:lineRule="auto" w:line="288" w:before="0" w:after="120"/>
        <w:ind w:left="0" w:right="0" w:firstLine="720"/>
        <w:jc w:val="both"/>
        <w:rPr/>
      </w:pPr>
      <w:r>
        <w:rPr>
          <w:rFonts w:ascii="Helvetica;sans-serif" w:hAnsi="Helvetica;sans-serif"/>
          <w:b w:val="false"/>
          <w:color w:val="000000"/>
          <w:sz w:val="22"/>
        </w:rPr>
        <w:t xml:space="preserve">(b) Subject to the terms and conditions herein set forth, the Company grants to the Underwriter the Option to purchase all or less than all of the Optional Shares. The purchase price per share to be paid for each Optional Share will be the same purchase price paid per share for each Firm Share, </w:t>
      </w:r>
      <w:r>
        <w:rPr>
          <w:rFonts w:ascii="Helvetica;sans-serif" w:hAnsi="Helvetica;sans-serif"/>
          <w:b w:val="false"/>
          <w:i/>
          <w:color w:val="000000"/>
          <w:sz w:val="22"/>
        </w:rPr>
        <w:t>provided</w:t>
      </w:r>
      <w:r>
        <w:rPr>
          <w:color w:val="000000"/>
        </w:rPr>
        <w:t xml:space="preserve"> </w:t>
      </w:r>
      <w:r>
        <w:rPr>
          <w:rFonts w:ascii="Helvetica;sans-serif" w:hAnsi="Helvetica;sans-serif"/>
          <w:b w:val="false"/>
          <w:color w:val="000000"/>
          <w:sz w:val="22"/>
        </w:rPr>
        <w:t>that the purchase price per Optional Share shall be reduced by an amount per share equal to any dividends or distributions declared by the Company and payable on the Firm Shares but not payable on the Optional Shares. The Option may be exercised in whole or in part at any time and from time to time on or before the 30th day after the date of this Agreement, upon written notice (the “Option Notice”) to the Company no later than 12:00 noon, New York City time, at least two and no more than five business days (unless the Company and the Underwriter agree otherwise in writing) before the date specified for closing in the Option Notice setting forth the aggregate number of Optional Shares to be purchased and the time and date for such purchase, as determined by the Underwriter but in no event earlier than the First Time of Delivery (as defined in Section 4 hereof). Upon exercise of the Option, the Company will become obligated to convey to the Underwriter, and, subject to the terms and conditions set forth herein, the Underwriter will become obligated to purchase, the number of Optional Shares specified in the Option Notice.</w:t>
      </w:r>
    </w:p>
    <w:p>
      <w:pPr>
        <w:pStyle w:val="TextBody"/>
        <w:bidi w:val="0"/>
        <w:spacing w:lineRule="auto" w:line="288" w:before="0" w:after="120"/>
        <w:ind w:left="0" w:right="0" w:firstLine="720"/>
        <w:jc w:val="both"/>
        <w:rPr/>
      </w:pPr>
      <w:r>
        <w:rPr>
          <w:rFonts w:ascii="Arial;sans-serif" w:hAnsi="Arial;sans-serif"/>
          <w:b w:val="false"/>
          <w:color w:val="000000"/>
          <w:sz w:val="22"/>
        </w:rPr>
        <w:t>3.</w:t>
      </w:r>
      <w:r>
        <w:rPr>
          <w:rFonts w:ascii="Helvetica;sans-serif" w:hAnsi="Helvetica;sans-serif"/>
          <w:b w:val="false"/>
          <w:color w:val="000000"/>
          <w:sz w:val="22"/>
        </w:rPr>
        <w:t>Upon the authorization by you of the release of the Shares, the Underwriter proposes to offer the Shares for sale upon the terms and conditions set forth in the Prospectus.</w:t>
      </w:r>
    </w:p>
    <w:p>
      <w:pPr>
        <w:pStyle w:val="TextBody"/>
        <w:bidi w:val="0"/>
        <w:spacing w:lineRule="auto" w:line="288" w:before="0" w:after="120"/>
        <w:ind w:left="0" w:right="0" w:firstLine="720"/>
        <w:jc w:val="both"/>
        <w:rPr/>
      </w:pPr>
      <w:r>
        <w:rPr>
          <w:rFonts w:ascii="Arial;sans-serif" w:hAnsi="Arial;sans-serif"/>
          <w:b w:val="false"/>
          <w:color w:val="000000"/>
          <w:sz w:val="22"/>
        </w:rPr>
        <w:t>4.</w:t>
      </w:r>
      <w:r>
        <w:rPr>
          <w:rFonts w:ascii="Helvetica;sans-serif" w:hAnsi="Helvetica;sans-serif"/>
          <w:b w:val="false"/>
          <w:color w:val="000000"/>
          <w:sz w:val="22"/>
        </w:rPr>
        <w:t>(a) The Shares to be purchased by the Underwriter, in definitive or book-entry form, and in such authorized denominations and registered in such names as the Underwriter may request upon at least forty-eight hours' prior notice to the Company shall be delivered by or on behalf of the Company to the Underwriter, through the facilities of the Depository Trust Company (“DTC”), for the account of the Underwriter, against payment by or on behalf of the Underwriter of the purchase price therefor by wire transfer of Federal (same-day) funds to the accounts specified by the Company to the Underwriter at least forty-eight hours in advance. The time and date of such delivery and payment shall be, with respect to the Firm Shares, 9:30 a.m., New York time, on March 1, 2024 or such other time and date as the Underwriter and the Company may agree upon in writing, and with respect to the Optional Shares, 9:30 a.m., New York time, on the date specified by the Option Notice or such other time and date as the Underwriter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pStyle w:val="TextBody"/>
        <w:bidi w:val="0"/>
        <w:spacing w:lineRule="auto" w:line="288" w:before="0" w:after="120"/>
        <w:ind w:left="0" w:right="0" w:firstLine="720"/>
        <w:jc w:val="both"/>
        <w:rPr/>
      </w:pPr>
      <w:r>
        <w:rPr>
          <w:rFonts w:ascii="Arial;sans-serif" w:hAnsi="Arial;sans-serif"/>
          <w:b w:val="false"/>
          <w:color w:val="000000"/>
          <w:sz w:val="22"/>
        </w:rPr>
        <w:t>(b)</w:t>
      </w:r>
      <w:r>
        <w:rPr>
          <w:rFonts w:ascii="Helvetica;sans-serif" w:hAnsi="Helvetica;sans-serif"/>
          <w:b w:val="false"/>
          <w:color w:val="000000"/>
          <w:sz w:val="22"/>
        </w:rPr>
        <w:t xml:space="preserve">The documents to be delivered at each Time of Delivery by or on behalf of the parties hereto pursuant to Section 8 hereof, including the cross receipt for the Shares and any additional documents requested by the Underwriter pursuant to Section 8(l) hereof will be delivered at the offices of Davis Polk &amp; Wardwell LLP, 450 Lexington Avenue, New York, NY 10017 or such other location as the Company and the Underwriter shall agree (the “Closing Location”), and the Shares will be delivered at the office of DTC or its designated custodian, all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at such Time of Delivery. A meeting (which may be telephonic or via other customary means of telecommunication) will be held at 9:00 a.m., New York City time (or such other time as the Underwriter and the Company may agree upon), on the New York Business Day next preceding such Time of Delivery, at which meeting the final drafts of the documents to be delivered pursuant to the preceding sentence will be available for review by the parties hereto. “New York Business Day” shall mean each Monday, Tuesday, Wednesday, Thursday and Friday which is not a day on which banking institutions in New York are generally authorized or obligated by law or executive order to close.</w:t>
      </w:r>
    </w:p>
    <w:p>
      <w:pPr>
        <w:pStyle w:val="TextBody"/>
        <w:bidi w:val="0"/>
        <w:spacing w:lineRule="auto" w:line="288" w:before="0" w:after="120"/>
        <w:ind w:left="0" w:right="0" w:firstLine="720"/>
        <w:jc w:val="both"/>
        <w:rPr/>
      </w:pPr>
      <w:r>
        <w:rPr>
          <w:rFonts w:ascii="Arial;sans-serif" w:hAnsi="Arial;sans-serif"/>
          <w:b w:val="false"/>
          <w:color w:val="000000"/>
          <w:sz w:val="22"/>
        </w:rPr>
        <w:t>5.</w:t>
      </w:r>
      <w:r>
        <w:rPr>
          <w:rFonts w:ascii="Helvetica;sans-serif" w:hAnsi="Helvetica;sans-serif"/>
          <w:b w:val="false"/>
          <w:color w:val="000000"/>
          <w:sz w:val="22"/>
        </w:rPr>
        <w:t>The Company agrees with the Underwriter:</w:t>
      </w:r>
    </w:p>
    <w:p>
      <w:pPr>
        <w:pStyle w:val="TextBody"/>
        <w:bidi w:val="0"/>
        <w:spacing w:lineRule="auto" w:line="288" w:before="0" w:after="120"/>
        <w:ind w:left="0" w:right="0" w:firstLine="720"/>
        <w:jc w:val="both"/>
        <w:rPr/>
      </w:pPr>
      <w:r>
        <w:rPr>
          <w:rFonts w:ascii="Arial;sans-serif" w:hAnsi="Arial;sans-serif"/>
          <w:b w:val="false"/>
          <w:color w:val="000000"/>
          <w:sz w:val="22"/>
        </w:rPr>
        <w:t>(a)</w:t>
      </w:r>
      <w:r>
        <w:rPr>
          <w:rFonts w:ascii="Helvetica;sans-serif" w:hAnsi="Helvetica;sans-serif"/>
          <w:b w:val="false"/>
          <w:color w:val="000000"/>
          <w:sz w:val="22"/>
        </w:rPr>
        <w:t>To prepare the Prospectus in a form approved by you and to file such Prospectus pursuant to Rule 424(b) under the Act not later than the Commission's close of business on the second business day following the execution and delivery of this Agreement, to make no further amendment or any supplement to the Registration Statement or the Prospectus prior to the last</w:t>
      </w:r>
      <w:r>
        <w:rPr>
          <w:color w:val="000000"/>
        </w:rPr>
        <w:t xml:space="preserve"> </w:t>
      </w:r>
      <w:r>
        <w:rPr>
          <w:rFonts w:ascii="Helvetica;sans-serif" w:hAnsi="Helvetica;sans-serif"/>
          <w:b w:val="false"/>
          <w:color w:val="000000"/>
          <w:sz w:val="22"/>
        </w:rPr>
        <w:t>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pStyle w:val="TextBody"/>
        <w:bidi w:val="0"/>
        <w:spacing w:lineRule="auto" w:line="288" w:before="0" w:after="120"/>
        <w:ind w:left="0" w:right="0" w:firstLine="720"/>
        <w:jc w:val="both"/>
        <w:rPr/>
      </w:pPr>
      <w:r>
        <w:rPr>
          <w:rFonts w:ascii="Helvetica;sans-serif" w:hAnsi="Helvetica;sans-serif"/>
          <w:b w:val="false"/>
          <w:color w:val="000000"/>
          <w:sz w:val="22"/>
        </w:rPr>
        <w:t>(b)</w:t>
      </w:r>
      <w:r>
        <w:rPr>
          <w:rFonts w:ascii="Helvetica;sans-serif" w:hAnsi="Helvetica;sans-serif"/>
          <w:b w:val="false"/>
          <w:color w:val="000000"/>
          <w:sz w:val="22"/>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or to subject itself to taxation in any jurisdiction;</w:t>
      </w:r>
    </w:p>
    <w:p>
      <w:pPr>
        <w:pStyle w:val="TextBody"/>
        <w:bidi w:val="0"/>
        <w:spacing w:lineRule="auto" w:line="288" w:before="0" w:after="120"/>
        <w:ind w:left="0" w:right="0" w:firstLine="720"/>
        <w:jc w:val="both"/>
        <w:rPr/>
      </w:pPr>
      <w:r>
        <w:rPr>
          <w:rFonts w:ascii="Helvetica;sans-serif" w:hAnsi="Helvetica;sans-serif"/>
          <w:b w:val="false"/>
          <w:color w:val="000000"/>
          <w:sz w:val="22"/>
        </w:rPr>
        <w:t>(c)</w:t>
      </w:r>
      <w:r>
        <w:rPr>
          <w:rFonts w:ascii="Helvetica;sans-serif" w:hAnsi="Helvetica;sans-serif"/>
          <w:b w:val="false"/>
          <w:color w:val="000000"/>
          <w:sz w:val="22"/>
        </w:rPr>
        <w:t xml:space="preserve">Prior to 10:00 a.m., New York City time, on the second New York Business Day following the date of this Agreement and from time to time, to furnish the Underwriter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to notify you and upon your request to prepare and furnish without charge to the Underwriter and to any dealer in securities (whose name and address the Underwriter shall furnish to the Company) as many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written and electronic copies as you may from time to time reasonably request of an amended Prospectus or a supplement to the Prospectus which will correct such statement or omission or effect such compliance; and in case the Underwriter is required to deliver a prospectus (or in lieu thereof, the notice referred to in Rule 173(a) under the Act) in connection with sales of any of the Shares at any time nine months or more after the time of issue of the Prospectus, upon your request but at the expense of the Underwriter, to prepare and deliver to the Underwriter as many written and electronic copies as you may request of an amended or supplemented Prospectus complying with Section 10(a)(3) of the Act;</w:t>
      </w:r>
    </w:p>
    <w:p>
      <w:pPr>
        <w:pStyle w:val="TextBody"/>
        <w:bidi w:val="0"/>
        <w:spacing w:lineRule="auto" w:line="288" w:before="0" w:after="120"/>
        <w:ind w:left="0" w:right="0" w:firstLine="720"/>
        <w:jc w:val="both"/>
        <w:rPr/>
      </w:pPr>
      <w:r>
        <w:rPr>
          <w:rFonts w:ascii="Arial;sans-serif" w:hAnsi="Arial;sans-serif"/>
          <w:b w:val="false"/>
          <w:color w:val="000000"/>
          <w:sz w:val="22"/>
        </w:rPr>
        <w:t>(d)</w:t>
      </w:r>
      <w:r>
        <w:rPr>
          <w:rFonts w:ascii="Helvetica;sans-serif" w:hAnsi="Helvetica;sans-serif"/>
          <w:b w:val="false"/>
          <w:color w:val="000000"/>
          <w:sz w:val="22"/>
        </w:rPr>
        <w:t>To make generally available to its securityholders (which may be satisfied by furnishing with the Commission’s Electronic Data Gathering Analysis and Retrieval System (“EDGAR”))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pStyle w:val="TextBody"/>
        <w:bidi w:val="0"/>
        <w:spacing w:lineRule="auto" w:line="288" w:before="0" w:after="120"/>
        <w:ind w:left="0" w:right="0" w:firstLine="720"/>
        <w:jc w:val="both"/>
        <w:rPr/>
      </w:pPr>
      <w:r>
        <w:rPr>
          <w:rFonts w:ascii="Arial;sans-serif" w:hAnsi="Arial;sans-serif"/>
          <w:b w:val="false"/>
          <w:color w:val="000000"/>
          <w:sz w:val="22"/>
        </w:rPr>
        <w:t>(e)</w:t>
      </w:r>
      <w:r>
        <w:rPr>
          <w:rFonts w:ascii="Helvetica;sans-serif" w:hAnsi="Helvetica;sans-serif"/>
          <w:b w:val="false"/>
          <w:color w:val="000000"/>
          <w:sz w:val="22"/>
        </w:rPr>
        <w:t>During the period beginning from the date hereof and continuing to and including the date 60 days after the date of the Prospectus (the "Company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(A) the Shares to be sold hereunder or issued pursuant to employee stock option or other equity compensation plans existing on, or upon the conversion or exchange of convertible or exchangeable securities outstanding as of, the date of this Agreement, (B) one or more registration statements on Form S-8, including any supplement or amendment, to register with the Commission the issuances permitted under clause (A), (C) in connection with the exchange of Class A partnership units of OpCo and the Company’s Class B common stock, (D) one or more registration statements, including any amendments or supplements thereto, and/or prospectus supplements in connection with any exchanges permitted under clause (C), (E) in connection with the Partnership Merger, Vesting Acceleration and Cash Conversion (in each case, as defined in the Preliminary Prospectus and the Prospectus) and (F) in connection with one or more acquisitions of another company, provided that not more than an aggregate of 10% of the outstanding shares of Stock as of the First Time of Delivery may be issued during the Company Lock-up Period in such acquisition or acquisitions);</w:t>
      </w:r>
    </w:p>
    <w:p>
      <w:pPr>
        <w:pStyle w:val="TextBody"/>
        <w:bidi w:val="0"/>
        <w:spacing w:lineRule="auto" w:line="288" w:before="0" w:after="120"/>
        <w:ind w:left="0" w:right="0" w:firstLine="720"/>
        <w:jc w:val="both"/>
        <w:rPr/>
      </w:pPr>
      <w:r>
        <w:rPr>
          <w:rFonts w:ascii="Arial;sans-serif" w:hAnsi="Arial;sans-serif"/>
          <w:b w:val="false"/>
          <w:color w:val="000000"/>
          <w:sz w:val="22"/>
        </w:rPr>
        <w:t>(f)</w:t>
      </w:r>
      <w:r>
        <w:rPr>
          <w:rFonts w:ascii="Helvetica;sans-serif" w:hAnsi="Helvetica;sans-serif"/>
          <w:b w:val="false"/>
          <w:color w:val="000000"/>
          <w:sz w:val="22"/>
        </w:rPr>
        <w:t xml:space="preserve">During a period of three years from the effective date of the Registration Statement,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the Company and its subsidiaries for such quarter in reasonable detail; provided, that no reports, documents or other information needs to be furnished pursuant to this Section 5(f) to the extent they are available on EDGAR;</w:t>
      </w:r>
    </w:p>
    <w:p>
      <w:pPr>
        <w:pStyle w:val="TextBody"/>
        <w:bidi w:val="0"/>
        <w:spacing w:lineRule="auto" w:line="288" w:before="0" w:after="120"/>
        <w:ind w:left="0" w:right="0" w:firstLine="720"/>
        <w:jc w:val="both"/>
        <w:rPr/>
      </w:pPr>
      <w:r>
        <w:rPr>
          <w:rFonts w:ascii="Arial;sans-serif" w:hAnsi="Arial;sans-serif"/>
          <w:b w:val="false"/>
          <w:color w:val="000000"/>
          <w:sz w:val="22"/>
        </w:rPr>
        <w:t>(g)</w:t>
      </w:r>
      <w:r>
        <w:rPr>
          <w:rFonts w:ascii="Helvetica;sans-serif" w:hAnsi="Helvetica;sans-serif"/>
          <w:b w:val="false"/>
          <w:color w:val="000000"/>
          <w:sz w:val="22"/>
        </w:rPr>
        <w:t>During a period of three years from the effective date of the Registration Statement,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needs to be furnished pursuant to this Section 5(g) to the extent they are available on EDGAR or to the extent the provision of which would require public disclosure by the Company under Regulation FD, and provided, further, that the Company may satisfy the requirements of this subsection by making any such report, communication or information generally available on its website;</w:t>
      </w:r>
    </w:p>
    <w:p>
      <w:pPr>
        <w:pStyle w:val="TextBody"/>
        <w:bidi w:val="0"/>
        <w:spacing w:lineRule="auto" w:line="288" w:before="0" w:after="120"/>
        <w:ind w:left="0" w:right="0" w:firstLine="720"/>
        <w:jc w:val="both"/>
        <w:rPr/>
      </w:pPr>
      <w:r>
        <w:rPr>
          <w:rFonts w:ascii="Arial;sans-serif" w:hAnsi="Arial;sans-serif"/>
          <w:b w:val="false"/>
          <w:color w:val="000000"/>
          <w:sz w:val="22"/>
        </w:rPr>
        <w:t>(h)</w:t>
      </w:r>
      <w:r>
        <w:rPr>
          <w:rFonts w:ascii="Helvetica;sans-serif" w:hAnsi="Helvetica;sans-serif"/>
          <w:b w:val="false"/>
          <w:color w:val="000000"/>
          <w:sz w:val="22"/>
        </w:rPr>
        <w:t>To use the net proceeds received by it from the sale of the Shares pursuant to this Agreement in the manner specified in the Pricing Prospectus under the caption “Use of Proceeds”;</w:t>
      </w:r>
    </w:p>
    <w:p>
      <w:pPr>
        <w:pStyle w:val="TextBody"/>
        <w:bidi w:val="0"/>
        <w:spacing w:lineRule="auto" w:line="288" w:before="0" w:after="120"/>
        <w:ind w:left="0" w:right="0" w:firstLine="720"/>
        <w:jc w:val="both"/>
        <w:rPr/>
      </w:pPr>
      <w:r>
        <w:rPr>
          <w:rFonts w:ascii="Arial;sans-serif" w:hAnsi="Arial;sans-serif"/>
          <w:b w:val="false"/>
          <w:color w:val="000000"/>
          <w:sz w:val="22"/>
        </w:rPr>
        <w:t>(i)</w:t>
      </w:r>
      <w:r>
        <w:rPr>
          <w:rFonts w:ascii="Helvetica;sans-serif" w:hAnsi="Helvetica;sans-serif"/>
          <w:b w:val="false"/>
          <w:color w:val="000000"/>
          <w:sz w:val="22"/>
        </w:rPr>
        <w:t>To use its best efforts to list for trading, subject to official notice of issuance, the Shares on the Exchange;</w:t>
      </w:r>
    </w:p>
    <w:p>
      <w:pPr>
        <w:pStyle w:val="TextBody"/>
        <w:bidi w:val="0"/>
        <w:spacing w:lineRule="auto" w:line="288" w:before="0" w:after="120"/>
        <w:ind w:left="0" w:right="0" w:firstLine="720"/>
        <w:jc w:val="both"/>
        <w:rPr/>
      </w:pPr>
      <w:r>
        <w:rPr>
          <w:rFonts w:ascii="Arial;sans-serif" w:hAnsi="Arial;sans-serif"/>
          <w:b w:val="false"/>
          <w:color w:val="000000"/>
          <w:sz w:val="22"/>
        </w:rPr>
        <w:t>(j)</w:t>
      </w:r>
      <w:r>
        <w:rPr>
          <w:rFonts w:ascii="Helvetica;sans-serif" w:hAnsi="Helvetica;sans-serif"/>
          <w:b w:val="false"/>
          <w:color w:val="000000"/>
          <w:sz w:val="22"/>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pStyle w:val="TextBody"/>
        <w:bidi w:val="0"/>
        <w:spacing w:lineRule="auto" w:line="288" w:before="0" w:after="120"/>
        <w:ind w:left="0" w:right="0" w:firstLine="720"/>
        <w:jc w:val="both"/>
        <w:rPr/>
      </w:pPr>
      <w:r>
        <w:rPr>
          <w:rFonts w:ascii="Arial;sans-serif" w:hAnsi="Arial;sans-serif"/>
          <w:b w:val="false"/>
          <w:color w:val="000000"/>
          <w:sz w:val="22"/>
        </w:rPr>
        <w:t>(k)</w:t>
      </w:r>
      <w:r>
        <w:rPr>
          <w:rFonts w:ascii="Helvetica;sans-serif" w:hAnsi="Helvetica;sans-serif"/>
          <w:b w:val="false"/>
          <w:color w:val="000000"/>
          <w:sz w:val="22"/>
        </w:rPr>
        <w:t>Upon the reasonable request of the Underwriter, to furnish, or cause to be furnished, to the Underwriter an electronic version of the Company's trademarks, service marks and corporate logo for use on the website, if any, operated by the Underwriter for a term lasting as long as the Shares are still being offered for purchase for the purpose of facilitating the on-line offering of the Shares (the “License”); provided, however, that the License shall be used solely for the purpose described above, is granted without any fee and may not be directly or indirectly assigned, sublicensed, pledged or transferred by the Underwriter (except that the Underwriter may sublicense its rights under the License to service providers or contractors in the course of providing services to, or acting on behalf of, the Underwriter in furtherance of the purpose described above); and the Underwriter agrees that the above website will be of high quality and will display content and offer products and services that reflect the high levels of quality associated with the Company and with the Underwriter; the Underwriter agrees that the Company has the right to approve in advance all uses and placements of its trademarks, service marks and logos on the website, provided that, once a use is approved, no future approval is required unless material changes are made; if the Underwriter materially breaches its quality control obligations and does not cure the same within 10 days after written notice from the Company, the Company may terminate the License; and</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120"/>
        <w:ind w:left="0" w:right="0" w:firstLine="720"/>
        <w:jc w:val="both"/>
        <w:rPr/>
      </w:pPr>
      <w:r>
        <w:rPr>
          <w:rFonts w:ascii="Arial;sans-serif" w:hAnsi="Arial;sans-serif"/>
          <w:b w:val="false"/>
          <w:color w:val="000000"/>
          <w:sz w:val="22"/>
        </w:rPr>
        <w:t>(l)</w:t>
      </w:r>
      <w:r>
        <w:rPr>
          <w:rFonts w:ascii="Helvetica;sans-serif" w:hAnsi="Helvetica;sans-serif"/>
          <w:b w:val="false"/>
          <w:color w:val="000000"/>
          <w:sz w:val="22"/>
        </w:rPr>
        <w:t>To promptly notify you if the Company ceases to be an Emerging Growth Company at any time prior to the later of (i) completion of the distribution of the Shares within the meaning of the Act and (ii) the last Time of Delivery.</w:t>
      </w:r>
    </w:p>
    <w:p>
      <w:pPr>
        <w:pStyle w:val="TextBody"/>
        <w:bidi w:val="0"/>
        <w:spacing w:lineRule="auto" w:line="288" w:before="0" w:after="120"/>
        <w:ind w:left="0" w:right="0" w:firstLine="720"/>
        <w:jc w:val="both"/>
        <w:rPr/>
      </w:pPr>
      <w:r>
        <w:rPr>
          <w:rFonts w:ascii="Arial;sans-serif" w:hAnsi="Arial;sans-serif"/>
          <w:b w:val="false"/>
          <w:color w:val="000000"/>
          <w:sz w:val="22"/>
        </w:rPr>
        <w:t>6.</w:t>
      </w:r>
      <w:r>
        <w:rPr>
          <w:rFonts w:ascii="Helvetica;sans-serif" w:hAnsi="Helvetica;sans-serif"/>
          <w:b w:val="false"/>
          <w:color w:val="000000"/>
          <w:sz w:val="22"/>
        </w:rPr>
        <w:t>(a)    The Company represents and agrees that it has not made and will not make any offer relating to the Shares that would constitute a “free writing prospectus” as defined in Rule 405 under the Act; and the Underwriter represents and agrees that it has not made and will not make any offer relating to the Shares that would constitute a free writing prospectus;</w:t>
      </w:r>
    </w:p>
    <w:p>
      <w:pPr>
        <w:pStyle w:val="TextBody"/>
        <w:bidi w:val="0"/>
        <w:spacing w:lineRule="auto" w:line="288" w:before="0" w:after="120"/>
        <w:ind w:left="0" w:right="0" w:hanging="720"/>
        <w:jc w:val="both"/>
        <w:rPr/>
      </w:pPr>
      <w:r>
        <w:rPr>
          <w:rFonts w:ascii="Arial;sans-serif" w:hAnsi="Arial;sans-serif"/>
          <w:b w:val="false"/>
          <w:color w:val="000000"/>
          <w:sz w:val="22"/>
        </w:rPr>
        <w:t>(b)</w:t>
      </w:r>
      <w:r>
        <w:rPr>
          <w:rFonts w:ascii="Helvetica;sans-serif" w:hAnsi="Helvetica;sans-serif"/>
          <w:b w:val="false"/>
          <w:color w:val="000000"/>
          <w:sz w:val="22"/>
        </w:rPr>
        <w:t>[Reserved];</w:t>
      </w:r>
    </w:p>
    <w:p>
      <w:pPr>
        <w:pStyle w:val="TextBody"/>
        <w:bidi w:val="0"/>
        <w:spacing w:lineRule="auto" w:line="288" w:before="0" w:after="120"/>
        <w:ind w:left="0" w:right="0" w:hanging="720"/>
        <w:jc w:val="both"/>
        <w:rPr/>
      </w:pPr>
      <w:r>
        <w:rPr>
          <w:rFonts w:ascii="Arial;sans-serif" w:hAnsi="Arial;sans-serif"/>
          <w:b w:val="false"/>
          <w:color w:val="000000"/>
          <w:sz w:val="22"/>
        </w:rPr>
        <w:t>(c)</w:t>
      </w:r>
      <w:r>
        <w:rPr>
          <w:rFonts w:ascii="Helvetica;sans-serif" w:hAnsi="Helvetica;sans-serif"/>
          <w:b w:val="false"/>
          <w:color w:val="000000"/>
          <w:sz w:val="22"/>
        </w:rPr>
        <w:t>[Reserved];</w:t>
      </w:r>
    </w:p>
    <w:p>
      <w:pPr>
        <w:pStyle w:val="TextBody"/>
        <w:bidi w:val="0"/>
        <w:spacing w:lineRule="auto" w:line="288" w:before="0" w:after="120"/>
        <w:ind w:left="0" w:right="0" w:firstLine="1440"/>
        <w:jc w:val="both"/>
        <w:rPr/>
      </w:pPr>
      <w:r>
        <w:rPr>
          <w:rFonts w:ascii="Arial;sans-serif" w:hAnsi="Arial;sans-serif"/>
          <w:b w:val="false"/>
          <w:color w:val="000000"/>
          <w:sz w:val="22"/>
        </w:rPr>
        <w:t>(d)</w:t>
      </w:r>
      <w:r>
        <w:rPr>
          <w:rFonts w:ascii="Helvetica;sans-serif" w:hAnsi="Helvetica;sans-serif"/>
          <w:b w:val="false"/>
          <w:color w:val="000000"/>
          <w:sz w:val="22"/>
        </w:rPr>
        <w:t>The Company represents and agrees that (i) it has not engaged in, or authorized any other person to engage in, any oral or written communication with potential investors undertaken in reliance on Section 5(d) of and/or Rule 163B under the Act (“Testing-the-Waters Communication”); and (ii) it has not distributed, or authorized any other person to distribute, any Testing-the-Waters Communication that is a written communication within the meaning of Rule 405 under the Act; and</w:t>
      </w:r>
    </w:p>
    <w:p>
      <w:pPr>
        <w:pStyle w:val="TextBody"/>
        <w:bidi w:val="0"/>
        <w:spacing w:lineRule="auto" w:line="288" w:before="0" w:after="120"/>
        <w:ind w:left="0" w:right="0" w:firstLine="1440"/>
        <w:jc w:val="both"/>
        <w:rPr/>
      </w:pPr>
      <w:r>
        <w:rPr>
          <w:rFonts w:ascii="Helvetica;sans-serif" w:hAnsi="Helvetica;sans-serif"/>
          <w:b w:val="false"/>
          <w:color w:val="000000"/>
          <w:sz w:val="22"/>
        </w:rPr>
        <w:t>(e)</w:t>
      </w:r>
      <w:r>
        <w:rPr>
          <w:rFonts w:ascii="Helvetica;sans-serif" w:hAnsi="Helvetica;sans-serif"/>
          <w:b w:val="false"/>
          <w:color w:val="000000"/>
          <w:sz w:val="22"/>
        </w:rPr>
        <w:t>The Underwriter represents and agrees that it has not undertaken any Testing-the-Waters Communications.</w:t>
      </w:r>
    </w:p>
    <w:p>
      <w:pPr>
        <w:pStyle w:val="TextBody"/>
        <w:bidi w:val="0"/>
        <w:spacing w:lineRule="auto" w:line="288" w:before="0" w:after="120"/>
        <w:ind w:left="0" w:right="0" w:firstLine="720"/>
        <w:jc w:val="both"/>
        <w:rPr/>
      </w:pPr>
      <w:r>
        <w:rPr>
          <w:rFonts w:ascii="Arial;sans-serif" w:hAnsi="Arial;sans-serif"/>
          <w:b w:val="false"/>
          <w:color w:val="000000"/>
          <w:sz w:val="22"/>
        </w:rPr>
        <w:t>7.</w:t>
      </w:r>
      <w:r>
        <w:rPr>
          <w:rFonts w:ascii="Helvetica;sans-serif" w:hAnsi="Helvetica;sans-serif"/>
          <w:b w:val="false"/>
          <w:color w:val="000000"/>
          <w:sz w:val="22"/>
        </w:rPr>
        <w:t>The Company and OpCo covenant and agree with one another and the Underwriter that (a)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and the Prospectus and amendments and supplements thereto and the mailing and delivering of copies thereof to the Underwriter and dealers; (ii) the cost of printing or producing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 in connection with such qualification and in connection with the Blue Sky survey; (iv) all fees and expenses in connection with listing the Shares on the Exchange; (v) the filing fees incident to, and the fees and disbursements of counsel for the Underwriter in connection with, any required review by FINRA of the terms of the sale of the Shares; (vi) the cost of preparing stock certificates, if applicable; (vii) the cost and charges of any transfer agent or registrar; and (viii) all other costs and expenses incident to the performance of its obligations hereunder which are not otherwise specifically provided for in this Section 7; provided, however, that the amounts payable by the Company pursuant to clauses (iii) and (v) for fees and disbursements of counsel for the Underwriter described in clauses (iii) and (v) shall not exceed $30,000 in the aggregate. It is understood, however, that, except as provided in this Section, and Sections 9 and 11 hereof, the Underwriter will pay all of its own costs and expenses, including the fees of its counsel, stock transfer taxes on resale of any of the Shares by it, and any advertising expenses connected with any offers it may make.</w:t>
      </w:r>
    </w:p>
    <w:p>
      <w:pPr>
        <w:pStyle w:val="TextBody"/>
        <w:bidi w:val="0"/>
        <w:spacing w:lineRule="auto" w:line="288" w:before="0" w:after="120"/>
        <w:ind w:left="0" w:right="0" w:firstLine="720"/>
        <w:jc w:val="both"/>
        <w:rPr/>
      </w:pPr>
      <w:r>
        <w:rPr>
          <w:rFonts w:ascii="Arial;sans-serif" w:hAnsi="Arial;sans-serif"/>
          <w:b w:val="false"/>
          <w:color w:val="000000"/>
          <w:sz w:val="22"/>
        </w:rPr>
        <w:t>8.</w:t>
      </w:r>
      <w:r>
        <w:rPr>
          <w:rFonts w:ascii="Helvetica;sans-serif" w:hAnsi="Helvetica;sans-serif"/>
          <w:b w:val="false"/>
          <w:color w:val="000000"/>
          <w:sz w:val="22"/>
        </w:rPr>
        <w:t xml:space="preserve">The obligations of the Underwriter hereunder, as to the Shares to be delivered at each Time of Delivery, shall be subject, in its discretion, to the condition that all representations and warranties and other statements of the Company and OpCo herein are, at and as of the Applicable Time and such Time of Delivery, true and correct, the condition that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shall have performed all of its and their obligations hereunder theretofore to be performed, and the following additional conditions:</w:t>
      </w:r>
    </w:p>
    <w:p>
      <w:pPr>
        <w:pStyle w:val="TextBody"/>
        <w:bidi w:val="0"/>
        <w:spacing w:lineRule="auto" w:line="288" w:before="0" w:after="120"/>
        <w:ind w:left="0" w:right="0" w:firstLine="720"/>
        <w:jc w:val="both"/>
        <w:rPr/>
      </w:pPr>
      <w:r>
        <w:rPr>
          <w:rFonts w:ascii="Arial;sans-serif" w:hAnsi="Arial;sans-serif"/>
          <w:b w:val="false"/>
          <w:color w:val="000000"/>
          <w:sz w:val="22"/>
        </w:rPr>
        <w:t>(a)</w:t>
      </w:r>
      <w:r>
        <w:rPr>
          <w:rFonts w:ascii="Helvetica;sans-serif" w:hAnsi="Helvetica;sans-serif"/>
          <w:b w:val="false"/>
          <w:color w:val="000000"/>
          <w:sz w:val="22"/>
        </w:rPr>
        <w:t>The Prospectus shall have been filed with the Commission pursuant to Rule 424(b) under the Act within the applicable time period prescribed for such filing by the rules and regulations under the Act and in accordance with Section 5(a) hereof;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Pricing Prospectus or Prospectus shall have been initiated or threatened by the Commission; and all requests for additional information on the part of the Commission shall have been complied with to your reasonable satisfaction;</w:t>
      </w:r>
    </w:p>
    <w:p>
      <w:pPr>
        <w:pStyle w:val="TextBody"/>
        <w:bidi w:val="0"/>
        <w:spacing w:lineRule="auto" w:line="288" w:before="0" w:after="120"/>
        <w:ind w:left="0" w:right="0" w:firstLine="720"/>
        <w:jc w:val="both"/>
        <w:rPr/>
      </w:pPr>
      <w:r>
        <w:rPr>
          <w:rFonts w:ascii="Arial;sans-serif" w:hAnsi="Arial;sans-serif"/>
          <w:b w:val="false"/>
          <w:color w:val="000000"/>
          <w:sz w:val="22"/>
        </w:rPr>
        <w:t>(b)</w:t>
      </w:r>
      <w:r>
        <w:rPr>
          <w:rFonts w:ascii="Helvetica;sans-serif" w:hAnsi="Helvetica;sans-serif"/>
          <w:b w:val="false"/>
          <w:color w:val="000000"/>
          <w:sz w:val="22"/>
        </w:rPr>
        <w:t>Davis Polk &amp; Wardwell LLP, counsel for the Underwriter, shall have furnished to you such written opinion or opinions, dated such Time of Delivery, in form and substance satisfactory to you, and such counsel shall have received such papers and information as they may reasonably request to enable them to pass upon such matters;</w:t>
      </w:r>
    </w:p>
    <w:p>
      <w:pPr>
        <w:pStyle w:val="TextBody"/>
        <w:bidi w:val="0"/>
        <w:spacing w:lineRule="auto" w:line="288" w:before="0" w:after="120"/>
        <w:ind w:left="0" w:right="0" w:firstLine="720"/>
        <w:jc w:val="both"/>
        <w:rPr/>
      </w:pPr>
      <w:r>
        <w:rPr>
          <w:rFonts w:ascii="Arial;sans-serif" w:hAnsi="Arial;sans-serif"/>
          <w:b w:val="false"/>
          <w:color w:val="000000"/>
          <w:sz w:val="22"/>
        </w:rPr>
        <w:t>(c)</w:t>
      </w:r>
      <w:r>
        <w:rPr>
          <w:rFonts w:ascii="Helvetica;sans-serif" w:hAnsi="Helvetica;sans-serif"/>
          <w:b w:val="false"/>
          <w:color w:val="000000"/>
          <w:sz w:val="22"/>
        </w:rPr>
        <w:t>Skadden, Arps, Slate, Meagher &amp; Flom LLP, counsel for the Company, shall have furnished to you their written opinion and negative assurance letter, dated as of such Time of Delivery, in form and substance satisfactory to you;</w:t>
      </w:r>
    </w:p>
    <w:p>
      <w:pPr>
        <w:pStyle w:val="TextBody"/>
        <w:bidi w:val="0"/>
        <w:spacing w:lineRule="auto" w:line="288" w:before="0" w:after="120"/>
        <w:ind w:left="0" w:right="0" w:firstLine="720"/>
        <w:jc w:val="both"/>
        <w:rPr/>
      </w:pPr>
      <w:r>
        <w:rPr>
          <w:rFonts w:ascii="Arial;sans-serif" w:hAnsi="Arial;sans-serif"/>
          <w:b w:val="false"/>
          <w:color w:val="000000"/>
          <w:sz w:val="22"/>
        </w:rPr>
        <w:t>(d)</w:t>
      </w:r>
      <w:r>
        <w:rPr>
          <w:rFonts w:ascii="Helvetica;sans-serif" w:hAnsi="Helvetica;sans-serif"/>
          <w:b w:val="false"/>
          <w:color w:val="000000"/>
          <w:sz w:val="22"/>
        </w:rPr>
        <w:t>On the date of the Prospectus,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w:t>
      </w:r>
    </w:p>
    <w:p>
      <w:pPr>
        <w:pStyle w:val="TextBody"/>
        <w:bidi w:val="0"/>
        <w:spacing w:lineRule="auto" w:line="288" w:before="0" w:after="120"/>
        <w:ind w:left="0" w:right="0" w:firstLine="720"/>
        <w:jc w:val="both"/>
        <w:rPr/>
      </w:pPr>
      <w:r>
        <w:rPr>
          <w:rFonts w:ascii="Arial;sans-serif" w:hAnsi="Arial;sans-serif"/>
          <w:b w:val="false"/>
          <w:color w:val="000000"/>
          <w:sz w:val="22"/>
        </w:rPr>
        <w:t>(e)</w:t>
      </w:r>
      <w:r>
        <w:rPr>
          <w:rFonts w:ascii="Helvetica;sans-serif" w:hAnsi="Helvetica;sans-serif"/>
          <w:b w:val="false"/>
          <w:color w:val="000000"/>
          <w:sz w:val="22"/>
        </w:rPr>
        <w:t>[Reserved];</w:t>
      </w:r>
    </w:p>
    <w:p>
      <w:pPr>
        <w:pStyle w:val="TextBody"/>
        <w:bidi w:val="0"/>
        <w:spacing w:lineRule="auto" w:line="288" w:before="0" w:after="120"/>
        <w:ind w:left="0" w:right="0" w:firstLine="720"/>
        <w:jc w:val="both"/>
        <w:rPr/>
      </w:pPr>
      <w:r>
        <w:rPr>
          <w:rFonts w:ascii="Arial;sans-serif" w:hAnsi="Arial;sans-serif"/>
          <w:b w:val="false"/>
          <w:color w:val="000000"/>
          <w:sz w:val="22"/>
        </w:rPr>
        <w:t>(f)</w:t>
      </w:r>
      <w:r>
        <w:rPr>
          <w:rFonts w:ascii="Helvetica;sans-serif" w:hAnsi="Helvetica;sans-serif"/>
          <w:b w:val="false"/>
          <w:color w:val="000000"/>
          <w:sz w:val="22"/>
        </w:rPr>
        <w:t xml:space="preserve">(i) Neither the Company, OpCo nor any of their subsidiaries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(i) the exercise or settlement, if any, of stock options or restricted stock units, respectively, or the award, if any, of stock options, restricted stock units or restricted stock in the ordinary course of business pursuant to the Company’s or OpCo’s equity plans that are described in the Pricing Prospectus and the Prospectus or (ii) the issuance, if any, of stock upon conversion or exchange of Company or OpCo securities as described in the Pricing Prospectus and the Prospectus) or long-term debt of the Company, OpCo or any of their subsidiaries or any change or effect, or any development involving a prospective change or effect, in or affecting (x) the business, properties, general affairs, management, financial position, stockholders' equity or results of operations of the Company, OpCo and their subsidiaries, taken as a whole, except as set forth or contemplated in the Pricing Prospectus and the Prospectus, or (y) the ability of the Company or OpCo to perform its obligations under this Agreement, including the issuance and sale of the Shares, or to consummate the transactions contemplated in the Pricing Prospectus and the Prospectus, the effect of which, in any such case described in clause (i) or (ii), is in your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pStyle w:val="TextBody"/>
        <w:bidi w:val="0"/>
        <w:spacing w:lineRule="auto" w:line="288" w:before="0" w:after="120"/>
        <w:ind w:left="0" w:right="0" w:firstLine="720"/>
        <w:jc w:val="both"/>
        <w:rPr/>
      </w:pPr>
      <w:r>
        <w:rPr>
          <w:rFonts w:ascii="Arial;sans-serif" w:hAnsi="Arial;sans-serif"/>
          <w:b w:val="false"/>
          <w:color w:val="000000"/>
          <w:sz w:val="22"/>
        </w:rPr>
        <w:t>(g)</w:t>
      </w:r>
      <w:r>
        <w:rPr>
          <w:rFonts w:ascii="Helvetica;sans-serif" w:hAnsi="Helvetica;sans-serif"/>
          <w:b w:val="false"/>
          <w:color w:val="000000"/>
          <w:sz w:val="22"/>
        </w:rPr>
        <w:t>On or after the Applicable Time (i) no downgrading shall have occurred in the rating accorded the Company's debt securities by any “nationally recognized statistical rating organization”, as defined in Section 3(a)(62) of the Exchange Act, and (ii) no such organization shall have publicly announced that it has under surveillance or review, with possible negative implications, its rating of any of the Company's debt securities;</w:t>
      </w:r>
    </w:p>
    <w:p>
      <w:pPr>
        <w:pStyle w:val="TextBody"/>
        <w:bidi w:val="0"/>
        <w:spacing w:lineRule="auto" w:line="288" w:before="0" w:after="120"/>
        <w:ind w:left="0" w:right="0" w:firstLine="720"/>
        <w:jc w:val="both"/>
        <w:rPr/>
      </w:pPr>
      <w:r>
        <w:rPr>
          <w:rFonts w:ascii="Arial;sans-serif" w:hAnsi="Arial;sans-serif"/>
          <w:b w:val="false"/>
          <w:color w:val="000000"/>
          <w:sz w:val="22"/>
        </w:rPr>
        <w:t>(h)</w:t>
      </w:r>
      <w:r>
        <w:rPr>
          <w:rFonts w:ascii="Helvetica;sans-serif" w:hAnsi="Helvetica;sans-serif"/>
          <w:b w:val="false"/>
          <w:color w:val="000000"/>
          <w:sz w:val="22"/>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(which, for the avoidance of doubt, will exclude any national emergency declared or other similar event as a result of the COVID-19 pandemic) in your judgment makes it impracticable or inadvisable to proceed with the public offering or the delivery of the Shares being delivered at such Time of Delivery on the terms and in the manner contemplated in the Pricing Prospectus and the Prospectus;</w:t>
      </w:r>
    </w:p>
    <w:p>
      <w:pPr>
        <w:pStyle w:val="TextBody"/>
        <w:bidi w:val="0"/>
        <w:spacing w:lineRule="auto" w:line="288" w:before="0" w:after="120"/>
        <w:ind w:left="0" w:right="0" w:firstLine="720"/>
        <w:jc w:val="both"/>
        <w:rPr/>
      </w:pPr>
      <w:r>
        <w:rPr>
          <w:rFonts w:ascii="Arial;sans-serif" w:hAnsi="Arial;sans-serif"/>
          <w:b w:val="false"/>
          <w:color w:val="000000"/>
          <w:sz w:val="22"/>
        </w:rPr>
        <w:t>(i)</w:t>
      </w:r>
      <w:r>
        <w:rPr>
          <w:rFonts w:ascii="Helvetica;sans-serif" w:hAnsi="Helvetica;sans-serif"/>
          <w:b w:val="false"/>
          <w:color w:val="000000"/>
          <w:sz w:val="22"/>
        </w:rPr>
        <w:t>The Shares to be sold at such Time of Delivery shall have been duly listed, subject to official notice of issuance, on the Exchange;</w:t>
      </w:r>
    </w:p>
    <w:p>
      <w:pPr>
        <w:pStyle w:val="TextBody"/>
        <w:bidi w:val="0"/>
        <w:spacing w:lineRule="auto" w:line="288" w:before="0" w:after="120"/>
        <w:ind w:left="0" w:right="0" w:firstLine="720"/>
        <w:jc w:val="both"/>
        <w:rPr/>
      </w:pPr>
      <w:r>
        <w:rPr>
          <w:rFonts w:ascii="Arial;sans-serif" w:hAnsi="Arial;sans-serif"/>
          <w:b w:val="false"/>
          <w:color w:val="000000"/>
          <w:sz w:val="22"/>
        </w:rPr>
        <w:t>(j)</w:t>
      </w:r>
      <w:r>
        <w:rPr>
          <w:rFonts w:ascii="Helvetica;sans-serif" w:hAnsi="Helvetica;sans-serif"/>
          <w:b w:val="false"/>
          <w:color w:val="000000"/>
          <w:sz w:val="22"/>
        </w:rPr>
        <w:t>The Company shall have obtained and delivered to the Underwriter executed copies of an agreement from each officer, director or stockholder of the Company listed on Schedule II hereto, substantially to the effect set forth in Annex I hereto in form and substance satisfactory to you;</w:t>
      </w:r>
    </w:p>
    <w:p>
      <w:pPr>
        <w:pStyle w:val="TextBody"/>
        <w:bidi w:val="0"/>
        <w:spacing w:lineRule="auto" w:line="288" w:before="0" w:after="120"/>
        <w:ind w:left="0" w:right="0" w:firstLine="720"/>
        <w:jc w:val="both"/>
        <w:rPr/>
      </w:pPr>
      <w:r>
        <w:rPr>
          <w:rFonts w:ascii="Arial;sans-serif" w:hAnsi="Arial;sans-serif"/>
          <w:b w:val="false"/>
          <w:color w:val="000000"/>
          <w:sz w:val="22"/>
        </w:rPr>
        <w:t>(k)</w:t>
      </w:r>
      <w:r>
        <w:rPr>
          <w:rFonts w:ascii="Helvetica;sans-serif" w:hAnsi="Helvetica;sans-serif"/>
          <w:b w:val="false"/>
          <w:color w:val="000000"/>
          <w:sz w:val="22"/>
        </w:rPr>
        <w:t>The Company shall have complied with the provisions of Section 5(c) hereof with respect to the furnishing of prospectuses on the second New York Business Day following the date of this Agreement;</w:t>
      </w:r>
    </w:p>
    <w:p>
      <w:pPr>
        <w:pStyle w:val="TextBody"/>
        <w:bidi w:val="0"/>
        <w:spacing w:lineRule="auto" w:line="288" w:before="0" w:after="120"/>
        <w:ind w:left="0" w:right="0" w:firstLine="720"/>
        <w:jc w:val="both"/>
        <w:rPr/>
      </w:pPr>
      <w:r>
        <w:rPr>
          <w:rFonts w:ascii="Arial;sans-serif" w:hAnsi="Arial;sans-serif"/>
          <w:b w:val="false"/>
          <w:color w:val="000000"/>
          <w:sz w:val="22"/>
        </w:rPr>
        <w:t>(l)</w:t>
      </w:r>
      <w:r>
        <w:rPr>
          <w:rFonts w:ascii="Helvetica;sans-serif" w:hAnsi="Helvetica;sans-serif"/>
          <w:b w:val="false"/>
          <w:color w:val="000000"/>
          <w:sz w:val="22"/>
        </w:rPr>
        <w:t>The Company and OpCo shall have furnished or caused to be furnished to you at each Time of Delivery certificates of officers of the Company and OpCo, respectively, satisfactory to you as to the accuracy of the representations and warranties of the Company and OpCo, respectively, herein at and as of such Time of Delivery, as to the performance by the Company and OpCo of all of their respective obligations hereunder to be performed at or prior to such Time of Delivery, as to such other matters as you may reasonably request, and the Company and OpCo shall have furnished or caused to be furnished certificates as to the matters set forth in subsections (a) and (f) of this Section 8; and</w:t>
      </w:r>
    </w:p>
    <w:p>
      <w:pPr>
        <w:pStyle w:val="TextBody"/>
        <w:bidi w:val="0"/>
        <w:spacing w:lineRule="auto" w:line="288" w:before="0" w:after="120"/>
        <w:ind w:left="0" w:right="0" w:firstLine="720"/>
        <w:jc w:val="both"/>
        <w:rPr/>
      </w:pPr>
      <w:r>
        <w:rPr>
          <w:rFonts w:ascii="Arial;sans-serif" w:hAnsi="Arial;sans-serif"/>
          <w:b w:val="false"/>
          <w:color w:val="000000"/>
          <w:sz w:val="22"/>
        </w:rPr>
        <w:t>(m)</w:t>
      </w:r>
      <w:r>
        <w:rPr>
          <w:rFonts w:ascii="Helvetica;sans-serif" w:hAnsi="Helvetica;sans-serif"/>
          <w:b w:val="false"/>
          <w:color w:val="000000"/>
          <w:sz w:val="22"/>
        </w:rPr>
        <w:t>FINRA shall not have raised any objection with respect to the fairness or reasonableness of the underwriting, or other arrangements of the transactions contemplated hereby.</w:t>
      </w:r>
    </w:p>
    <w:p>
      <w:pPr>
        <w:pStyle w:val="TextBody"/>
        <w:bidi w:val="0"/>
        <w:spacing w:lineRule="auto" w:line="288" w:before="0" w:after="120"/>
        <w:ind w:left="0" w:right="0" w:firstLine="720"/>
        <w:jc w:val="both"/>
        <w:rPr/>
      </w:pPr>
      <w:r>
        <w:rPr>
          <w:rFonts w:ascii="Arial;sans-serif" w:hAnsi="Arial;sans-serif"/>
          <w:b w:val="false"/>
          <w:color w:val="000000"/>
          <w:sz w:val="22"/>
        </w:rPr>
        <w:t>9.</w:t>
      </w:r>
      <w:r>
        <w:rPr>
          <w:rFonts w:ascii="Helvetica;sans-serif" w:hAnsi="Helvetica;sans-serif"/>
          <w:b w:val="false"/>
          <w:color w:val="000000"/>
          <w:sz w:val="22"/>
        </w:rPr>
        <w:t xml:space="preserve">(a)  The Company and OpCo, jointly and severally, will indemnify and hold harmless the Underwriter against any losses, claims, damages or liabilities, joint or several, to which the Underwriter may become subject, under the Act or otherwise, insofar as such losses,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“roadshow” as defined in Rule 433(h) under the Act (a “roadshow”) or arise out of or are based upon the omission or alleged omission to state therein a material fact required to be stated therein or necessary to make the statements therein not misleading, and will reimburse the Underwriter for any legal or other expenses reasonably incurred by the Underwriter in connection with investigating or defending any such action or claim as such expenses are incurred; provided, however, that the Company and OpCo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in reliance upon and in conformity with the Underwriter Information.</w:t>
      </w:r>
    </w:p>
    <w:p>
      <w:pPr>
        <w:pStyle w:val="TextBody"/>
        <w:bidi w:val="0"/>
        <w:spacing w:lineRule="auto" w:line="288" w:before="0" w:after="120"/>
        <w:ind w:left="0" w:right="0" w:firstLine="720"/>
        <w:jc w:val="both"/>
        <w:rPr/>
      </w:pPr>
      <w:r>
        <w:rPr>
          <w:rFonts w:ascii="Arial;sans-serif" w:hAnsi="Arial;sans-serif"/>
          <w:b w:val="false"/>
          <w:color w:val="000000"/>
          <w:sz w:val="22"/>
        </w:rPr>
        <w:t>(b)</w:t>
      </w:r>
      <w:r>
        <w:rPr>
          <w:rFonts w:ascii="Helvetica;sans-serif" w:hAnsi="Helvetica;sans-serif"/>
          <w:b w:val="false"/>
          <w:color w:val="000000"/>
          <w:sz w:val="22"/>
        </w:rPr>
        <w:t>The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roadshow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roadshow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the Underwriter and an applicable document, “Underwriter Information” shall mean the written information furnished to the Company by the Underwriter expressly for use therein; it being understood and agreed upon that the only such information furnished by the Underwriter consists of the following information in the Prospectus furnished on behalf of the Underwriter: the concession and reallowance figures appearing in the fourth paragraph under the caption “Underwriting”, and the information contained in the seventh and eighth paragraphs under the caption “Underwriting”.</w:t>
      </w:r>
    </w:p>
    <w:p>
      <w:pPr>
        <w:pStyle w:val="TextBody"/>
        <w:bidi w:val="0"/>
        <w:spacing w:lineRule="auto" w:line="288" w:before="0" w:after="120"/>
        <w:ind w:left="0" w:right="0" w:firstLine="720"/>
        <w:jc w:val="both"/>
        <w:rPr/>
      </w:pPr>
      <w:r>
        <w:rPr>
          <w:rFonts w:ascii="Arial;sans-serif" w:hAnsi="Arial;sans-serif"/>
          <w:b w:val="false"/>
          <w:color w:val="000000"/>
          <w:sz w:val="22"/>
        </w:rPr>
        <w:t>(c)</w:t>
      </w:r>
      <w:r>
        <w:rPr>
          <w:rFonts w:ascii="Helvetica;sans-serif" w:hAnsi="Helvetica;sans-serif"/>
          <w:b w:val="false"/>
          <w:color w:val="000000"/>
          <w:sz w:val="22"/>
        </w:rPr>
        <w:t xml:space="preserve">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It is understood that the indemnifying party or parties shall not, in connection with any one action or proceeding or separate but substantially similar actions or proceedings arising out of the same general allegations, be liable for the fees and expenses of more than one separate firm of attorneys at any time for all indemnified parties except to the extent that local counsel or counsel with specialized expertise (in addition to any regular counsel) is required to effectively defend against any such action or proceeding.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pStyle w:val="TextBody"/>
        <w:bidi w:val="0"/>
        <w:spacing w:lineRule="auto" w:line="288" w:before="0" w:after="120"/>
        <w:ind w:left="0" w:right="0" w:firstLine="720"/>
        <w:jc w:val="both"/>
        <w:rPr/>
      </w:pPr>
      <w:r>
        <w:rPr>
          <w:rFonts w:ascii="Arial;sans-serif" w:hAnsi="Arial;sans-serif"/>
          <w:b w:val="false"/>
          <w:color w:val="000000"/>
          <w:sz w:val="22"/>
        </w:rPr>
        <w:t>(d)</w:t>
      </w:r>
      <w:r>
        <w:rPr>
          <w:rFonts w:ascii="Helvetica;sans-serif" w:hAnsi="Helvetica;sans-serif"/>
          <w:b w:val="false"/>
          <w:color w:val="000000"/>
          <w:sz w:val="22"/>
        </w:rPr>
        <w:t xml:space="preserve">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OpCo on the one hand and the Underwriter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OpCo on the one hand and the Underwriter on the other in connection with the statements or omissions which resulted in such losses, claims, damages or liabilities (or actions in respect thereof), as well as any other relevant equitable considerations. The relative benefits received by the Company and OpCo on the one hand and the Underwriter on the other shall be deemed to be in the same proportion as the total net proceeds from the offering (before deducting expenses) received by the Company and OpCo bear to the total underwriting discounts and commissions received by the Underwriter,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OpCo on the one hand or the Underwriter on the other and the parties' relative intent, knowledge, access to information and opportunity to correct or prevent such statement or omission. The Company, OpCo and the Underwriter agree that it would not be just and equitable if contribution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 xml:space="preserve">or defending any such action or claim. Notwithstanding the provisions of this subsection (d), the Underwriter shall not be required to contribute any amount in excess of the amount by which the total price at which the Shares underwritten by it and distributed to the public were offered to the public exceeds the amount of any damages which the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w:t>
      </w:r>
    </w:p>
    <w:p>
      <w:pPr>
        <w:pStyle w:val="TextBody"/>
        <w:bidi w:val="0"/>
        <w:spacing w:lineRule="auto" w:line="288" w:before="0" w:after="120"/>
        <w:ind w:left="0" w:right="0" w:firstLine="720"/>
        <w:jc w:val="both"/>
        <w:rPr/>
      </w:pPr>
      <w:r>
        <w:rPr>
          <w:rFonts w:ascii="Arial;sans-serif" w:hAnsi="Arial;sans-serif"/>
          <w:b w:val="false"/>
          <w:color w:val="000000"/>
          <w:sz w:val="22"/>
        </w:rPr>
        <w:t>(e)</w:t>
      </w:r>
      <w:r>
        <w:rPr>
          <w:rFonts w:ascii="Helvetica;sans-serif" w:hAnsi="Helvetica;sans-serif"/>
          <w:b w:val="false"/>
          <w:color w:val="000000"/>
          <w:sz w:val="22"/>
        </w:rPr>
        <w:t>The obligations of the Company and OpCo under this Section 9 shall be in addition to any liability which the Company and OpCo may otherwise have and shall extend, upon the same terms and conditions, to each employee, officer and director of the Underwriter and each person, if any, who controls the Underwriter within the meaning of the Act and each broker-dealer or other affiliate of the Underwriter; and the obligations of the Underwriter under this Section 9 shall be in addition to any liability which the Underwriter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OpCo within the meaning of the Act.</w:t>
      </w:r>
    </w:p>
    <w:p>
      <w:pPr>
        <w:pStyle w:val="TextBody"/>
        <w:bidi w:val="0"/>
        <w:spacing w:lineRule="auto" w:line="288" w:before="0" w:after="120"/>
        <w:ind w:left="0" w:right="0" w:firstLine="720"/>
        <w:jc w:val="both"/>
        <w:rPr/>
      </w:pPr>
      <w:r>
        <w:rPr>
          <w:rFonts w:ascii="Arial;sans-serif" w:hAnsi="Arial;sans-serif"/>
          <w:b w:val="false"/>
          <w:color w:val="000000"/>
          <w:sz w:val="22"/>
        </w:rPr>
        <w:t>10.</w:t>
      </w:r>
      <w:r>
        <w:rPr>
          <w:rFonts w:ascii="Helvetica;sans-serif" w:hAnsi="Helvetica;sans-serif"/>
          <w:b w:val="false"/>
          <w:color w:val="000000"/>
          <w:sz w:val="22"/>
        </w:rPr>
        <w:t>The respective indemnities, agreements, representations, warranties and other statements of the Company, OpCo and the Underwriter, as set forth in this Agreement or made by or on behalf of them, respectively, pursuant to this Agreement, shall remain in full force and effect, regardless of any investigation (or any statement as to the results thereof) made by or on behalf of the Underwriter or any controlling person of the Underwriter, or the Company or OpCo, or any officer or director or controlling person of the Company or OpCo and shall survive delivery of and payment for the Shares.</w:t>
      </w:r>
    </w:p>
    <w:p>
      <w:pPr>
        <w:pStyle w:val="TextBody"/>
        <w:bidi w:val="0"/>
        <w:spacing w:lineRule="auto" w:line="288" w:before="0" w:after="120"/>
        <w:ind w:left="0" w:right="0" w:firstLine="720"/>
        <w:jc w:val="both"/>
        <w:rPr/>
      </w:pPr>
      <w:r>
        <w:rPr>
          <w:rFonts w:ascii="Arial;sans-serif" w:hAnsi="Arial;sans-serif"/>
          <w:b w:val="false"/>
          <w:color w:val="000000"/>
          <w:sz w:val="22"/>
        </w:rPr>
        <w:t>11.</w:t>
      </w:r>
      <w:r>
        <w:rPr>
          <w:rFonts w:ascii="Helvetica;sans-serif" w:hAnsi="Helvetica;sans-serif"/>
          <w:b w:val="false"/>
          <w:color w:val="000000"/>
          <w:sz w:val="22"/>
        </w:rPr>
        <w:t>If for any reason any Shares are not delivered by or on behalf of the Company as provided herein, the Company will reimburse the Underwriter through you for all out-of-pocket expenses approved in writing by you, including fees and disbursements of counsel, reasonably incurred by the Underwriter in making preparations for the purchase, sale and delivery of the Shares not so delivered, but the Company and OpCo shall then be under no further liability to the Underwriter except as provided in Sections 7 and 9 hereof.</w:t>
      </w:r>
    </w:p>
    <w:p>
      <w:pPr>
        <w:pStyle w:val="TextBody"/>
        <w:bidi w:val="0"/>
        <w:spacing w:lineRule="auto" w:line="288" w:before="0" w:after="120"/>
        <w:ind w:left="0" w:right="0" w:firstLine="720"/>
        <w:jc w:val="both"/>
        <w:rPr/>
      </w:pPr>
      <w:r>
        <w:rPr>
          <w:rFonts w:ascii="Arial;sans-serif" w:hAnsi="Arial;sans-serif"/>
          <w:b w:val="false"/>
          <w:color w:val="000000"/>
          <w:sz w:val="22"/>
        </w:rPr>
        <w:t>12.</w:t>
      </w:r>
      <w:r>
        <w:rPr>
          <w:rFonts w:ascii="Helvetica;sans-serif" w:hAnsi="Helvetica;sans-serif"/>
          <w:b w:val="false"/>
          <w:color w:val="000000"/>
          <w:sz w:val="22"/>
        </w:rPr>
        <w:t>In accordance with the requirements of the USA Patriot Act (Title III of Pub. L. 107-56 (signed into law October 26, 2001)), the Underwriter is required to obtain, verify and record information that identifies their respective clients, including the Company, which information may include the name and address of their respective clients, as well as other information that will allow the Underwriter to properly identify its clients.</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All statements, requests, notices and agreements hereunder shall be in writing, and if to the Underwriter shall be delivered or sent by mail to Citizens JMP Securities, LLC at 600 Montgomery Street, Suite 1100, San Francisco, California 94111.</w:t>
      </w:r>
    </w:p>
    <w:p>
      <w:pPr>
        <w:pStyle w:val="TextBody"/>
        <w:bidi w:val="0"/>
        <w:spacing w:lineRule="auto" w:line="288" w:before="0" w:after="120"/>
        <w:ind w:left="0" w:right="0" w:firstLine="720"/>
        <w:jc w:val="both"/>
        <w:rPr/>
      </w:pPr>
      <w:r>
        <w:rPr>
          <w:rFonts w:ascii="Arial;sans-serif" w:hAnsi="Arial;sans-serif"/>
          <w:b w:val="false"/>
          <w:color w:val="000000"/>
          <w:sz w:val="22"/>
        </w:rPr>
        <w:t>13.</w:t>
      </w:r>
      <w:r>
        <w:rPr>
          <w:rFonts w:ascii="Helvetica;sans-serif" w:hAnsi="Helvetica;sans-serif"/>
          <w:b w:val="false"/>
          <w:color w:val="000000"/>
          <w:sz w:val="22"/>
        </w:rPr>
        <w:t>This Agreement shall be binding upon, and inure solely to the benefit of, the Underwriter, the Company, OpCo and, to the extent provided in Sections 9 and 10 hereof, the officers and directors of the Company, OpCo and each person who controls the Company, OpCo or the Underwriter, and their respective heirs, executors, administrators, successors and assigns, and no other person shall acquire or have any right under or by virtue of this Agreement. No purchaser of any of the Shares from the Underwriter shall be deemed a successor or assign by reason merely of such purchase.</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120"/>
        <w:ind w:left="0" w:right="0" w:firstLine="720"/>
        <w:jc w:val="both"/>
        <w:rPr/>
      </w:pPr>
      <w:r>
        <w:rPr>
          <w:rFonts w:ascii="Arial;sans-serif" w:hAnsi="Arial;sans-serif"/>
          <w:b w:val="false"/>
          <w:color w:val="000000"/>
          <w:sz w:val="22"/>
        </w:rPr>
        <w:t>14.</w:t>
      </w:r>
      <w:r>
        <w:rPr>
          <w:rFonts w:ascii="Helvetica;sans-serif" w:hAnsi="Helvetica;sans-serif"/>
          <w:b w:val="false"/>
          <w:color w:val="000000"/>
          <w:sz w:val="22"/>
        </w:rPr>
        <w:t>Time shall be of the essence of this Agreement. As used herein, the term “business day” shall mean any day when the Commission's office in Washington, D.C. is open for business.</w:t>
      </w:r>
    </w:p>
    <w:p>
      <w:pPr>
        <w:pStyle w:val="TextBody"/>
        <w:bidi w:val="0"/>
        <w:spacing w:lineRule="auto" w:line="288" w:before="0" w:after="120"/>
        <w:ind w:left="0" w:right="0" w:firstLine="720"/>
        <w:jc w:val="both"/>
        <w:rPr/>
      </w:pPr>
      <w:r>
        <w:rPr>
          <w:rFonts w:ascii="Arial;sans-serif" w:hAnsi="Arial;sans-serif"/>
          <w:b w:val="false"/>
          <w:color w:val="000000"/>
          <w:sz w:val="22"/>
        </w:rPr>
        <w:t>15.</w:t>
      </w:r>
      <w:r>
        <w:rPr>
          <w:rFonts w:ascii="Helvetica;sans-serif" w:hAnsi="Helvetica;sans-serif"/>
          <w:b w:val="false"/>
          <w:color w:val="000000"/>
          <w:sz w:val="22"/>
        </w:rPr>
        <w:t>The Company and OpCo acknowledge and agree that (i) the purchase and sale of the Shares pursuant to this Agreement is an arm's-length commercial transaction between the Company and OpCo, on the one hand, and the Underwriter, on the other, (ii) in connection therewith and with the process leading to such transaction the Underwriter is acting solely as a principal and not the agent or fiduciary of the Company or OpCo, (iii) the Underwriter has not assumed an advisory or fiduciary responsibility in favor of the Company or OpCo with respect to the offering contemplated hereby or the process leading thereto (irrespective of whether the Underwriter has advised or is currently advising the Company or OpCo on other matters) or any other obligation to the Company or OpCo except the obligations expressly set forth in this Agreement and (iv) the Company and OpCo has consulted its own legal and financial advisors to the extent it deemed appropriate. The Company and OpCo agree that they will not claim that the Underwriter has rendered advisory services of any nature or respect, or owes a fiduciary or similar duty to the Company or OpCo, in connection with such transaction or the process leading thereto.</w:t>
      </w:r>
    </w:p>
    <w:p>
      <w:pPr>
        <w:pStyle w:val="TextBody"/>
        <w:bidi w:val="0"/>
        <w:spacing w:lineRule="auto" w:line="288" w:before="0" w:after="120"/>
        <w:ind w:left="0" w:right="0" w:firstLine="720"/>
        <w:jc w:val="both"/>
        <w:rPr/>
      </w:pPr>
      <w:r>
        <w:rPr>
          <w:rFonts w:ascii="Arial;sans-serif" w:hAnsi="Arial;sans-serif"/>
          <w:b w:val="false"/>
          <w:color w:val="000000"/>
          <w:sz w:val="22"/>
        </w:rPr>
        <w:t>16.</w:t>
      </w:r>
      <w:r>
        <w:rPr>
          <w:rFonts w:ascii="Helvetica;sans-serif" w:hAnsi="Helvetica;sans-serif"/>
          <w:b w:val="false"/>
          <w:color w:val="000000"/>
          <w:sz w:val="22"/>
        </w:rPr>
        <w:t>This Agreement supersedes all prior agreements and understandings (whether written or oral) between the Company, OpCo and the Underwriter, or any of them, with respect to the subject matter hereof.</w:t>
      </w:r>
    </w:p>
    <w:p>
      <w:pPr>
        <w:pStyle w:val="TextBody"/>
        <w:bidi w:val="0"/>
        <w:spacing w:lineRule="auto" w:line="288" w:before="0" w:after="120"/>
        <w:ind w:left="0" w:right="0" w:firstLine="720"/>
        <w:jc w:val="both"/>
        <w:rPr/>
      </w:pPr>
      <w:r>
        <w:rPr>
          <w:rFonts w:ascii="Arial;sans-serif" w:hAnsi="Arial;sans-serif"/>
          <w:b w:val="false"/>
          <w:color w:val="000000"/>
          <w:sz w:val="22"/>
        </w:rPr>
        <w:t>17.</w:t>
      </w:r>
      <w:r>
        <w:rPr>
          <w:rFonts w:ascii="Helvetica;sans-serif" w:hAnsi="Helvetica;sans-serif"/>
          <w:b w:val="false"/>
          <w:color w:val="000000"/>
          <w:sz w:val="22"/>
        </w:rPr>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pStyle w:val="TextBody"/>
        <w:bidi w:val="0"/>
        <w:spacing w:lineRule="auto" w:line="288" w:before="0" w:after="120"/>
        <w:ind w:left="0" w:right="0" w:firstLine="720"/>
        <w:jc w:val="both"/>
        <w:rPr/>
      </w:pPr>
      <w:r>
        <w:rPr>
          <w:rFonts w:ascii="Arial;sans-serif" w:hAnsi="Arial;sans-serif"/>
          <w:b w:val="false"/>
          <w:color w:val="000000"/>
          <w:sz w:val="22"/>
        </w:rPr>
        <w:t>18.</w:t>
      </w:r>
      <w:r>
        <w:rPr>
          <w:rFonts w:ascii="Helvetica;sans-serif" w:hAnsi="Helvetica;sans-serif"/>
          <w:b/>
          <w:color w:val="000000"/>
          <w:sz w:val="22"/>
        </w:rPr>
        <w:t>THE COMPANY, OPCO AND THE UNDERWRITER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lineRule="auto" w:line="288" w:before="0" w:after="120"/>
        <w:ind w:left="0" w:right="0" w:firstLine="720"/>
        <w:jc w:val="both"/>
        <w:rPr/>
      </w:pPr>
      <w:r>
        <w:rPr>
          <w:rFonts w:ascii="Arial;sans-serif" w:hAnsi="Arial;sans-serif"/>
          <w:b w:val="false"/>
          <w:color w:val="000000"/>
          <w:sz w:val="22"/>
        </w:rPr>
        <w:t>19.</w:t>
      </w:r>
      <w:r>
        <w:rPr>
          <w:rFonts w:ascii="Helvetica;sans-serif" w:hAnsi="Helvetica;sans-serif"/>
          <w:b w:val="false"/>
          <w:color w:val="000000"/>
          <w:sz w:val="22"/>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lineRule="auto" w:line="288" w:before="0" w:after="120"/>
        <w:ind w:left="0" w:right="0" w:firstLine="720"/>
        <w:jc w:val="both"/>
        <w:rPr/>
      </w:pPr>
      <w:r>
        <w:rPr>
          <w:rFonts w:ascii="Arial;sans-serif" w:hAnsi="Arial;sans-serif"/>
          <w:b w:val="false"/>
          <w:color w:val="000000"/>
          <w:sz w:val="22"/>
        </w:rPr>
        <w:t>20.</w:t>
      </w:r>
      <w:r>
        <w:rPr>
          <w:rFonts w:ascii="Helvetica;sans-serif" w:hAnsi="Helvetica;sans-serif"/>
          <w:b w:val="false"/>
          <w:color w:val="000000"/>
          <w:sz w:val="22"/>
        </w:rPr>
        <w:t xml:space="preserve">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 imposing any limitation of any kind. However, any information relating to the tax treatment and tax structure shall remain confidential (and the foregoing sentence shall not apply) to the extent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necessary to enable any person to comply with securities laws. For this purpose, “tax structure” is limited to any facts that may be relevant to that treatment.</w:t>
      </w:r>
    </w:p>
    <w:p>
      <w:pPr>
        <w:pStyle w:val="TextBody"/>
        <w:bidi w:val="0"/>
        <w:spacing w:lineRule="auto" w:line="288" w:before="0" w:after="360"/>
        <w:ind w:left="0" w:right="0" w:firstLine="720"/>
        <w:jc w:val="both"/>
        <w:rPr>
          <w:rFonts w:ascii="Helvetica;sans-serif" w:hAnsi="Helvetica;sans-serif"/>
          <w:b w:val="false"/>
          <w:color w:val="000000"/>
          <w:sz w:val="22"/>
        </w:rPr>
      </w:pPr>
      <w:r>
        <w:rPr>
          <w:rFonts w:ascii="Helvetica;sans-serif" w:hAnsi="Helvetica;sans-serif"/>
          <w:b w:val="false"/>
          <w:color w:val="000000"/>
          <w:sz w:val="22"/>
        </w:rPr>
        <w:t>21. Recognition of the U.S. Special Resolution Regimes.</w:t>
      </w:r>
    </w:p>
    <w:p>
      <w:pPr>
        <w:pStyle w:val="TextBody"/>
        <w:bidi w:val="0"/>
        <w:spacing w:lineRule="auto" w:line="288" w:before="0" w:after="120"/>
        <w:ind w:left="0" w:right="0" w:firstLine="720"/>
        <w:jc w:val="both"/>
        <w:rPr/>
      </w:pPr>
      <w:r>
        <w:rPr>
          <w:rFonts w:ascii="Arial;sans-serif" w:hAnsi="Arial;sans-serif"/>
          <w:b w:val="false"/>
          <w:color w:val="000000"/>
          <w:sz w:val="22"/>
        </w:rPr>
        <w:t>(a)</w:t>
      </w:r>
      <w:r>
        <w:rPr>
          <w:rFonts w:ascii="Helvetica;sans-serif" w:hAnsi="Helvetica;sans-serif"/>
          <w:b w:val="false"/>
          <w:color w:val="000000"/>
          <w:sz w:val="22"/>
        </w:rPr>
        <w:t>In the event that the Underwriter that is a Covered Entity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uto" w:line="288" w:before="0" w:after="120"/>
        <w:ind w:left="0" w:right="0" w:firstLine="720"/>
        <w:jc w:val="both"/>
        <w:rPr/>
      </w:pPr>
      <w:r>
        <w:rPr>
          <w:rFonts w:ascii="Helvetica;sans-serif" w:hAnsi="Helvetica;sans-serif"/>
          <w:b w:val="false"/>
          <w:color w:val="000000"/>
          <w:sz w:val="22"/>
        </w:rPr>
        <w:t>(b) In the event that the Underwriter that is a Covered Entity or a BHC Act Affiliate of the Underwriter becomes subject to a proceeding under a U.S. Special Resolution Regime, Default Rights under this Agreement that may be exercised against the Underwriter are permitted to be exercised to no greater extent than such Default Rights could be exercised under the U.S. Special Resolution Regime if this Agreement were governed</w:t>
      </w:r>
      <w:r>
        <w:rPr>
          <w:color w:val="000000"/>
        </w:rPr>
        <w:t xml:space="preserve"> </w:t>
      </w:r>
      <w:r>
        <w:rPr>
          <w:rFonts w:ascii="Helvetica;sans-serif" w:hAnsi="Helvetica;sans-serif"/>
          <w:b w:val="false"/>
          <w:color w:val="000000"/>
          <w:sz w:val="22"/>
        </w:rPr>
        <w:t>by the laws of the United States or a state of the United States.</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(c) As used in this section:</w:t>
      </w:r>
    </w:p>
    <w:p>
      <w:pPr>
        <w:pStyle w:val="TextBody"/>
        <w:bidi w:val="0"/>
        <w:spacing w:lineRule="auto" w:line="288" w:before="0" w:after="120"/>
        <w:ind w:left="0" w:right="0" w:firstLine="720"/>
        <w:jc w:val="both"/>
        <w:rPr>
          <w:color w:val="000000"/>
        </w:rPr>
      </w:pPr>
      <w:r>
        <w:rPr>
          <w:color w:val="000000"/>
        </w:rPr>
        <w:t>“</w:t>
      </w:r>
      <w:r>
        <w:rPr>
          <w:rFonts w:ascii="Helvetica;sans-serif" w:hAnsi="Helvetica;sans-serif"/>
          <w:b w:val="false"/>
          <w:color w:val="000000"/>
          <w:sz w:val="22"/>
        </w:rPr>
        <w:t>BHC Act Affiliate” has the meaning assigned to the term “affiliate” in, and shall be interpreted in accordance with, 12 U.S.C. § 1841(k).</w:t>
      </w:r>
    </w:p>
    <w:p>
      <w:pPr>
        <w:pStyle w:val="TextBody"/>
        <w:bidi w:val="0"/>
        <w:spacing w:lineRule="auto" w:line="288" w:before="0" w:after="120"/>
        <w:ind w:left="0" w:right="0" w:firstLine="720"/>
        <w:jc w:val="both"/>
        <w:rPr>
          <w:color w:val="000000"/>
        </w:rPr>
      </w:pPr>
      <w:r>
        <w:rPr>
          <w:color w:val="000000"/>
        </w:rPr>
        <w:t>“</w:t>
      </w:r>
      <w:r>
        <w:rPr>
          <w:rFonts w:ascii="Helvetica;sans-serif" w:hAnsi="Helvetica;sans-serif"/>
          <w:b w:val="false"/>
          <w:color w:val="000000"/>
          <w:sz w:val="22"/>
        </w:rPr>
        <w:t>Covered Entity” means any of the following:</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(i) a “covered entity” as that term is defined in, and interpreted in accordance with, 12 C.F.R. § 252.82(b);</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(ii) a “covered bank” as that term is defined in, and interpreted in accordance with, 12 C.F.R. § 47.3(b); or</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(iii) a “covered FSI” as that term is defined in, and interpreted in accordance with, 12 C.F.R. § 382.2(b).</w:t>
      </w:r>
    </w:p>
    <w:p>
      <w:pPr>
        <w:pStyle w:val="TextBody"/>
        <w:bidi w:val="0"/>
        <w:spacing w:lineRule="auto" w:line="288" w:before="0" w:after="120"/>
        <w:ind w:left="0" w:right="0" w:firstLine="720"/>
        <w:jc w:val="both"/>
        <w:rPr>
          <w:color w:val="000000"/>
        </w:rPr>
      </w:pPr>
      <w:r>
        <w:rPr>
          <w:color w:val="000000"/>
        </w:rPr>
        <w:t>“</w:t>
      </w:r>
      <w:r>
        <w:rPr>
          <w:rFonts w:ascii="Helvetica;sans-serif" w:hAnsi="Helvetica;sans-serif"/>
          <w:b w:val="false"/>
          <w:color w:val="000000"/>
          <w:sz w:val="22"/>
        </w:rPr>
        <w:t>Default Right” has the meaning assigned to that term in, and shall be interpreted in accordance with, 12 C.F.R. §§ 252.81, 47.2 or 382.1, as applicable.</w:t>
      </w:r>
    </w:p>
    <w:p>
      <w:pPr>
        <w:pStyle w:val="TextBody"/>
        <w:bidi w:val="0"/>
        <w:spacing w:lineRule="auto" w:line="288" w:before="0" w:after="120"/>
        <w:ind w:left="0" w:right="0" w:firstLine="720"/>
        <w:jc w:val="both"/>
        <w:rPr>
          <w:color w:val="000000"/>
        </w:rPr>
      </w:pPr>
      <w:r>
        <w:rPr>
          <w:color w:val="000000"/>
        </w:rPr>
        <w:t>“</w:t>
      </w:r>
      <w:r>
        <w:rPr>
          <w:rFonts w:ascii="Helvetica;sans-serif" w:hAnsi="Helvetica;sans-serif"/>
          <w:b w:val="false"/>
          <w:color w:val="000000"/>
          <w:sz w:val="22"/>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lineRule="auto" w:line="288" w:before="0" w:after="120"/>
        <w:ind w:left="0" w:right="0" w:firstLine="720"/>
        <w:jc w:val="both"/>
        <w:rPr>
          <w:rFonts w:ascii="Helvetica;sans-serif" w:hAnsi="Helvetica;sans-serif"/>
          <w:b w:val="false"/>
          <w:color w:val="000000"/>
          <w:sz w:val="22"/>
        </w:rPr>
      </w:pPr>
      <w:r>
        <w:rPr>
          <w:rFonts w:ascii="Helvetica;sans-serif" w:hAnsi="Helvetica;sans-serif"/>
          <w:b w:val="false"/>
          <w:color w:val="000000"/>
          <w:sz w:val="22"/>
        </w:rPr>
        <w:t>If the foregoing is in accordance with your understanding, please sign and return to us three counterparts hereof, and upon the acceptance hereof by you, this letter and such acceptance hereof shall constitute a binding agreement among the Underwriter, the Company and OpCo.</w:t>
      </w:r>
    </w:p>
    <w:p>
      <w:pPr>
        <w:pStyle w:val="TextBody"/>
        <w:bidi w:val="0"/>
        <w:spacing w:lineRule="auto" w:line="288" w:before="0" w:after="120"/>
        <w:jc w:val="center"/>
        <w:rPr/>
      </w:pPr>
      <w:r>
        <w:rPr>
          <w:rFonts w:ascii="Helvetica;sans-serif" w:hAnsi="Helvetica;sans-serif"/>
          <w:b w:val="false"/>
          <w:color w:val="000000"/>
          <w:sz w:val="22"/>
        </w:rPr>
        <w:t>[</w:t>
      </w:r>
      <w:r>
        <w:rPr>
          <w:rFonts w:ascii="Helvetica;sans-serif" w:hAnsi="Helvetica;sans-serif"/>
          <w:b w:val="false"/>
          <w:i/>
          <w:color w:val="000000"/>
          <w:sz w:val="22"/>
        </w:rPr>
        <w:t>Signature Pages Follow</w:t>
      </w:r>
      <w:r>
        <w:rPr>
          <w:rFonts w:ascii="Helvetica;sans-serif" w:hAnsi="Helvetica;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Very truly yours,</w:t>
      </w:r>
    </w:p>
    <w:tbl>
      <w:tblPr>
        <w:tblW w:w="3870" w:type="dxa"/>
        <w:jc w:val="right"/>
        <w:tblInd w:w="0" w:type="dxa"/>
        <w:tblLayout w:type="fixed"/>
        <w:tblCellMar>
          <w:top w:w="28" w:type="dxa"/>
          <w:left w:w="28" w:type="dxa"/>
          <w:bottom w:w="28" w:type="dxa"/>
          <w:right w:w="28" w:type="dxa"/>
        </w:tblCellMar>
      </w:tblPr>
      <w:tblGrid>
        <w:gridCol w:w="473"/>
        <w:gridCol w:w="416"/>
        <w:gridCol w:w="416"/>
        <w:gridCol w:w="749"/>
        <w:gridCol w:w="749"/>
        <w:gridCol w:w="1067"/>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38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Perella Weinberg Partners</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By:</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/s/ Alexandra Gottschalk</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Name:</w:t>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Alexandra Gottschalk</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Title:</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Chief Financial Officer</w:t>
            </w:r>
          </w:p>
        </w:tc>
      </w:tr>
    </w:tbl>
    <w:tbl>
      <w:tblPr>
        <w:tblW w:w="3479" w:type="dxa"/>
        <w:jc w:val="right"/>
        <w:tblInd w:w="0" w:type="dxa"/>
        <w:tblLayout w:type="fixed"/>
        <w:tblCellMar>
          <w:top w:w="28" w:type="dxa"/>
          <w:left w:w="28" w:type="dxa"/>
          <w:bottom w:w="28" w:type="dxa"/>
          <w:right w:w="28" w:type="dxa"/>
        </w:tblCellMar>
      </w:tblPr>
      <w:tblGrid>
        <w:gridCol w:w="333"/>
        <w:gridCol w:w="291"/>
        <w:gridCol w:w="291"/>
        <w:gridCol w:w="742"/>
        <w:gridCol w:w="742"/>
        <w:gridCol w:w="1080"/>
      </w:tblGrid>
      <w:tr>
        <w:trPr/>
        <w:tc>
          <w:tcPr>
            <w:tcW w:w="3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PWP Holdings LP</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/s/ Alexandra Gottschalk</w:t>
            </w:r>
          </w:p>
        </w:tc>
      </w:tr>
      <w:tr>
        <w:trP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Name:</w:t>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Alexandra Gottschalk</w:t>
            </w:r>
          </w:p>
        </w:tc>
      </w:tr>
      <w:tr>
        <w:trP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Title:</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Chief Financial Officer</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Helvetica;sans-serif" w:hAnsi="Helvetica;sans-serif"/>
          <w:b w:val="false"/>
          <w:color w:val="000000"/>
          <w:sz w:val="22"/>
        </w:rPr>
      </w:pPr>
      <w:r>
        <w:rPr>
          <w:rFonts w:ascii="Helvetica;sans-serif" w:hAnsi="Helvetica;sans-serif"/>
          <w:b w:val="false"/>
          <w:color w:val="000000"/>
          <w:sz w:val="22"/>
        </w:rPr>
        <w:t xml:space="preserve">Accepted as of the date hereof </w:t>
      </w:r>
    </w:p>
    <w:tbl>
      <w:tblPr>
        <w:tblW w:w="4581" w:type="dxa"/>
        <w:jc w:val="right"/>
        <w:tblInd w:w="0" w:type="dxa"/>
        <w:tblLayout w:type="fixed"/>
        <w:tblCellMar>
          <w:top w:w="28" w:type="dxa"/>
          <w:left w:w="28" w:type="dxa"/>
          <w:bottom w:w="28" w:type="dxa"/>
          <w:right w:w="28" w:type="dxa"/>
        </w:tblCellMar>
      </w:tblPr>
      <w:tblGrid>
        <w:gridCol w:w="628"/>
        <w:gridCol w:w="552"/>
        <w:gridCol w:w="552"/>
        <w:gridCol w:w="830"/>
        <w:gridCol w:w="830"/>
        <w:gridCol w:w="1189"/>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4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CITIZENS JMP SECURITIES, LLC</w:t>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By:</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/s/ Jorge Solares-Parkhurst</w:t>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Name:</w:t>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Jorge Solares-Parkhurst</w:t>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Title:</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Managing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0"/>
        <w:jc w:val="center"/>
        <w:rPr>
          <w:rFonts w:ascii="Helvetica;sans-serif" w:hAnsi="Helvetica;sans-serif"/>
          <w:b/>
          <w:color w:val="000000"/>
          <w:sz w:val="22"/>
        </w:rPr>
      </w:pPr>
      <w:r>
        <w:rPr>
          <w:rFonts w:ascii="Helvetica;sans-serif" w:hAnsi="Helvetica;sans-serif"/>
          <w:b/>
          <w:color w:val="000000"/>
          <w:sz w:val="22"/>
        </w:rPr>
        <w:t>SCHEDULE I</w:t>
      </w:r>
    </w:p>
    <w:p>
      <w:pPr>
        <w:pStyle w:val="TextBody"/>
        <w:bidi w:val="0"/>
        <w:spacing w:lineRule="auto" w:line="288" w:before="0" w:after="120"/>
        <w:jc w:val="both"/>
        <w:rPr>
          <w:rFonts w:ascii="Helvetica;sans-serif" w:hAnsi="Helvetica;sans-serif"/>
          <w:b w:val="false"/>
          <w:color w:val="000000"/>
          <w:sz w:val="22"/>
        </w:rPr>
      </w:pPr>
      <w:r>
        <w:rPr>
          <w:rFonts w:ascii="Helvetica;sans-serif" w:hAnsi="Helvetica;sans-serif"/>
          <w:b w:val="false"/>
          <w:color w:val="000000"/>
          <w:sz w:val="22"/>
        </w:rPr>
        <w:t>Information other than the Pricing Prospectus that comprise the Pricing Disclosure Package</w:t>
      </w:r>
    </w:p>
    <w:p>
      <w:pPr>
        <w:pStyle w:val="TextBody"/>
        <w:bidi w:val="0"/>
        <w:spacing w:lineRule="auto" w:line="288" w:before="0" w:after="120"/>
        <w:ind w:left="0" w:right="0" w:firstLine="1440"/>
        <w:jc w:val="both"/>
        <w:rPr>
          <w:rFonts w:ascii="Helvetica;sans-serif" w:hAnsi="Helvetica;sans-serif"/>
          <w:b w:val="false"/>
          <w:color w:val="000000"/>
          <w:sz w:val="22"/>
        </w:rPr>
      </w:pPr>
      <w:r>
        <w:rPr>
          <w:rFonts w:ascii="Helvetica;sans-serif" w:hAnsi="Helvetica;sans-serif"/>
          <w:b w:val="false"/>
          <w:color w:val="000000"/>
          <w:sz w:val="22"/>
        </w:rPr>
        <w:t>The offering price per share for the Shares is $12.00.</w:t>
      </w:r>
    </w:p>
    <w:p>
      <w:pPr>
        <w:pStyle w:val="TextBody"/>
        <w:bidi w:val="0"/>
        <w:spacing w:lineRule="auto" w:line="288" w:before="0" w:after="120"/>
        <w:ind w:left="0" w:right="0" w:firstLine="1440"/>
        <w:jc w:val="both"/>
        <w:rPr>
          <w:rFonts w:ascii="Helvetica;sans-serif" w:hAnsi="Helvetica;sans-serif"/>
          <w:b w:val="false"/>
          <w:color w:val="000000"/>
          <w:sz w:val="22"/>
        </w:rPr>
      </w:pPr>
      <w:r>
        <w:rPr>
          <w:rFonts w:ascii="Helvetica;sans-serif" w:hAnsi="Helvetica;sans-serif"/>
          <w:b w:val="false"/>
          <w:color w:val="000000"/>
          <w:sz w:val="22"/>
        </w:rPr>
        <w:t>The number of Shares purchased by the Underwriter is 5,000,000.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center"/>
        <w:rPr>
          <w:rFonts w:ascii="Helvetica;sans-serif" w:hAnsi="Helvetica;sans-serif"/>
          <w:b/>
          <w:color w:val="000000"/>
          <w:sz w:val="22"/>
        </w:rPr>
      </w:pPr>
      <w:r>
        <w:rPr>
          <w:rFonts w:ascii="Helvetica;sans-serif" w:hAnsi="Helvetica;sans-serif"/>
          <w:b/>
          <w:color w:val="000000"/>
          <w:sz w:val="22"/>
        </w:rPr>
        <w:t>SCHEDULE II</w:t>
      </w:r>
    </w:p>
    <w:tbl>
      <w:tblPr>
        <w:tblW w:w="9014" w:type="dxa"/>
        <w:jc w:val="left"/>
        <w:tblInd w:w="0" w:type="dxa"/>
        <w:tblLayout w:type="fixed"/>
        <w:tblCellMar>
          <w:top w:w="28" w:type="dxa"/>
          <w:left w:w="28" w:type="dxa"/>
          <w:bottom w:w="28" w:type="dxa"/>
          <w:right w:w="28" w:type="dxa"/>
        </w:tblCellMar>
      </w:tblPr>
      <w:tblGrid>
        <w:gridCol w:w="1582"/>
        <w:gridCol w:w="1388"/>
        <w:gridCol w:w="1394"/>
        <w:gridCol w:w="1360"/>
        <w:gridCol w:w="1360"/>
        <w:gridCol w:w="1930"/>
      </w:tblGrid>
      <w:tr>
        <w:trPr/>
        <w:tc>
          <w:tcPr>
            <w:tcW w:w="158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2"/>
              </w:rPr>
            </w:pPr>
            <w:r>
              <w:rPr>
                <w:rFonts w:ascii="Helvetica;sans-serif" w:hAnsi="Helvetica;sans-serif"/>
                <w:b/>
                <w:color w:val="000000"/>
                <w:sz w:val="22"/>
              </w:rPr>
              <w:t>Name of Officer, Director or Stockholder</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2"/>
              </w:rPr>
            </w:pPr>
            <w:r>
              <w:rPr>
                <w:rFonts w:ascii="Helvetica;sans-serif" w:hAnsi="Helvetica;sans-serif"/>
                <w:b/>
                <w:color w:val="000000"/>
                <w:sz w:val="22"/>
              </w:rPr>
              <w:t>Address</w:t>
            </w:r>
          </w:p>
        </w:tc>
      </w:tr>
      <w:tr>
        <w:trPr/>
        <w:tc>
          <w:tcPr>
            <w:tcW w:w="436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42"/>
              <w:jc w:val="left"/>
              <w:rPr>
                <w:rFonts w:ascii="Helvetica;sans-serif" w:hAnsi="Helvetica;sans-serif"/>
                <w:b w:val="false"/>
                <w:color w:val="000000"/>
                <w:sz w:val="22"/>
              </w:rPr>
            </w:pPr>
            <w:r>
              <w:rPr>
                <w:rFonts w:ascii="Helvetica;sans-serif" w:hAnsi="Helvetica;sans-serif"/>
                <w:b w:val="false"/>
                <w:color w:val="000000"/>
                <w:sz w:val="22"/>
              </w:rPr>
              <w:t>Peter A. Weinberg</w:t>
            </w:r>
          </w:p>
        </w:tc>
        <w:tc>
          <w:tcPr>
            <w:tcW w:w="465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767 Fifth Avenue, New York, New York 10153</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42"/>
              <w:jc w:val="left"/>
              <w:rPr>
                <w:rFonts w:ascii="Helvetica;sans-serif" w:hAnsi="Helvetica;sans-serif"/>
                <w:b w:val="false"/>
                <w:color w:val="000000"/>
                <w:sz w:val="22"/>
              </w:rPr>
            </w:pPr>
            <w:r>
              <w:rPr>
                <w:rFonts w:ascii="Helvetica;sans-serif" w:hAnsi="Helvetica;sans-serif"/>
                <w:b w:val="false"/>
                <w:color w:val="000000"/>
                <w:sz w:val="22"/>
              </w:rPr>
              <w:t>Joseph R. Perella</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767 Fifth Avenue, New York, New York 10153</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42"/>
              <w:jc w:val="left"/>
              <w:rPr>
                <w:rFonts w:ascii="Helvetica;sans-serif" w:hAnsi="Helvetica;sans-serif"/>
                <w:b w:val="false"/>
                <w:color w:val="000000"/>
                <w:sz w:val="22"/>
              </w:rPr>
            </w:pPr>
            <w:r>
              <w:rPr>
                <w:rFonts w:ascii="Helvetica;sans-serif" w:hAnsi="Helvetica;sans-serif"/>
                <w:b w:val="false"/>
                <w:color w:val="000000"/>
                <w:sz w:val="22"/>
              </w:rPr>
              <w:t>Robert K. Steel</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767 Fifth Avenue, New York, New York 10153</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42"/>
              <w:jc w:val="left"/>
              <w:rPr>
                <w:rFonts w:ascii="Helvetica;sans-serif" w:hAnsi="Helvetica;sans-serif"/>
                <w:b w:val="false"/>
                <w:color w:val="000000"/>
                <w:sz w:val="22"/>
              </w:rPr>
            </w:pPr>
            <w:r>
              <w:rPr>
                <w:rFonts w:ascii="Helvetica;sans-serif" w:hAnsi="Helvetica;sans-serif"/>
                <w:b w:val="false"/>
                <w:color w:val="000000"/>
                <w:sz w:val="22"/>
              </w:rPr>
              <w:t>Dietrich Becker</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767 Fifth Avenue, New York, New York 10153</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42"/>
              <w:jc w:val="left"/>
              <w:rPr>
                <w:rFonts w:ascii="Helvetica;sans-serif" w:hAnsi="Helvetica;sans-serif"/>
                <w:b w:val="false"/>
                <w:color w:val="000000"/>
                <w:sz w:val="22"/>
              </w:rPr>
            </w:pPr>
            <w:r>
              <w:rPr>
                <w:rFonts w:ascii="Helvetica;sans-serif" w:hAnsi="Helvetica;sans-serif"/>
                <w:b w:val="false"/>
                <w:color w:val="000000"/>
                <w:sz w:val="22"/>
              </w:rPr>
              <w:t>Andrew Bednar</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767 Fifth Avenue, New York, New York 10153</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42"/>
              <w:jc w:val="left"/>
              <w:rPr>
                <w:rFonts w:ascii="Helvetica;sans-serif" w:hAnsi="Helvetica;sans-serif"/>
                <w:b w:val="false"/>
                <w:color w:val="000000"/>
                <w:sz w:val="22"/>
              </w:rPr>
            </w:pPr>
            <w:r>
              <w:rPr>
                <w:rFonts w:ascii="Helvetica;sans-serif" w:hAnsi="Helvetica;sans-serif"/>
                <w:b w:val="false"/>
                <w:color w:val="000000"/>
                <w:sz w:val="22"/>
              </w:rPr>
              <w:t>Elizabeth Cogan Fascitelli</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767 Fifth Avenue, New York, New York 10153</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42"/>
              <w:jc w:val="left"/>
              <w:rPr>
                <w:rFonts w:ascii="Helvetica;sans-serif" w:hAnsi="Helvetica;sans-serif"/>
                <w:b w:val="false"/>
                <w:color w:val="000000"/>
                <w:sz w:val="22"/>
              </w:rPr>
            </w:pPr>
            <w:r>
              <w:rPr>
                <w:rFonts w:ascii="Helvetica;sans-serif" w:hAnsi="Helvetica;sans-serif"/>
                <w:b w:val="false"/>
                <w:color w:val="000000"/>
                <w:sz w:val="22"/>
              </w:rPr>
              <w:t>Kristin W. Mugford</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767 Fifth Avenue, New York, New York 10153</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42"/>
              <w:jc w:val="left"/>
              <w:rPr>
                <w:rFonts w:ascii="Helvetica;sans-serif" w:hAnsi="Helvetica;sans-serif"/>
                <w:b w:val="false"/>
                <w:color w:val="000000"/>
                <w:sz w:val="22"/>
              </w:rPr>
            </w:pPr>
            <w:r>
              <w:rPr>
                <w:rFonts w:ascii="Helvetica;sans-serif" w:hAnsi="Helvetica;sans-serif"/>
                <w:b w:val="false"/>
                <w:color w:val="000000"/>
                <w:sz w:val="22"/>
              </w:rPr>
              <w:t>Jorma Ollila</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767 Fifth Avenue, New York, New York 10153</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42"/>
              <w:jc w:val="left"/>
              <w:rPr>
                <w:rFonts w:ascii="Helvetica;sans-serif" w:hAnsi="Helvetica;sans-serif"/>
                <w:b w:val="false"/>
                <w:color w:val="000000"/>
                <w:sz w:val="22"/>
              </w:rPr>
            </w:pPr>
            <w:r>
              <w:rPr>
                <w:rFonts w:ascii="Helvetica;sans-serif" w:hAnsi="Helvetica;sans-serif"/>
                <w:b w:val="false"/>
                <w:color w:val="000000"/>
                <w:sz w:val="22"/>
              </w:rPr>
              <w:t>Jane C. Sherburne</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767 Fifth Avenue, New York, New York 10153</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42"/>
              <w:jc w:val="left"/>
              <w:rPr>
                <w:rFonts w:ascii="Helvetica;sans-serif" w:hAnsi="Helvetica;sans-serif"/>
                <w:b w:val="false"/>
                <w:color w:val="000000"/>
                <w:sz w:val="22"/>
              </w:rPr>
            </w:pPr>
            <w:r>
              <w:rPr>
                <w:rFonts w:ascii="Helvetica;sans-serif" w:hAnsi="Helvetica;sans-serif"/>
                <w:b w:val="false"/>
                <w:color w:val="000000"/>
                <w:sz w:val="22"/>
              </w:rPr>
              <w:t>Alexandra Gottschalk</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2"/>
              </w:rPr>
            </w:pPr>
            <w:r>
              <w:rPr>
                <w:rFonts w:ascii="Helvetica;sans-serif" w:hAnsi="Helvetica;sans-serif"/>
                <w:b w:val="false"/>
                <w:color w:val="000000"/>
                <w:sz w:val="22"/>
              </w:rPr>
              <w:t>767 Fifth Avenue, New York, New York 10153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20"/>
        <w:jc w:val="right"/>
        <w:rPr>
          <w:rFonts w:ascii="Arial;sans-serif" w:hAnsi="Arial;sans-serif"/>
          <w:b/>
          <w:color w:val="000000"/>
          <w:sz w:val="22"/>
        </w:rPr>
      </w:pPr>
      <w:r>
        <w:rPr>
          <w:rFonts w:ascii="Arial;sans-serif" w:hAnsi="Arial;sans-serif"/>
          <w:b/>
          <w:color w:val="000000"/>
          <w:sz w:val="22"/>
        </w:rPr>
        <w:t>ANNEX I</w:t>
      </w:r>
    </w:p>
    <w:p>
      <w:pPr>
        <w:pStyle w:val="TextBody"/>
        <w:bidi w:val="0"/>
        <w:spacing w:lineRule="auto" w:line="288" w:before="0" w:after="420"/>
        <w:jc w:val="center"/>
        <w:rPr>
          <w:rFonts w:ascii="Arial;sans-serif" w:hAnsi="Arial;sans-serif"/>
          <w:b/>
          <w:color w:val="000000"/>
          <w:sz w:val="22"/>
        </w:rPr>
      </w:pPr>
      <w:r>
        <w:rPr>
          <w:rFonts w:ascii="Arial;sans-serif" w:hAnsi="Arial;sans-serif"/>
          <w:b/>
          <w:color w:val="000000"/>
          <w:sz w:val="22"/>
        </w:rPr>
        <w:t>FORM OF LOCK-UP AGREEMENT</w:t>
      </w:r>
    </w:p>
    <w:p>
      <w:pPr>
        <w:pStyle w:val="TextBody"/>
        <w:bidi w:val="0"/>
        <w:spacing w:lineRule="auto" w:line="288" w:before="0" w:after="420"/>
        <w:jc w:val="center"/>
        <w:rPr>
          <w:rFonts w:ascii="Arial;sans-serif" w:hAnsi="Arial;sans-serif"/>
          <w:b/>
          <w:color w:val="000000"/>
          <w:sz w:val="22"/>
        </w:rPr>
      </w:pPr>
      <w:r>
        <w:rPr>
          <w:rFonts w:ascii="Arial;sans-serif" w:hAnsi="Arial;sans-serif"/>
          <w:b/>
          <w:color w:val="000000"/>
          <w:sz w:val="22"/>
        </w:rPr>
        <w:t>Perella Weinberg Partners</w:t>
      </w:r>
    </w:p>
    <w:p>
      <w:pPr>
        <w:pStyle w:val="TextBody"/>
        <w:bidi w:val="0"/>
        <w:spacing w:lineRule="auto" w:line="288" w:before="0" w:after="420"/>
        <w:jc w:val="center"/>
        <w:rPr>
          <w:rFonts w:ascii="Arial;sans-serif" w:hAnsi="Arial;sans-serif"/>
          <w:b/>
          <w:color w:val="000000"/>
          <w:sz w:val="22"/>
        </w:rPr>
      </w:pPr>
      <w:r>
        <w:rPr>
          <w:rFonts w:ascii="Arial;sans-serif" w:hAnsi="Arial;sans-serif"/>
          <w:b/>
          <w:color w:val="000000"/>
          <w:sz w:val="22"/>
        </w:rPr>
        <w:t>Lock-Up Agreement</w:t>
      </w:r>
    </w:p>
    <w:p>
      <w:pPr>
        <w:pStyle w:val="TextBody"/>
        <w:bidi w:val="0"/>
        <w:spacing w:lineRule="auto" w:line="288" w:before="0" w:after="420"/>
        <w:jc w:val="center"/>
        <w:rPr/>
      </w:pPr>
      <w:r>
        <w:rPr>
          <w:rFonts w:ascii="Arial;sans-serif" w:hAnsi="Arial;sans-serif"/>
          <w:b/>
          <w:color w:val="000000"/>
          <w:sz w:val="22"/>
        </w:rPr>
        <w:t>[</w:t>
      </w:r>
      <w:r>
        <w:rPr>
          <w:rFonts w:ascii="Wingdings;sans-serif" w:hAnsi="Wingdings;sans-serif"/>
          <w:b/>
          <w:color w:val="000000"/>
          <w:sz w:val="22"/>
        </w:rPr>
        <w:t>l</w:t>
      </w:r>
      <w:r>
        <w:rPr>
          <w:rFonts w:ascii="Arial;sans-serif" w:hAnsi="Arial;sans-serif"/>
          <w:b/>
          <w:color w:val="000000"/>
          <w:sz w:val="22"/>
        </w:rPr>
        <w:t>], 2024</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Citizens JMP Securities, LLC</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600 Montgomery Street, Suite 1100</w:t>
      </w:r>
    </w:p>
    <w:p>
      <w:pPr>
        <w:pStyle w:val="TextBody"/>
        <w:bidi w:val="0"/>
        <w:spacing w:lineRule="auto" w:line="288" w:before="0" w:after="360"/>
        <w:jc w:val="left"/>
        <w:rPr>
          <w:rFonts w:ascii="Arial;sans-serif" w:hAnsi="Arial;sans-serif"/>
          <w:b w:val="false"/>
          <w:color w:val="000000"/>
          <w:sz w:val="22"/>
        </w:rPr>
      </w:pPr>
      <w:r>
        <w:rPr>
          <w:rFonts w:ascii="Arial;sans-serif" w:hAnsi="Arial;sans-serif"/>
          <w:b w:val="false"/>
          <w:color w:val="000000"/>
          <w:sz w:val="22"/>
        </w:rPr>
        <w:t>San Francisco, CA 94111</w:t>
      </w:r>
    </w:p>
    <w:tbl>
      <w:tblPr>
        <w:tblW w:w="5339" w:type="dxa"/>
        <w:jc w:val="left"/>
        <w:tblInd w:w="0" w:type="dxa"/>
        <w:tblLayout w:type="fixed"/>
        <w:tblCellMar>
          <w:top w:w="28" w:type="dxa"/>
          <w:left w:w="28" w:type="dxa"/>
          <w:bottom w:w="28" w:type="dxa"/>
          <w:right w:w="28" w:type="dxa"/>
        </w:tblCellMar>
      </w:tblPr>
      <w:tblGrid>
        <w:gridCol w:w="168"/>
        <w:gridCol w:w="148"/>
        <w:gridCol w:w="149"/>
        <w:gridCol w:w="1427"/>
        <w:gridCol w:w="1427"/>
        <w:gridCol w:w="202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w:t>
            </w:r>
          </w:p>
        </w:tc>
        <w:tc>
          <w:tcPr>
            <w:tcW w:w="4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Perella Weinberg Partners - Lock-Up Agreement</w:t>
            </w:r>
          </w:p>
        </w:tc>
      </w:tr>
    </w:tbl>
    <w:p>
      <w:pPr>
        <w:pStyle w:val="TextBody"/>
        <w:bidi w:val="0"/>
        <w:spacing w:lineRule="auto" w:line="288" w:before="0" w:after="200"/>
        <w:ind w:left="0" w:right="0" w:hanging="936"/>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The undersigned understands that you, as underwriter (the “Underwriter”), propose to enter into an underwriting agreement (the "Underwriting Agreement"), with Perella Weinberg Partners, a Delaware corporation (the “Company”), and PWP Holdings LP (“OpCo”), a Delaware limited partnership, providing for a public offering (the “Offering”) of Class A common stock, par value $0.0001 per share (“Stock”), of the Company (the “Shares”) pursuant to a Registration Statement on Form S-3 (File No. 333-266051), filed with the Securities and Exchange Commission (the “SEC”) on July 7, 2022 and declared effective by the SEC on July 19, 2022. Capitalized terms used herein and not otherwise defined shall have the meanings set forth in the Underwriting Agreement or the final prospectus supplement for the Offering, as the case may be.</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In consideration of the agreement by the Underwriter to offer and sell the Shares, and of other good and valuable consideration the receipt and sufficiency of which is hereby acknowledged, the undersigned agrees that, during the period beginning from the date of this Lock-Up Agreement and continuing to and including the date that is 60 days after the date set forth on the final prospectus supplement used to sell the Shares (the “Lock-Up Period”), the undersigned will not offer, sell, contract to sell, pledge, grant any option to purchase, make any short sale or otherwise dispose of any Shares, or any options or warrants to purchase any Shares, or any securities convertible into, exchangeable for or that represent the right to receive Shares, whether now owned or hereafter acquired, owned directly by the undersigned (including holding as a custodian) or with respect to which the undersigned has beneficial ownership within the rules and regulations of the SEC (collectively, the “Undersigned’s Shares”). 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2"/>
        </w:rPr>
      </w:pPr>
      <w:r>
        <w:rPr>
          <w:rFonts w:ascii="Arial;sans-serif" w:hAnsi="Arial;sans-serif"/>
          <w:b w:val="false"/>
          <w:color w:val="000000"/>
          <w:sz w:val="22"/>
        </w:rPr>
        <w:t>purchase, sale or grant of any right (including without limitation any put or call option) with respect to any of the Undersigned’s Shares or with respect to any security that includes, relates to, or derives any significant part of its value from such Shares.</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Notwithstanding the foregoing, the undersigned may transfer or dispose of the Undersigned’s Shares:</w:t>
      </w:r>
    </w:p>
    <w:p>
      <w:pPr>
        <w:pStyle w:val="TextBody"/>
        <w:bidi w:val="0"/>
        <w:spacing w:lineRule="auto" w:line="288" w:before="0" w:after="200"/>
        <w:ind w:left="0" w:right="0" w:hanging="360"/>
        <w:jc w:val="both"/>
        <w:rPr/>
      </w:pPr>
      <w:r>
        <w:rPr>
          <w:rFonts w:ascii="Arial;sans-serif" w:hAnsi="Arial;sans-serif"/>
          <w:b w:val="false"/>
          <w:color w:val="000000"/>
          <w:sz w:val="22"/>
        </w:rPr>
        <w:t xml:space="preserve">i.as a </w:t>
      </w:r>
      <w:r>
        <w:rPr>
          <w:rFonts w:ascii="Arial;sans-serif" w:hAnsi="Arial;sans-serif"/>
          <w:b w:val="false"/>
          <w:i/>
          <w:color w:val="000000"/>
          <w:sz w:val="22"/>
        </w:rPr>
        <w:t>bona fide</w:t>
      </w:r>
      <w:r>
        <w:rPr>
          <w:color w:val="000000"/>
        </w:rPr>
        <w:t xml:space="preserve"> </w:t>
      </w:r>
      <w:r>
        <w:rPr>
          <w:rFonts w:ascii="Arial;sans-serif" w:hAnsi="Arial;sans-serif"/>
          <w:b w:val="false"/>
          <w:color w:val="000000"/>
          <w:sz w:val="22"/>
        </w:rPr>
        <w:t>gift or gifts (including donations to one or more charitable organizations), provided that the donee or donees thereof agree to be bound in writing by the restrictions on transfer set forth herein;</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ii.to any trust for the direct or indirect benefit of the undersigned or the immediate family of the undersigned, provided that the trustee of the trust agrees to be bound in writing by the restrictions on transfer set forth herein, and provided further that any filing under Section 16 of the Securities Exchange Act of 1934, as amended (the “Exchange Act”), reporting a reduction in beneficial ownership shall indicate in the footnotes thereto that the filing relates to the applicable circumstances described in this clause, and no other public announcement shall be required or shall be made voluntarily in connection with such transfer;</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iii.if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of the undersigned or the immediate family of the undersigned, or to any investment fund or other entity controlled or managed by the undersigned or affiliates or immediate family of the undersigned, or (B) as part of a distribution, transfer or disposition without consideration by the undersigned to its stockholders, shareholders, partners, members, beneficiaries or other equity holders; provided, however, that in the case of any transfer or disposition contemplated by clauses (A) or (B) of this clause (iii), it shall be a condition to the transfer or disposition that the transferee execute an agreement stating that the transferee is receiving and holding such securities subject to the restrictions on transfer set forth herein and there shall be no further transfer of such securities except in accordance with this Lock-Up Agreement;</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iv.to the Company in connection with the exercise or settlement of options, warrants or other rights to acquire shares of Stock or any security convertible into or exercisable for shares of Stock in accordance with their terms (including the vesting or settlement of restricted stock units and including, in each case, by way of net exercise and/or to cover withholding tax obligations in connection with such exercise, vesting or settlement) pursuant to an employee benefit plan, option, warrant or other right disclosed in the Prospectus for the Offering, provided that any such shares issued upon exercise of such option, warrant, restricted stock unit or other right shall be subject to the restrictions on transfer set forth herein; provided that any filing under Section 16 of the Exchange Act reporting a reduction in beneficial ownership shall indicate in the footnotes thereto that the filing relates to the applicable circumstances described in this clause, and no other public announcement shall be required or shall be made voluntarily in connection with such transfer;</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 xml:space="preserve">v.as transfers by will or intestacy, provided that the legatee, heir or other transferee, as the case may be, agrees to be bound in writing by the restrictions on transfer set forth herein and provided further that any required filing under Section 16 of the Exchange Act shall indicate in the footnotes thereto that the filing relates to the circumstances described in this clause and no other public announcement shall be required or shall be made voluntarily in connection with such transfer or disposition; </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vi.to any immediate family member, provided that such family member agrees to be bound by the restrictions on transfer set forth herein and provided further that any required filing under Section 16 of the Exchange Act shall indicate in the footnotes thereto that the filing relates to the circumstances described in this clause and no other public announcement shall be required or shall be made voluntarily in connection with such transfer or disposition;</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vii.pursuant to (A) a court order or order of a regulatory agency or (B) a settlement agreement related to the distribution of assets in connection with the dissolution of a marriage or civil union, provided that such transferee agrees to be bound by the restrictions on transfer set forth herein and provided further that any required filing under Section 16 of the Exchange Act shall indicate in the footnotes thereto that the filing relates to the circumstances described in this clause and no other public announcement shall be required or shall be made voluntarily in connection with such transfer or disposition;</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viii.to the Company pursuant to agreements under which the Company has a right to repurchase shares with respect to transfers of such shares upon termination of service of the undersigned or otherwise, including pursuant to the Sponsor Share Surrender and Share Restriction Agreement, dated as of December 29, 2020, as amended by that certain Amendment to Sponsor Share Surrender and Share Restriction Agreement, dated as of May 4, 2021, by and among the Company, OpCo, FinTech Investor Holdings IV, LLC, FinTech Masala Advisors, LLC, and the other parties thereto;</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ix.pursuant to a trading plan that complies with Rule 10b5-1 under the Exchange Act that is existing as of the date hereof;</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 xml:space="preserve">x.acquired in open market transactions after the Offering; </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xi.in connection with a purchase for cash or an exchange for shares of Stock of any of the undersigned’s OpCo Class A partnership units or shares of the Company’s Class B common stock, par value $0.0001 per share, pursuant to the Amended and Restated Agreement of Limited Partnership of OpCo, dated as of June 24, 2021, as amended by the First Amendment, dated as of December 31, 2023, and as may be further amended, restated, modified or supplemented from time to time; provided that any shares of Stock issued in connection with any such exchanges shall be subject to the restrictions set forth herein;</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xii.in connection with the Cash Conversion; or</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xiii.with the prior written consent of the Underwriter.</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Notwithstanding anything to the contrary, in the case of clauses (i) and (x) and, unless the undersigned is an officer of the Company, clause (viii), above, no filing under the Exchange Act or any other public filing or disclosure of such transfer or disposition reporting a reduction in beneficial ownership shall be required or voluntarily made during the Lock-up Period (other than, in the case of clause (i), a filing required pursuant to Section 16 of the Exchange Act, provided, however, any such filing shall state that such transfer is a bona fide gift and that such shares remain subject to the restrictions set forth herein, and in the case of clause (viii), a filing under Section 13 of the Exchange Act that is required to be filed during the Lock-Up Period), and in the case of clauses (i), (ii), (v) and (vi), any such transfer shall not involve a disposition for value.</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Further, this Lock-Up Agreement shall not restrict or prohibit the establishment or modification of any trading plan pursuant to Rule 10b5-1 under the Exchange Act for the transfer of the Undersigned’s Shares, provided that such plan does not provide for any transfers of Stock during the Lock-Up Period and provided further that no filing under the Exchange Act or any other public filing or disclosure of such trading plan shall be required or voluntarily made during the Lock-up Period except as required by law or regulation, provided further that to the extent such filing under the Exchange Act or other public announcement is required by law or regulation, such filing or announcement shall include a statement to the effect that no transfers may be made pursuant to such plan during the Lock-Up Period.</w:t>
      </w:r>
    </w:p>
    <w:p>
      <w:pPr>
        <w:pStyle w:val="TextBody"/>
        <w:bidi w:val="0"/>
        <w:spacing w:lineRule="auto" w:line="288" w:before="0" w:after="200"/>
        <w:ind w:left="0" w:right="0" w:firstLine="720"/>
        <w:jc w:val="both"/>
        <w:rPr/>
      </w:pPr>
      <w:r>
        <w:rPr>
          <w:rFonts w:ascii="Arial;sans-serif" w:hAnsi="Arial;sans-serif"/>
          <w:b w:val="false"/>
          <w:color w:val="000000"/>
          <w:sz w:val="22"/>
        </w:rPr>
        <w:t xml:space="preserve">Additionally, this Lock-Up Agreement shall not restrict any sale, disposal or transfer of the Undersigned’s Shares to a </w:t>
      </w:r>
      <w:r>
        <w:rPr>
          <w:rFonts w:ascii="Arial;sans-serif" w:hAnsi="Arial;sans-serif"/>
          <w:b w:val="false"/>
          <w:i/>
          <w:color w:val="000000"/>
          <w:sz w:val="22"/>
        </w:rPr>
        <w:t>bona fide</w:t>
      </w:r>
      <w:r>
        <w:rPr>
          <w:color w:val="000000"/>
        </w:rPr>
        <w:t xml:space="preserve"> </w:t>
      </w:r>
      <w:r>
        <w:rPr>
          <w:rFonts w:ascii="Arial;sans-serif" w:hAnsi="Arial;sans-serif"/>
          <w:b w:val="false"/>
          <w:color w:val="000000"/>
          <w:sz w:val="22"/>
        </w:rPr>
        <w:t>third party pursuant to a tender offer for securities of the Company or any merger, consolidation or other business combination involving a Change of Control (as defined below) of the Company occurring after the settlement of the Offering, that, in each case, has been approved by the board of directors of the Company; provided that all of the Undersigned’s Shares subject to this Lock-Up Agreement that are not so transferred, sold, tendered or otherwise disposed of remain subject to this Lock-Up Agreement; and provided, further, that it shall be a condition of such transfer, sale, tender or other disposition that if such tender offer or other transaction is not completed, any of the Undersigned’s Shares subject to this Lock-Up Agreement shall remain subject to the restrictions on transfer set forth herein. For the purposes of this paragraph, “Change of Control” means the consummation of any bona fide third party tender offer, merger, consolidation or other similar transaction, the result of which is that any “person” (as defined in Section 13(d)(3) of the Exchange Act), or group of persons, other than the Company or its subsidiaries, becomes the beneficial owner (as defined in Rules 13d-3 and 13d-5 of the Exchange Act) of at least 50% of the total voting power of the voting share capital of the Company.</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For purposes of this Lock-Up Agreement, “immediate family” shall mean any relationship by blood, marriage or adoption, not more remote than first cousin.</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The undersigned also agrees and consents to the entry of stop transfer instructions with the Company’s transfer agent and registrar against the transfer of the Undersigned’s Shares, except in compliance with the foregoing restrictions.</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Notwithstanding anything to the contrary contained herein, this Lock-Up Agreement will automatically terminate and the undersigned will be released from all of his, her or its obligations hereunder upon the earliest to occur, if any, of the following: (i)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2"/>
        </w:rPr>
      </w:pPr>
      <w:r>
        <w:rPr>
          <w:rFonts w:ascii="Arial;sans-serif" w:hAnsi="Arial;sans-serif"/>
          <w:b w:val="false"/>
          <w:color w:val="000000"/>
          <w:sz w:val="22"/>
        </w:rPr>
        <w:t xml:space="preserve">the Company advises the Underwriter in writing, that it has determined not to proceed with the Offering, (ii) the Company files an application with the SEC to withdraw the registration statement related to the Offering, (iii) the Underwriting Agreement is executed but is terminated (other than with respect to the provisions thereof which survive termination) prior to payment for and delivery of the Shares to be sold thereunder or (iv) March 31, 2024, in the event that the Underwriting Agreement has not been executed by such date. </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This Lock-Up Agreement may be delivered via facsimile, electronic mail (including pdf or any electronic signature complying with the United States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lineRule="auto" w:line="288" w:before="0" w:after="200"/>
        <w:ind w:left="0" w:right="0" w:firstLine="720"/>
        <w:jc w:val="both"/>
        <w:rPr>
          <w:rFonts w:ascii="Arial;sans-serif" w:hAnsi="Arial;sans-serif"/>
          <w:b/>
          <w:color w:val="000000"/>
          <w:sz w:val="22"/>
        </w:rPr>
      </w:pPr>
      <w:r>
        <w:rPr>
          <w:rFonts w:ascii="Arial;sans-serif" w:hAnsi="Arial;sans-serif"/>
          <w:b/>
          <w:color w:val="000000"/>
          <w:sz w:val="22"/>
        </w:rPr>
        <w:t>This Lock-Up Agreement shall be governed by and construed in accordance with the laws of the State of New York applicable to contracts made and to be performed within the State of New York.</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The undersigned understands that the Company and the Underwriter are relying upon this Lock-Up Agreement in proceeding toward consummation of the Offering. The undersigned further understands that this Lock-Up Agreement is irrevocable and shall be binding upon the undersigned’s heirs, legal representatives, successors, and assigns.</w:t>
      </w:r>
    </w:p>
    <w:p>
      <w:pPr>
        <w:pStyle w:val="TextBody"/>
        <w:bidi w:val="0"/>
        <w:spacing w:lineRule="auto" w:line="288" w:before="0" w:after="200"/>
        <w:jc w:val="center"/>
        <w:rPr/>
      </w:pPr>
      <w:r>
        <w:rPr>
          <w:rFonts w:ascii="Arial;sans-serif" w:hAnsi="Arial;sans-serif"/>
          <w:b w:val="false"/>
          <w:color w:val="000000"/>
          <w:sz w:val="22"/>
        </w:rPr>
        <w:t>[</w:t>
      </w:r>
      <w:r>
        <w:rPr>
          <w:rFonts w:ascii="Arial;sans-serif" w:hAnsi="Arial;sans-serif"/>
          <w:b w:val="false"/>
          <w:i/>
          <w:color w:val="000000"/>
          <w:sz w:val="22"/>
        </w:rPr>
        <w:t>Signature Page Follows</w:t>
      </w:r>
      <w:r>
        <w:rPr>
          <w:rFonts w:ascii="Arial;sans-serif" w:hAnsi="Arial;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864" w:type="dxa"/>
        <w:jc w:val="right"/>
        <w:tblInd w:w="0" w:type="dxa"/>
        <w:tblLayout w:type="fixed"/>
        <w:tblCellMar>
          <w:top w:w="28" w:type="dxa"/>
          <w:left w:w="28" w:type="dxa"/>
          <w:bottom w:w="28" w:type="dxa"/>
          <w:right w:w="28" w:type="dxa"/>
        </w:tblCellMar>
      </w:tblPr>
      <w:tblGrid>
        <w:gridCol w:w="496"/>
        <w:gridCol w:w="437"/>
        <w:gridCol w:w="437"/>
        <w:gridCol w:w="437"/>
        <w:gridCol w:w="437"/>
        <w:gridCol w:w="620"/>
      </w:tblGrid>
      <w:tr>
        <w:trPr/>
        <w:tc>
          <w:tcPr>
            <w:tcW w:w="4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Very truly yours,</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Exact Name of Shareholder</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Authorized Signature</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Title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5.1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081" w:type="dxa"/>
        <w:jc w:val="center"/>
        <w:tblInd w:w="0" w:type="dxa"/>
        <w:tblLayout w:type="fixed"/>
        <w:tblCellMar>
          <w:top w:w="28" w:type="dxa"/>
          <w:left w:w="28" w:type="dxa"/>
          <w:bottom w:w="28" w:type="dxa"/>
          <w:right w:w="28" w:type="dxa"/>
        </w:tblCellMar>
      </w:tblPr>
      <w:tblGrid>
        <w:gridCol w:w="1177"/>
        <w:gridCol w:w="1035"/>
        <w:gridCol w:w="1035"/>
        <w:gridCol w:w="1035"/>
        <w:gridCol w:w="1035"/>
        <w:gridCol w:w="1040"/>
        <w:gridCol w:w="504"/>
        <w:gridCol w:w="504"/>
        <w:gridCol w:w="716"/>
      </w:tblGrid>
      <w:tr>
        <w:trPr/>
        <w:tc>
          <w:tcPr>
            <w:tcW w:w="117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6357"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34"/>
              </w:rPr>
              <w:t>S</w:t>
            </w:r>
            <w:r>
              <w:rPr>
                <w:rFonts w:ascii="Times New Roman;sans-serif" w:hAnsi="Times New Roman;sans-serif"/>
                <w:b w:val="false"/>
                <w:color w:val="000000"/>
                <w:sz w:val="24"/>
              </w:rPr>
              <w:t>KADDEN</w:t>
            </w:r>
            <w:r>
              <w:rPr>
                <w:rFonts w:ascii="Arial;sans-serif" w:hAnsi="Arial;sans-serif"/>
                <w:b w:val="false"/>
                <w:color w:val="000000"/>
                <w:sz w:val="34"/>
              </w:rPr>
              <w:t>, A</w:t>
            </w:r>
            <w:r>
              <w:rPr>
                <w:rFonts w:ascii="Times New Roman;sans-serif" w:hAnsi="Times New Roman;sans-serif"/>
                <w:b w:val="false"/>
                <w:color w:val="000000"/>
                <w:sz w:val="24"/>
              </w:rPr>
              <w:t>RPS</w:t>
            </w:r>
            <w:r>
              <w:rPr>
                <w:rFonts w:ascii="Arial;sans-serif" w:hAnsi="Arial;sans-serif"/>
                <w:b w:val="false"/>
                <w:color w:val="000000"/>
                <w:sz w:val="34"/>
              </w:rPr>
              <w:t>, S</w:t>
            </w:r>
            <w:r>
              <w:rPr>
                <w:rFonts w:ascii="Times New Roman;sans-serif" w:hAnsi="Times New Roman;sans-serif"/>
                <w:b w:val="false"/>
                <w:color w:val="000000"/>
                <w:sz w:val="24"/>
              </w:rPr>
              <w:t>LATE</w:t>
            </w:r>
            <w:r>
              <w:rPr>
                <w:rFonts w:ascii="Arial;sans-serif" w:hAnsi="Arial;sans-serif"/>
                <w:b w:val="false"/>
                <w:color w:val="000000"/>
                <w:sz w:val="34"/>
              </w:rPr>
              <w:t>, M</w:t>
            </w:r>
            <w:r>
              <w:rPr>
                <w:rFonts w:ascii="Times New Roman;sans-serif" w:hAnsi="Times New Roman;sans-serif"/>
                <w:b w:val="false"/>
                <w:color w:val="000000"/>
                <w:sz w:val="24"/>
              </w:rPr>
              <w:t>EAGHER</w:t>
            </w:r>
            <w:r>
              <w:rPr>
                <w:color w:val="000000"/>
              </w:rPr>
              <w:t xml:space="preserve"> </w:t>
            </w:r>
            <w:r>
              <w:rPr>
                <w:rFonts w:ascii="Arial;sans-serif" w:hAnsi="Arial;sans-serif"/>
                <w:b w:val="false"/>
                <w:color w:val="000000"/>
                <w:sz w:val="34"/>
              </w:rPr>
              <w:t>&amp; F</w:t>
            </w:r>
            <w:r>
              <w:rPr>
                <w:rFonts w:ascii="Times New Roman;sans-serif" w:hAnsi="Times New Roman;sans-serif"/>
                <w:b w:val="false"/>
                <w:color w:val="000000"/>
                <w:sz w:val="24"/>
              </w:rPr>
              <w:t>LOM</w:t>
            </w:r>
            <w:r>
              <w:rPr>
                <w:color w:val="000000"/>
              </w:rPr>
              <w:t xml:space="preserve"> </w:t>
            </w:r>
            <w:r>
              <w:rPr>
                <w:rFonts w:ascii="Times New Roman;sans-serif" w:hAnsi="Times New Roman;sans-serif"/>
                <w:b w:val="false"/>
                <w:color w:val="000000"/>
                <w:sz w:val="24"/>
              </w:rPr>
              <w:t>LLP</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ONE MANHATTAN WEST</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7"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NEW YORK, NY 10001</w:t>
            </w:r>
          </w:p>
          <w:p>
            <w:pPr>
              <w:pStyle w:val="TableContents"/>
              <w:bidi w:val="0"/>
              <w:spacing w:lineRule="auto" w:line="240" w:before="0" w:after="120"/>
              <w:jc w:val="center"/>
              <w:rPr>
                <w:rFonts w:ascii="Times New Roman;sans-serif" w:hAnsi="Times New Roman;sans-serif"/>
                <w:b w:val="false"/>
                <w:color w:val="000000"/>
                <w:sz w:val="8"/>
              </w:rPr>
            </w:pPr>
            <w:r>
              <w:rPr>
                <w:rFonts w:ascii="Times New Roman;sans-serif" w:hAnsi="Times New Roman;sans-serif"/>
                <w:b w:val="false"/>
                <w:color w:val="000000"/>
                <w:sz w:val="8"/>
              </w:rPr>
              <w:t>________</w:t>
            </w:r>
          </w:p>
          <w:p>
            <w:pPr>
              <w:pStyle w:val="TableContents"/>
              <w:bidi w:val="0"/>
              <w:spacing w:lineRule="auto" w:line="240"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TEL: (212) 735-3000</w:t>
            </w:r>
          </w:p>
          <w:p>
            <w:pPr>
              <w:pStyle w:val="TableContents"/>
              <w:bidi w:val="0"/>
              <w:spacing w:lineRule="auto" w:line="240"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FAX: (212) 735-2000</w:t>
            </w:r>
          </w:p>
          <w:p>
            <w:pPr>
              <w:pStyle w:val="TableContents"/>
              <w:bidi w:val="0"/>
              <w:spacing w:lineRule="auto" w:line="240" w:before="4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www.skadden.com</w:t>
            </w:r>
          </w:p>
        </w:tc>
        <w:tc>
          <w:tcPr>
            <w:tcW w:w="17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FIRM/AFFILIATE OFFICES</w:t>
            </w:r>
          </w:p>
          <w:p>
            <w:pPr>
              <w:pStyle w:val="TableContents"/>
              <w:bidi w:val="0"/>
              <w:spacing w:lineRule="auto" w:line="268"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BOSTON</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CHICAGO</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HOUSTON</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LOS ANGELES</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PALO ALTO</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WASHINGTON, D.C.</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WILMINGTON</w:t>
            </w:r>
          </w:p>
          <w:p>
            <w:pPr>
              <w:pStyle w:val="TableContents"/>
              <w:bidi w:val="0"/>
              <w:spacing w:lineRule="auto" w:line="268"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BEIJING</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BRUSSELS</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FRANKFURT</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HONG KONG</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LONDON</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MUNICH</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PARIS</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SÃO PAULO</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SEOUL</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SHANGHAI</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SINGAPORE</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TOKYO</w:t>
            </w:r>
          </w:p>
          <w:p>
            <w:pPr>
              <w:pStyle w:val="TableContents"/>
              <w:bidi w:val="0"/>
              <w:spacing w:lineRule="auto" w:line="26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TORONTO</w:t>
            </w:r>
          </w:p>
        </w:tc>
      </w:tr>
      <w:tr>
        <w:trPr/>
        <w:tc>
          <w:tcPr>
            <w:tcW w:w="3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March 1, 2024</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Perella Weinberg Partners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767 Fifth Avenue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10153</w:t>
      </w:r>
    </w:p>
    <w:tbl>
      <w:tblPr>
        <w:tblW w:w="3914" w:type="dxa"/>
        <w:jc w:val="left"/>
        <w:tblInd w:w="0" w:type="dxa"/>
        <w:tblLayout w:type="fixed"/>
        <w:tblCellMar>
          <w:top w:w="28" w:type="dxa"/>
          <w:left w:w="28" w:type="dxa"/>
          <w:bottom w:w="28" w:type="dxa"/>
          <w:right w:w="28" w:type="dxa"/>
        </w:tblCellMar>
      </w:tblPr>
      <w:tblGrid>
        <w:gridCol w:w="157"/>
        <w:gridCol w:w="137"/>
        <w:gridCol w:w="140"/>
        <w:gridCol w:w="1019"/>
        <w:gridCol w:w="1019"/>
        <w:gridCol w:w="1442"/>
      </w:tblGrid>
      <w:tr>
        <w:trPr/>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w:t>
            </w:r>
          </w:p>
        </w:tc>
        <w:tc>
          <w:tcPr>
            <w:tcW w:w="34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Perella Weinberg Partners</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Registration Statement on Form S-3</w:t>
            </w:r>
          </w:p>
        </w:tc>
      </w:tr>
    </w:tbl>
    <w:p>
      <w:pPr>
        <w:pStyle w:val="TextBody"/>
        <w:bidi w:val="0"/>
        <w:spacing w:lineRule="auto" w:line="288"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240" w:after="240"/>
        <w:ind w:left="0" w:right="0" w:firstLine="1440"/>
        <w:jc w:val="left"/>
        <w:rPr/>
      </w:pPr>
      <w:r>
        <w:rPr>
          <w:rFonts w:ascii="Times New Roman;sans-serif" w:hAnsi="Times New Roman;sans-serif"/>
          <w:b w:val="false"/>
          <w:color w:val="000000"/>
          <w:sz w:val="24"/>
        </w:rPr>
        <w:t>We have acted as special United States counsel to Perella Weinberg Partners,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in connection with the public offering by the Company of 5,750,000 shares (the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xml:space="preserve">) of Class A common stock, par value $0.0001 per share, of the Company (the “Class A </w:t>
      </w:r>
      <w:r>
        <w:rPr>
          <w:rFonts w:ascii="Times New Roman;sans-serif" w:hAnsi="Times New Roman;sans-serif"/>
          <w:b w:val="false"/>
          <w:color w:val="000000"/>
          <w:sz w:val="24"/>
          <w:u w:val="single"/>
        </w:rPr>
        <w:t>Common Stock</w:t>
      </w:r>
      <w:r>
        <w:rPr>
          <w:color w:val="000000"/>
        </w:rPr>
        <w:t>”</w:t>
      </w:r>
      <w:r>
        <w:rPr>
          <w:rFonts w:ascii="Times New Roman;sans-serif" w:hAnsi="Times New Roman;sans-serif"/>
          <w:b w:val="false"/>
          <w:color w:val="000000"/>
          <w:sz w:val="24"/>
        </w:rPr>
        <w:t xml:space="preserve">), including 750,000 shares of Class A Common Stock pursuant to the option granted by the Company to the Underwriter (as defined below) to purchase additional shares. </w:t>
      </w:r>
    </w:p>
    <w:p>
      <w:pPr>
        <w:pStyle w:val="TextBody"/>
        <w:bidi w:val="0"/>
        <w:spacing w:lineRule="auto" w:line="288" w:before="240" w:after="240"/>
        <w:ind w:left="0" w:right="0" w:firstLine="1440"/>
        <w:jc w:val="left"/>
        <w:rPr/>
      </w:pPr>
      <w:r>
        <w:rPr>
          <w:rFonts w:ascii="Times New Roman;sans-serif" w:hAnsi="Times New Roman;sans-serif"/>
          <w:b w:val="false"/>
          <w:color w:val="000000"/>
          <w:sz w:val="24"/>
        </w:rPr>
        <w:t>This opinion is being furnished in accordance with the requirements of Item 601(b)(5) of Regulation S-K under the Securities Act of 1933 (the “</w:t>
      </w:r>
      <w:r>
        <w:rPr>
          <w:rFonts w:ascii="Times New Roman;sans-serif" w:hAnsi="Times New Roman;sans-serif"/>
          <w:b w:val="false"/>
          <w:color w:val="000000"/>
          <w:sz w:val="24"/>
          <w:u w:val="single"/>
        </w:rPr>
        <w:t>Securities Act</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rendering the opinions stated herein, we have examined and relied upon the following:</w:t>
      </w:r>
    </w:p>
    <w:p>
      <w:pPr>
        <w:pStyle w:val="TextBody"/>
        <w:bidi w:val="0"/>
        <w:spacing w:lineRule="auto" w:line="288" w:before="240" w:after="240"/>
        <w:ind w:left="0" w:right="0" w:firstLine="1440"/>
        <w:jc w:val="left"/>
        <w:rPr/>
      </w:pPr>
      <w:r>
        <w:rPr>
          <w:rFonts w:ascii="Times New Roman;sans-serif" w:hAnsi="Times New Roman;sans-serif"/>
          <w:b w:val="false"/>
          <w:color w:val="000000"/>
          <w:sz w:val="24"/>
        </w:rPr>
        <w:t>(a)    the registration statement on Form S-3 (File No. 333-266051) of the Company relating to the Shares and other securities of the Company filed on July 7, 2022, with the Securities and Exchange Commission (the “</w:t>
      </w:r>
      <w:r>
        <w:rPr>
          <w:rFonts w:ascii="Times New Roman;sans-serif" w:hAnsi="Times New Roman;sans-serif"/>
          <w:b w:val="false"/>
          <w:color w:val="000000"/>
          <w:sz w:val="24"/>
          <w:u w:val="single"/>
        </w:rPr>
        <w:t>Commission</w:t>
      </w:r>
      <w:r>
        <w:rPr>
          <w:color w:val="000000"/>
        </w:rPr>
        <w:t>”</w:t>
      </w:r>
      <w:r>
        <w:rPr>
          <w:rFonts w:ascii="Times New Roman;sans-serif" w:hAnsi="Times New Roman;sans-serif"/>
          <w:b w:val="false"/>
          <w:color w:val="000000"/>
          <w:sz w:val="24"/>
        </w:rPr>
        <w:t>) under the Securities Act allowing for delayed offerings pursuant to Rule 415 of the General Rules and Regulations under the Securities Act (the “</w:t>
      </w:r>
      <w:r>
        <w:rPr>
          <w:rFonts w:ascii="Times New Roman;sans-serif" w:hAnsi="Times New Roman;sans-serif"/>
          <w:b w:val="false"/>
          <w:color w:val="000000"/>
          <w:sz w:val="24"/>
          <w:u w:val="single"/>
        </w:rPr>
        <w:t>Rules and Regulations</w:t>
      </w:r>
      <w:r>
        <w:rPr>
          <w:color w:val="000000"/>
        </w:rPr>
        <w:t>”</w:t>
      </w:r>
      <w:r>
        <w:rPr>
          <w:rFonts w:ascii="Times New Roman;sans-serif" w:hAnsi="Times New Roman;sans-serif"/>
          <w:b w:val="false"/>
          <w:color w:val="000000"/>
          <w:sz w:val="24"/>
        </w:rPr>
        <w:t>), including the information deemed to be a part of the registration statement pursuant to Rule 430B of the Rules and Regulations and the Notice of Effectiveness of the Commission posted on its website declaring such registration statement effective on July 19, 2022 (such registration statement being hereinafter referred to as the “</w:t>
      </w:r>
      <w:r>
        <w:rPr>
          <w:rFonts w:ascii="Times New Roman;sans-serif" w:hAnsi="Times New Roman;sans-serif"/>
          <w:b w:val="false"/>
          <w:color w:val="000000"/>
          <w:sz w:val="24"/>
          <w:u w:val="single"/>
        </w:rPr>
        <w:t>Registration Statement</w:t>
      </w:r>
      <w:r>
        <w:rPr>
          <w:color w:val="000000"/>
        </w:rPr>
        <w:t>”</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Perella Weinberg Partners</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March 1, 2024</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lineRule="auto" w:line="288" w:before="240" w:after="240"/>
        <w:ind w:left="0" w:right="0" w:firstLine="1440"/>
        <w:jc w:val="left"/>
        <w:rPr/>
      </w:pPr>
      <w:r>
        <w:rPr>
          <w:rFonts w:ascii="Times New Roman;sans-serif" w:hAnsi="Times New Roman;sans-serif"/>
          <w:b w:val="false"/>
          <w:color w:val="000000"/>
          <w:sz w:val="24"/>
        </w:rPr>
        <w:t>(b)    the prospectus, dated July 19, 2022 (the “</w:t>
      </w:r>
      <w:r>
        <w:rPr>
          <w:rFonts w:ascii="Times New Roman;sans-serif" w:hAnsi="Times New Roman;sans-serif"/>
          <w:b w:val="false"/>
          <w:color w:val="000000"/>
          <w:sz w:val="24"/>
          <w:u w:val="single"/>
        </w:rPr>
        <w:t>Base Prospectus</w:t>
      </w:r>
      <w:r>
        <w:rPr>
          <w:color w:val="000000"/>
        </w:rPr>
        <w:t>”</w:t>
      </w:r>
      <w:r>
        <w:rPr>
          <w:rFonts w:ascii="Times New Roman;sans-serif" w:hAnsi="Times New Roman;sans-serif"/>
          <w:b w:val="false"/>
          <w:color w:val="000000"/>
          <w:sz w:val="24"/>
        </w:rPr>
        <w:t>), which forms a part of and is included in the Registration Statement;</w:t>
      </w:r>
    </w:p>
    <w:p>
      <w:pPr>
        <w:pStyle w:val="TextBody"/>
        <w:bidi w:val="0"/>
        <w:spacing w:lineRule="auto" w:line="288" w:before="240" w:after="240"/>
        <w:ind w:left="0" w:right="0" w:firstLine="1440"/>
        <w:jc w:val="left"/>
        <w:rPr/>
      </w:pPr>
      <w:r>
        <w:rPr>
          <w:rFonts w:ascii="Times New Roman;sans-serif" w:hAnsi="Times New Roman;sans-serif"/>
          <w:b w:val="false"/>
          <w:color w:val="000000"/>
          <w:sz w:val="24"/>
        </w:rPr>
        <w:t>(c)    the preliminary prospectus supplement, dated February 27, 2024 (together with the Base Prospectus, the “</w:t>
      </w:r>
      <w:r>
        <w:rPr>
          <w:rFonts w:ascii="Times New Roman;sans-serif" w:hAnsi="Times New Roman;sans-serif"/>
          <w:b w:val="false"/>
          <w:color w:val="000000"/>
          <w:sz w:val="24"/>
          <w:u w:val="single"/>
        </w:rPr>
        <w:t>Preliminary Prospectus</w:t>
      </w:r>
      <w:r>
        <w:rPr>
          <w:color w:val="000000"/>
        </w:rPr>
        <w:t>”</w:t>
      </w:r>
      <w:r>
        <w:rPr>
          <w:rFonts w:ascii="Times New Roman;sans-serif" w:hAnsi="Times New Roman;sans-serif"/>
          <w:b w:val="false"/>
          <w:color w:val="000000"/>
          <w:sz w:val="24"/>
        </w:rPr>
        <w:t>), relating to the offering of the Shares, in the form filed with the Commission pursuant to Rule 424(b) of the Rules and Regulations;</w:t>
      </w:r>
    </w:p>
    <w:p>
      <w:pPr>
        <w:pStyle w:val="TextBody"/>
        <w:bidi w:val="0"/>
        <w:spacing w:lineRule="auto" w:line="288" w:before="240" w:after="240"/>
        <w:ind w:left="0" w:right="0" w:firstLine="1440"/>
        <w:jc w:val="left"/>
        <w:rPr/>
      </w:pPr>
      <w:r>
        <w:rPr>
          <w:rFonts w:ascii="Times New Roman;sans-serif" w:hAnsi="Times New Roman;sans-serif"/>
          <w:b w:val="false"/>
          <w:color w:val="000000"/>
          <w:sz w:val="24"/>
        </w:rPr>
        <w:t>(d)    the prospectus supplement, dated February 27, 2024 (together with the Base Prospectus, the “</w:t>
      </w:r>
      <w:r>
        <w:rPr>
          <w:rFonts w:ascii="Times New Roman;sans-serif" w:hAnsi="Times New Roman;sans-serif"/>
          <w:b w:val="false"/>
          <w:color w:val="000000"/>
          <w:sz w:val="24"/>
          <w:u w:val="single"/>
        </w:rPr>
        <w:t>Prospectus</w:t>
      </w:r>
      <w:r>
        <w:rPr>
          <w:color w:val="000000"/>
        </w:rPr>
        <w:t>”</w:t>
      </w:r>
      <w:r>
        <w:rPr>
          <w:rFonts w:ascii="Times New Roman;sans-serif" w:hAnsi="Times New Roman;sans-serif"/>
          <w:b w:val="false"/>
          <w:color w:val="000000"/>
          <w:sz w:val="24"/>
        </w:rPr>
        <w:t>), relating to the offering of the Shares, in the form filed with the Commission pursuant to Rule 424(b) of the Rules and Regulations;</w:t>
      </w:r>
    </w:p>
    <w:p>
      <w:pPr>
        <w:pStyle w:val="TextBody"/>
        <w:bidi w:val="0"/>
        <w:spacing w:lineRule="auto" w:line="288" w:before="240" w:after="240"/>
        <w:ind w:left="0" w:right="0" w:firstLine="1440"/>
        <w:jc w:val="left"/>
        <w:rPr/>
      </w:pPr>
      <w:r>
        <w:rPr>
          <w:rFonts w:ascii="Times New Roman;sans-serif" w:hAnsi="Times New Roman;sans-serif"/>
          <w:b w:val="false"/>
          <w:color w:val="000000"/>
          <w:sz w:val="24"/>
        </w:rPr>
        <w:t>(e)    an executed copy of the Underwriting Agreement (the “</w:t>
      </w:r>
      <w:r>
        <w:rPr>
          <w:rFonts w:ascii="Times New Roman;sans-serif" w:hAnsi="Times New Roman;sans-serif"/>
          <w:b w:val="false"/>
          <w:color w:val="000000"/>
          <w:sz w:val="24"/>
          <w:u w:val="single"/>
        </w:rPr>
        <w:t>Underwriting Agreement</w:t>
      </w:r>
      <w:r>
        <w:rPr>
          <w:color w:val="000000"/>
        </w:rPr>
        <w:t>”</w:t>
      </w:r>
      <w:r>
        <w:rPr>
          <w:rFonts w:ascii="Times New Roman;sans-serif" w:hAnsi="Times New Roman;sans-serif"/>
          <w:b w:val="false"/>
          <w:color w:val="000000"/>
          <w:sz w:val="24"/>
        </w:rPr>
        <w:t>), dated February 27, 2024, among the Company, PWP Holdings LP, a Delaware limited partnership, and Citizens JMP Securities, LLC (the “</w:t>
      </w:r>
      <w:r>
        <w:rPr>
          <w:rFonts w:ascii="Times New Roman;sans-serif" w:hAnsi="Times New Roman;sans-serif"/>
          <w:b w:val="false"/>
          <w:color w:val="000000"/>
          <w:sz w:val="24"/>
          <w:u w:val="single"/>
        </w:rPr>
        <w:t>Underwriter</w:t>
      </w:r>
      <w:r>
        <w:rPr>
          <w:color w:val="000000"/>
        </w:rPr>
        <w:t>”</w:t>
      </w:r>
      <w:r>
        <w:rPr>
          <w:rFonts w:ascii="Times New Roman;sans-serif" w:hAnsi="Times New Roman;sans-serif"/>
          <w:b w:val="false"/>
          <w:color w:val="000000"/>
          <w:sz w:val="24"/>
        </w:rPr>
        <w:t>), relating to the sale by the Company to the Underwriter of the Shares;</w:t>
      </w:r>
    </w:p>
    <w:p>
      <w:pPr>
        <w:pStyle w:val="TextBody"/>
        <w:bidi w:val="0"/>
        <w:spacing w:lineRule="auto" w:line="288" w:before="240" w:after="240"/>
        <w:ind w:left="0" w:right="0" w:firstLine="1440"/>
        <w:jc w:val="left"/>
        <w:rPr/>
      </w:pPr>
      <w:r>
        <w:rPr>
          <w:rFonts w:ascii="Times New Roman;sans-serif" w:hAnsi="Times New Roman;sans-serif"/>
          <w:b w:val="false"/>
          <w:color w:val="000000"/>
          <w:sz w:val="24"/>
        </w:rPr>
        <w:t>(f)    an executed copy of a certificate of Justin Kamen, Chief Legal Officer and Corporate Secretary of the Company, dated the date hereof (the “</w:t>
      </w:r>
      <w:r>
        <w:rPr>
          <w:rFonts w:ascii="Times New Roman;sans-serif" w:hAnsi="Times New Roman;sans-serif"/>
          <w:b w:val="false"/>
          <w:color w:val="000000"/>
          <w:sz w:val="24"/>
          <w:u w:val="single"/>
        </w:rPr>
        <w:t>Secretary’s Certificate</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left"/>
        <w:rPr/>
      </w:pPr>
      <w:r>
        <w:rPr>
          <w:rFonts w:ascii="Times New Roman;sans-serif" w:hAnsi="Times New Roman;sans-serif"/>
          <w:b w:val="false"/>
          <w:color w:val="000000"/>
          <w:sz w:val="24"/>
        </w:rPr>
        <w:t>(g)    a copy of the Company’s Restated Certificate of Incorporation certified by the Secretary of State of the State of Delaware as of February 27, 2024 and certified pursuant to the Secretary’s Certificate (the “</w:t>
      </w:r>
      <w:r>
        <w:rPr>
          <w:rFonts w:ascii="Times New Roman;sans-serif" w:hAnsi="Times New Roman;sans-serif"/>
          <w:b w:val="false"/>
          <w:color w:val="000000"/>
          <w:sz w:val="24"/>
          <w:u w:val="single"/>
        </w:rPr>
        <w:t>Restated Certificate of Incorporation</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left"/>
        <w:rPr/>
      </w:pPr>
      <w:r>
        <w:rPr>
          <w:rFonts w:ascii="Times New Roman;sans-serif" w:hAnsi="Times New Roman;sans-serif"/>
          <w:b w:val="false"/>
          <w:color w:val="000000"/>
          <w:sz w:val="24"/>
        </w:rPr>
        <w:t>(h)    a copy of the Company’s Amended and Restated Bylaws, as amended and in effect as of the date hereof and certified pursuant to the Secretary’s Certificate (the “</w:t>
      </w:r>
      <w:r>
        <w:rPr>
          <w:rFonts w:ascii="Times New Roman;sans-serif" w:hAnsi="Times New Roman;sans-serif"/>
          <w:b w:val="false"/>
          <w:color w:val="000000"/>
          <w:sz w:val="24"/>
          <w:u w:val="single"/>
        </w:rPr>
        <w:t>Amended and Restated Bylaws</w:t>
      </w:r>
      <w:r>
        <w:rPr>
          <w:color w:val="000000"/>
        </w:rPr>
        <w:t>”</w:t>
      </w:r>
      <w:r>
        <w:rPr>
          <w:rFonts w:ascii="Times New Roman;sans-serif" w:hAnsi="Times New Roman;sans-serif"/>
          <w:b w:val="false"/>
          <w:color w:val="000000"/>
          <w:sz w:val="24"/>
        </w:rPr>
        <w:t>); and</w:t>
      </w:r>
    </w:p>
    <w:p>
      <w:pPr>
        <w:pStyle w:val="TextBody"/>
        <w:bidi w:val="0"/>
        <w:spacing w:lineRule="auto" w:line="288" w:before="24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    a copy of certain resolutions of the Board of Directors of the Company, adopted on February 23, 2024, and certain resolutions of the Pricing Committee thereof, adopted on February 27, 2024, certified pursuant to the Secretary’s Certificate.</w:t>
      </w:r>
    </w:p>
    <w:p>
      <w:pPr>
        <w:pStyle w:val="TextBody"/>
        <w:bidi w:val="0"/>
        <w:spacing w:lineRule="auto" w:line="288" w:before="24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 including the facts and conclusions set forth in the Secretary’s Certificate and the factual representations and warranties contained in the Underwriting Agreement.</w:t>
      </w:r>
    </w:p>
    <w:p>
      <w:pPr>
        <w:pStyle w:val="TextBody"/>
        <w:bidi w:val="0"/>
        <w:spacing w:lineRule="auto" w:line="288" w:before="24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With respect to our opinion set forth below, we have assumed that the issuance of the Shares will not violate or conflict with any agreement or instrument binding on the Company (except that we do not make this assumption with respect to the Restated Certificate of Incorporation, the Amended and Restated Bylaws or those agreements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Perella Weinberg Partners</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March 1, 2024</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bidi w:val="0"/>
        <w:spacing w:lineRule="auto" w:line="288"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or instruments expressed to be governed by the laws of the State of New York which are listed in Part II of the Registration Statement or the Company’s Annual Report on Form 10-K for the year ended December 31, 2023). As to any facts relevant to the opinions stated herein that we did not independently establish or verify, we have relied upon statements and representations of officers and other representatives of the Company and others and of public officials, including the factual representations and warranties set forth in the Underwriting Agreement.</w:t>
      </w:r>
    </w:p>
    <w:p>
      <w:pPr>
        <w:pStyle w:val="TextBody"/>
        <w:bidi w:val="0"/>
        <w:spacing w:lineRule="auto" w:line="288" w:before="240" w:after="240"/>
        <w:ind w:left="0" w:right="0" w:firstLine="1440"/>
        <w:jc w:val="left"/>
        <w:rPr/>
      </w:pPr>
      <w:r>
        <w:rPr>
          <w:rFonts w:ascii="Times New Roman;sans-serif" w:hAnsi="Times New Roman;sans-serif"/>
          <w:b w:val="false"/>
          <w:color w:val="000000"/>
          <w:sz w:val="24"/>
        </w:rPr>
        <w:t>We do not express any opinion with respect to the laws of any jurisdiction other than the General Corporation Law of the State of Delaware (the “</w:t>
      </w:r>
      <w:r>
        <w:rPr>
          <w:rFonts w:ascii="Times New Roman;sans-serif" w:hAnsi="Times New Roman;sans-serif"/>
          <w:b w:val="false"/>
          <w:color w:val="000000"/>
          <w:sz w:val="24"/>
          <w:u w:val="single"/>
        </w:rPr>
        <w:t>DGCL</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Based upon the foregoing and subject to the qualifications and assumptions stated herein, we are of the opinion that the Shares have been duly authorized by all requisite corporate action on the part of the Company under the DGCL and when issued and sold in accordance with the Underwriting Agreement, will be validly issued, fully paid and nonassessable.</w:t>
      </w:r>
    </w:p>
    <w:p>
      <w:pPr>
        <w:pStyle w:val="TextBody"/>
        <w:bidi w:val="0"/>
        <w:spacing w:lineRule="auto" w:line="288" w:before="24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We hereby consent to the reference to our firm under the heading “Legal Matters” in the Preliminary Prospectus and the Prospectus. We also hereby consent to the filing of this opinion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 </w:t>
      </w:r>
    </w:p>
    <w:tbl>
      <w:tblPr>
        <w:tblW w:w="4679" w:type="dxa"/>
        <w:jc w:val="right"/>
        <w:tblInd w:w="0" w:type="dxa"/>
        <w:tblLayout w:type="fixed"/>
        <w:tblCellMar>
          <w:top w:w="28" w:type="dxa"/>
          <w:left w:w="28" w:type="dxa"/>
          <w:bottom w:w="28" w:type="dxa"/>
          <w:right w:w="28" w:type="dxa"/>
        </w:tblCellMar>
      </w:tblPr>
      <w:tblGrid>
        <w:gridCol w:w="1497"/>
        <w:gridCol w:w="1313"/>
        <w:gridCol w:w="1869"/>
      </w:tblGrid>
      <w:tr>
        <w:trPr/>
        <w:tc>
          <w:tcPr>
            <w:tcW w:w="149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Skadden, Arps, Slate, Meagher &amp; Flom LLP</w:t>
            </w:r>
          </w:p>
        </w:tc>
      </w:tr>
    </w:tbl>
    <w:p>
      <w:pPr>
        <w:pStyle w:val="TextBody"/>
        <w:bidi w:val="0"/>
        <w:spacing w:lineRule="auto" w:line="240" w:before="480"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MJS</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19423</Words>
  <Characters>102020</Characters>
  <CharactersWithSpaces>121123</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