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 2025</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2, 2025, Perella Weinberg Partners (the “Company”) issued 1,500,380 shares of its Class A common stock in exchange for 1,498,883 Class A partnership units of PWP Holdings LP (“PWP OpCo”) and 1,498,883 shares of Class B common stock of the Company that were held by certain limited partners of PWP OpCo pursuant to the Amended and Restated Limited Partnership Agreement of PWP OpCo (as amended,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spacing w:after="0" w:line="21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2025</w:t>
            </w: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840" w:type="dxa"/>
            <w:vAlign w:val="bottom"/>
          </w:tcPr>
          <w:p>
            <w:pPr>
              <w:spacing w:after="0"/>
              <w:rPr>
                <w:sz w:val="18"/>
                <w:szCs w:val="18"/>
                <w:color w:val="auto"/>
              </w:rPr>
            </w:pP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840" w:type="dxa"/>
            <w:vAlign w:val="bottom"/>
          </w:tcPr>
          <w:p>
            <w:pPr>
              <w:spacing w:after="0"/>
              <w:rPr>
                <w:sz w:val="20"/>
                <w:szCs w:val="20"/>
                <w:color w:val="auto"/>
              </w:rPr>
            </w:pPr>
          </w:p>
        </w:tc>
        <w:tc>
          <w:tcPr>
            <w:tcW w:w="28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2025-09-04T05:13:06Z</dcterms:created>
  <dcterms:modified xsi:type="dcterms:W3CDTF">2025-09-04T05:13:06Z</dcterms:modified>
</cp:coreProperties>
</file>