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ind w:right="-19"/>
        <w:spacing w:after="0" w:line="232"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99060</wp:posOffset>
            </wp:positionV>
            <wp:extent cx="211709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17090" cy="17145"/>
                    </a:xfrm>
                    <a:prstGeom prst="rect">
                      <a:avLst/>
                    </a:prstGeom>
                    <a:noFill/>
                  </pic:spPr>
                </pic:pic>
              </a:graphicData>
            </a:graphic>
          </wp:anchor>
        </w:drawing>
      </w:r>
    </w:p>
    <w:p>
      <w:pPr>
        <w:spacing w:after="0" w:line="3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147955</wp:posOffset>
            </wp:positionV>
            <wp:extent cx="211709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17090" cy="17145"/>
                    </a:xfrm>
                    <a:prstGeom prst="rect">
                      <a:avLst/>
                    </a:prstGeom>
                    <a:noFill/>
                  </pic:spPr>
                </pic:pic>
              </a:graphicData>
            </a:graphic>
          </wp:anchor>
        </w:drawing>
      </w:r>
    </w:p>
    <w:p>
      <w:pPr>
        <w:spacing w:after="0" w:line="3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July 22,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114300</wp:posOffset>
            </wp:positionV>
            <wp:extent cx="21170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17090" cy="17145"/>
                    </a:xfrm>
                    <a:prstGeom prst="rect">
                      <a:avLst/>
                    </a:prstGeom>
                    <a:noFill/>
                  </pic:spPr>
                </pic:pic>
              </a:graphicData>
            </a:graphic>
          </wp:anchor>
        </w:drawing>
      </w:r>
    </w:p>
    <w:p>
      <w:pPr>
        <w:spacing w:after="0" w:line="3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Perella Weinberg Partners</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99060</wp:posOffset>
            </wp:positionV>
            <wp:extent cx="21170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17090" cy="17145"/>
                    </a:xfrm>
                    <a:prstGeom prst="rect">
                      <a:avLst/>
                    </a:prstGeom>
                    <a:noFill/>
                  </pic:spPr>
                </pic:pic>
              </a:graphicData>
            </a:graphic>
          </wp:anchor>
        </w:drawing>
      </w:r>
    </w:p>
    <w:p>
      <w:pPr>
        <w:sectPr>
          <w:pgSz w:w="11900" w:h="16838" w:orient="portrait"/>
          <w:cols w:equalWidth="0" w:num="1">
            <w:col w:w="11240"/>
          </w:cols>
          <w:pgMar w:left="320" w:top="1172" w:right="339" w:bottom="1440" w:gutter="0" w:footer="0" w:header="0"/>
        </w:sectPr>
      </w:pPr>
    </w:p>
    <w:p>
      <w:pPr>
        <w:spacing w:after="0" w:line="200" w:lineRule="exact"/>
        <w:rPr>
          <w:sz w:val="24"/>
          <w:szCs w:val="24"/>
          <w:color w:val="auto"/>
        </w:rPr>
      </w:pPr>
    </w:p>
    <w:p>
      <w:pPr>
        <w:spacing w:after="0" w:line="204"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8" w:lineRule="exact"/>
        <w:rPr>
          <w:sz w:val="24"/>
          <w:szCs w:val="24"/>
          <w:color w:val="auto"/>
        </w:rPr>
      </w:pPr>
    </w:p>
    <w:p>
      <w:pPr>
        <w:jc w:val="center"/>
        <w:ind w:right="2280"/>
        <w:spacing w:after="0"/>
        <w:rPr>
          <w:sz w:val="20"/>
          <w:szCs w:val="20"/>
          <w:color w:val="auto"/>
        </w:rPr>
      </w:pPr>
      <w:r>
        <w:rPr>
          <w:rFonts w:ascii="Times New Roman" w:cs="Times New Roman" w:eastAsia="Times New Roman" w:hAnsi="Times New Roman"/>
          <w:sz w:val="14"/>
          <w:szCs w:val="14"/>
          <w:b w:val="1"/>
          <w:bCs w:val="1"/>
          <w:color w:val="auto"/>
        </w:rPr>
        <w:t>001-39558</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84-1770732</w:t>
      </w:r>
    </w:p>
    <w:p>
      <w:pPr>
        <w:spacing w:after="0" w:line="31" w:lineRule="exact"/>
        <w:rPr>
          <w:sz w:val="24"/>
          <w:szCs w:val="24"/>
          <w:color w:val="auto"/>
        </w:rPr>
      </w:pPr>
    </w:p>
    <w:p>
      <w:pPr>
        <w:sectPr>
          <w:pgSz w:w="11900" w:h="16838" w:orient="portrait"/>
          <w:cols w:equalWidth="0" w:num="3">
            <w:col w:w="4580" w:space="720"/>
            <w:col w:w="2900" w:space="720"/>
            <w:col w:w="2320"/>
          </w:cols>
          <w:pgMar w:left="320" w:top="1172" w:right="33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2"/>
          <w:szCs w:val="12"/>
          <w:b w:val="1"/>
          <w:bCs w:val="1"/>
          <w:color w:val="auto"/>
        </w:rPr>
        <w:t>( 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(I.R.S. Employer Identification No.)</w:t>
      </w:r>
    </w:p>
    <w:p>
      <w:pPr>
        <w:spacing w:after="0" w:line="150" w:lineRule="exact"/>
        <w:rPr>
          <w:sz w:val="24"/>
          <w:szCs w:val="24"/>
          <w:color w:val="auto"/>
        </w:rPr>
      </w:pPr>
    </w:p>
    <w:p>
      <w:pPr>
        <w:sectPr>
          <w:pgSz w:w="11900" w:h="16838" w:orient="portrait"/>
          <w:cols w:equalWidth="0" w:num="3">
            <w:col w:w="4180" w:space="720"/>
            <w:col w:w="2780" w:space="720"/>
            <w:col w:w="2840"/>
          </w:cols>
          <w:pgMar w:left="320" w:top="1172" w:right="339" w:bottom="1440" w:gutter="0" w:footer="0" w:header="0"/>
          <w:type w:val="continuous"/>
        </w:sectPr>
      </w:pPr>
    </w:p>
    <w:p>
      <w:pPr>
        <w:ind w:left="2160"/>
        <w:spacing w:after="0"/>
        <w:rPr>
          <w:sz w:val="20"/>
          <w:szCs w:val="20"/>
          <w:color w:val="auto"/>
        </w:rPr>
      </w:pPr>
      <w:r>
        <w:rPr>
          <w:rFonts w:ascii="Times New Roman" w:cs="Times New Roman" w:eastAsia="Times New Roman" w:hAnsi="Times New Roman"/>
          <w:sz w:val="17"/>
          <w:szCs w:val="17"/>
          <w:b w:val="1"/>
          <w:bCs w:val="1"/>
          <w:color w:val="auto"/>
        </w:rPr>
        <w:t>767 Fifth Avenue</w:t>
      </w:r>
    </w:p>
    <w:p>
      <w:pPr>
        <w:sectPr>
          <w:pgSz w:w="11900" w:h="16838" w:orient="portrait"/>
          <w:cols w:equalWidth="0" w:num="1">
            <w:col w:w="11240"/>
          </w:cols>
          <w:pgMar w:left="320" w:top="1172" w:right="339" w:bottom="1440" w:gutter="0" w:footer="0" w:header="0"/>
          <w:type w:val="continuous"/>
        </w:sectPr>
      </w:pPr>
    </w:p>
    <w:p>
      <w:pPr>
        <w:spacing w:after="0" w:line="88" w:lineRule="exact"/>
        <w:rPr>
          <w:sz w:val="24"/>
          <w:szCs w:val="24"/>
          <w:color w:val="auto"/>
        </w:rPr>
      </w:pPr>
    </w:p>
    <w:p>
      <w:pPr>
        <w:ind w:left="2260"/>
        <w:spacing w:after="0"/>
        <w:rPr>
          <w:sz w:val="20"/>
          <w:szCs w:val="20"/>
          <w:color w:val="auto"/>
        </w:rPr>
      </w:pPr>
      <w:r>
        <w:rPr>
          <w:rFonts w:ascii="Times New Roman" w:cs="Times New Roman" w:eastAsia="Times New Roman" w:hAnsi="Times New Roman"/>
          <w:sz w:val="17"/>
          <w:szCs w:val="17"/>
          <w:b w:val="1"/>
          <w:bCs w:val="1"/>
          <w:color w:val="auto"/>
        </w:rPr>
        <w:t>New York, NY</w:t>
      </w:r>
    </w:p>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10153</w:t>
      </w:r>
    </w:p>
    <w:p>
      <w:pPr>
        <w:spacing w:after="0" w:line="31" w:lineRule="exact"/>
        <w:rPr>
          <w:sz w:val="24"/>
          <w:szCs w:val="24"/>
          <w:color w:val="auto"/>
        </w:rPr>
      </w:pPr>
    </w:p>
    <w:p>
      <w:pPr>
        <w:sectPr>
          <w:pgSz w:w="11900" w:h="16838" w:orient="portrait"/>
          <w:cols w:equalWidth="0" w:num="2">
            <w:col w:w="7480" w:space="720"/>
            <w:col w:w="3040"/>
          </w:cols>
          <w:pgMar w:left="320" w:top="1172" w:right="339" w:bottom="1440" w:gutter="0" w:footer="0" w:header="0"/>
          <w:type w:val="continuous"/>
        </w:sectPr>
      </w:pPr>
    </w:p>
    <w:p>
      <w:pPr>
        <w:ind w:left="1780"/>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(Zip Code)</w:t>
      </w:r>
    </w:p>
    <w:p>
      <w:pPr>
        <w:spacing w:after="0" w:line="83" w:lineRule="exact"/>
        <w:rPr>
          <w:sz w:val="24"/>
          <w:szCs w:val="24"/>
          <w:color w:val="auto"/>
        </w:rPr>
      </w:pPr>
    </w:p>
    <w:p>
      <w:pPr>
        <w:sectPr>
          <w:pgSz w:w="11900" w:h="16838" w:orient="portrait"/>
          <w:cols w:equalWidth="0" w:num="2">
            <w:col w:w="7420" w:space="720"/>
            <w:col w:w="3100"/>
          </w:cols>
          <w:pgMar w:left="320" w:top="1172"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287-3200</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111" w:lineRule="exact"/>
        <w:rPr>
          <w:sz w:val="24"/>
          <w:szCs w:val="24"/>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4"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60" w:hanging="334"/>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38" w:lineRule="exact"/>
        <w:rPr>
          <w:rFonts w:ascii="MS PGothic" w:cs="MS PGothic" w:eastAsia="MS PGothic" w:hAnsi="MS PGothic"/>
          <w:sz w:val="18"/>
          <w:szCs w:val="18"/>
          <w:color w:val="auto"/>
        </w:rPr>
      </w:pPr>
    </w:p>
    <w:p>
      <w:pPr>
        <w:ind w:left="360" w:hanging="334"/>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7"/>
        </w:trPr>
        <w:tc>
          <w:tcPr>
            <w:tcW w:w="47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Title of each class</w:t>
            </w: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Trading Symbol(s)</w:t>
            </w:r>
          </w:p>
        </w:tc>
        <w:tc>
          <w:tcPr>
            <w:tcW w:w="42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tc>
        <w:tc>
          <w:tcPr>
            <w:tcW w:w="0" w:type="dxa"/>
            <w:vAlign w:val="bottom"/>
          </w:tcPr>
          <w:p>
            <w:pPr>
              <w:spacing w:after="0"/>
              <w:rPr>
                <w:sz w:val="1"/>
                <w:szCs w:val="1"/>
                <w:color w:val="auto"/>
              </w:rPr>
            </w:pPr>
          </w:p>
        </w:tc>
      </w:tr>
      <w:tr>
        <w:trPr>
          <w:trHeight w:val="221"/>
        </w:trPr>
        <w:tc>
          <w:tcPr>
            <w:tcW w:w="4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Class A Common Stock, par value $0.0001 per share</w:t>
            </w:r>
          </w:p>
        </w:tc>
        <w:tc>
          <w:tcPr>
            <w:tcW w:w="100" w:type="dxa"/>
            <w:vAlign w:val="bottom"/>
          </w:tcPr>
          <w:p>
            <w:pPr>
              <w:spacing w:after="0"/>
              <w:rPr>
                <w:sz w:val="19"/>
                <w:szCs w:val="19"/>
                <w:color w:val="auto"/>
              </w:rPr>
            </w:pPr>
          </w:p>
        </w:tc>
        <w:tc>
          <w:tcPr>
            <w:tcW w:w="2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PWP</w:t>
            </w:r>
          </w:p>
        </w:tc>
        <w:tc>
          <w:tcPr>
            <w:tcW w:w="80" w:type="dxa"/>
            <w:vAlign w:val="bottom"/>
          </w:tcPr>
          <w:p>
            <w:pPr>
              <w:spacing w:after="0"/>
              <w:rPr>
                <w:sz w:val="19"/>
                <w:szCs w:val="19"/>
                <w:color w:val="auto"/>
              </w:rPr>
            </w:pPr>
          </w:p>
        </w:tc>
        <w:tc>
          <w:tcPr>
            <w:tcW w:w="4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Nasdaq Global Select Market</w:t>
            </w:r>
          </w:p>
        </w:tc>
        <w:tc>
          <w:tcPr>
            <w:tcW w:w="0" w:type="dxa"/>
            <w:vAlign w:val="bottom"/>
          </w:tcPr>
          <w:p>
            <w:pPr>
              <w:spacing w:after="0"/>
              <w:rPr>
                <w:sz w:val="1"/>
                <w:szCs w:val="1"/>
                <w:color w:val="auto"/>
              </w:rPr>
            </w:pPr>
          </w:p>
        </w:tc>
      </w:tr>
      <w:tr>
        <w:trPr>
          <w:trHeight w:val="176"/>
        </w:trPr>
        <w:tc>
          <w:tcPr>
            <w:tcW w:w="47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7"/>
                <w:szCs w:val="17"/>
                <w:color w:val="auto"/>
              </w:rPr>
              <w:t>Warrants, each whole warrant exercisable for one share of Class A</w:t>
            </w:r>
          </w:p>
        </w:tc>
        <w:tc>
          <w:tcPr>
            <w:tcW w:w="23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color w:val="auto"/>
              </w:rPr>
              <w:t>PWPPW</w:t>
            </w:r>
          </w:p>
        </w:tc>
        <w:tc>
          <w:tcPr>
            <w:tcW w:w="42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Nasdaq Global Select Market</w:t>
            </w:r>
          </w:p>
        </w:tc>
        <w:tc>
          <w:tcPr>
            <w:tcW w:w="0" w:type="dxa"/>
            <w:vAlign w:val="bottom"/>
          </w:tcPr>
          <w:p>
            <w:pPr>
              <w:spacing w:after="0"/>
              <w:rPr>
                <w:sz w:val="1"/>
                <w:szCs w:val="1"/>
                <w:color w:val="auto"/>
              </w:rPr>
            </w:pPr>
          </w:p>
        </w:tc>
      </w:tr>
      <w:tr>
        <w:trPr>
          <w:trHeight w:val="222"/>
        </w:trPr>
        <w:tc>
          <w:tcPr>
            <w:tcW w:w="47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common stock</w:t>
            </w:r>
          </w:p>
        </w:tc>
        <w:tc>
          <w:tcPr>
            <w:tcW w:w="2300" w:type="dxa"/>
            <w:vAlign w:val="bottom"/>
            <w:gridSpan w:val="2"/>
            <w:vMerge w:val="continue"/>
          </w:tcPr>
          <w:p>
            <w:pPr>
              <w:spacing w:after="0"/>
              <w:rPr>
                <w:sz w:val="19"/>
                <w:szCs w:val="19"/>
                <w:color w:val="auto"/>
              </w:rPr>
            </w:pPr>
          </w:p>
        </w:tc>
        <w:tc>
          <w:tcPr>
            <w:tcW w:w="4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173" w:lineRule="exact"/>
        <w:rPr>
          <w:sz w:val="24"/>
          <w:szCs w:val="24"/>
          <w:color w:val="auto"/>
        </w:rPr>
      </w:pPr>
    </w:p>
    <w:p>
      <w:pPr>
        <w:jc w:val="both"/>
        <w:ind w:right="520"/>
        <w:spacing w:after="0" w:line="237"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4" w:lineRule="exact"/>
        <w:rPr>
          <w:sz w:val="24"/>
          <w:szCs w:val="24"/>
          <w:color w:val="auto"/>
        </w:rPr>
      </w:pPr>
    </w:p>
    <w:p>
      <w:pPr>
        <w:ind w:left="300" w:hanging="274"/>
        <w:spacing w:after="0"/>
        <w:tabs>
          <w:tab w:leader="none" w:pos="3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198" w:lineRule="exact"/>
        <w:rPr>
          <w:sz w:val="24"/>
          <w:szCs w:val="24"/>
          <w:color w:val="auto"/>
        </w:rPr>
      </w:pPr>
    </w:p>
    <w:p>
      <w:pPr>
        <w:spacing w:after="0" w:line="21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720725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2" w:right="339" w:bottom="1440" w:gutter="0" w:footer="0" w:header="0"/>
          <w:type w:val="continuous"/>
        </w:sectPr>
      </w:pPr>
    </w:p>
    <w:bookmarkStart w:id="1" w:name="page2"/>
    <w:bookmarkEnd w:id="1"/>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8.01</w:t>
      </w:r>
      <w:r>
        <w:rPr>
          <w:sz w:val="20"/>
          <w:szCs w:val="20"/>
          <w:color w:val="auto"/>
        </w:rPr>
        <w:tab/>
      </w:r>
      <w:r>
        <w:rPr>
          <w:rFonts w:ascii="Times New Roman" w:cs="Times New Roman" w:eastAsia="Times New Roman" w:hAnsi="Times New Roman"/>
          <w:sz w:val="19"/>
          <w:szCs w:val="19"/>
          <w:b w:val="1"/>
          <w:bCs w:val="1"/>
          <w:color w:val="auto"/>
        </w:rPr>
        <w:t>Other Events.</w:t>
      </w:r>
    </w:p>
    <w:p>
      <w:pPr>
        <w:spacing w:after="0" w:line="193"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9"/>
          <w:szCs w:val="19"/>
          <w:color w:val="auto"/>
        </w:rPr>
        <w:t>On July 22, 2022, Perella Weinberg Partners, a Delaware corporation (the “Company”), announced the commencement of (i) its offer to each holder of its outstanding warrants, consisting of (a) warrants sold as part of the units in FinTech Acquisition Corp. IV’s (“FTIV”) initial</w:t>
      </w:r>
    </w:p>
    <w:p>
      <w:pPr>
        <w:spacing w:after="0" w:line="211" w:lineRule="auto"/>
        <w:rPr>
          <w:sz w:val="20"/>
          <w:szCs w:val="20"/>
          <w:color w:val="auto"/>
        </w:rPr>
      </w:pPr>
      <w:r>
        <w:rPr>
          <w:rFonts w:ascii="Times New Roman" w:cs="Times New Roman" w:eastAsia="Times New Roman" w:hAnsi="Times New Roman"/>
          <w:sz w:val="20"/>
          <w:szCs w:val="20"/>
          <w:color w:val="auto"/>
        </w:rPr>
        <w:t>public offering of FTIV’s securities on September 29, 2020 (“IPO”) (whether they were purchased in the IPO or thereafter in the open</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market) (the “Public Warrants”) and (b) warrants sold as part of the units in a private placement that occurred simultaneously with the IPO (the “Private Placement Warrants” and, together with the Public Warrants, the “Warrants”), each exercisable for one share of Class A</w:t>
      </w:r>
    </w:p>
    <w:p>
      <w:pPr>
        <w:spacing w:after="0" w:line="211" w:lineRule="auto"/>
        <w:rPr>
          <w:sz w:val="20"/>
          <w:szCs w:val="20"/>
          <w:color w:val="auto"/>
        </w:rPr>
      </w:pPr>
      <w:r>
        <w:rPr>
          <w:rFonts w:ascii="Times New Roman" w:cs="Times New Roman" w:eastAsia="Times New Roman" w:hAnsi="Times New Roman"/>
          <w:sz w:val="20"/>
          <w:szCs w:val="20"/>
          <w:color w:val="auto"/>
        </w:rPr>
        <w:t>common stock, par value $0.0001 per share (“Class A Common Stock”), of the Company, at an exercise price of $11.50 per share, the</w:t>
      </w:r>
    </w:p>
    <w:p>
      <w:pPr>
        <w:spacing w:after="0" w:line="1" w:lineRule="exact"/>
        <w:rPr>
          <w:sz w:val="20"/>
          <w:szCs w:val="20"/>
          <w:color w:val="auto"/>
        </w:rPr>
      </w:pPr>
    </w:p>
    <w:p>
      <w:pPr>
        <w:ind w:right="20"/>
        <w:spacing w:after="0" w:line="204" w:lineRule="auto"/>
        <w:rPr>
          <w:sz w:val="20"/>
          <w:szCs w:val="20"/>
          <w:color w:val="auto"/>
        </w:rPr>
      </w:pPr>
      <w:r>
        <w:rPr>
          <w:rFonts w:ascii="Times New Roman" w:cs="Times New Roman" w:eastAsia="Times New Roman" w:hAnsi="Times New Roman"/>
          <w:sz w:val="20"/>
          <w:szCs w:val="20"/>
          <w:color w:val="auto"/>
        </w:rPr>
        <w:t>opportunity to receive 0.20 shares of Class A Common Stock in exchange for each Warrant tendered by the holder and exchanged pursuant to the offer (the “Offer”), and (ii) the solicitation of consents (the “Consent Solicitation”) from holders of the Public Warrants to amend the</w:t>
      </w:r>
    </w:p>
    <w:p>
      <w:pPr>
        <w:spacing w:after="0" w:line="211" w:lineRule="auto"/>
        <w:rPr>
          <w:sz w:val="20"/>
          <w:szCs w:val="20"/>
          <w:color w:val="auto"/>
        </w:rPr>
      </w:pPr>
      <w:r>
        <w:rPr>
          <w:rFonts w:ascii="Times New Roman" w:cs="Times New Roman" w:eastAsia="Times New Roman" w:hAnsi="Times New Roman"/>
          <w:sz w:val="20"/>
          <w:szCs w:val="20"/>
          <w:color w:val="auto"/>
        </w:rPr>
        <w:t>warrant agreement, dated as of September 24, 2020 (the “Warrant Agreement”), by and between the Company (f/k/a FTIV) and Continental</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Stock Transfer &amp; Trust Company, as amended by Amendment No. 1 to Warrant Agreement, dated as of November 10, 2021, by and among the Company, Continental Stock Transfer &amp; Trust Company and American Stock Transfer &amp; Trust Company, LLC, as warrant agent, which</w:t>
      </w:r>
    </w:p>
    <w:p>
      <w:pPr>
        <w:spacing w:after="0" w:line="211" w:lineRule="auto"/>
        <w:rPr>
          <w:sz w:val="20"/>
          <w:szCs w:val="20"/>
          <w:color w:val="auto"/>
        </w:rPr>
      </w:pPr>
      <w:r>
        <w:rPr>
          <w:rFonts w:ascii="Times New Roman" w:cs="Times New Roman" w:eastAsia="Times New Roman" w:hAnsi="Times New Roman"/>
          <w:sz w:val="20"/>
          <w:szCs w:val="20"/>
          <w:color w:val="auto"/>
        </w:rPr>
        <w:t>governs all of the Warrants (the “Warrant Amendment”). If approved, the Warrant Amendment would permit the Company to require that</w:t>
      </w:r>
    </w:p>
    <w:p>
      <w:pPr>
        <w:spacing w:after="0" w:line="1" w:lineRule="exact"/>
        <w:rPr>
          <w:sz w:val="20"/>
          <w:szCs w:val="20"/>
          <w:color w:val="auto"/>
        </w:rPr>
      </w:pPr>
    </w:p>
    <w:p>
      <w:pPr>
        <w:ind w:right="20"/>
        <w:spacing w:after="0" w:line="204" w:lineRule="auto"/>
        <w:rPr>
          <w:sz w:val="20"/>
          <w:szCs w:val="20"/>
          <w:color w:val="auto"/>
        </w:rPr>
      </w:pPr>
      <w:r>
        <w:rPr>
          <w:rFonts w:ascii="Times New Roman" w:cs="Times New Roman" w:eastAsia="Times New Roman" w:hAnsi="Times New Roman"/>
          <w:sz w:val="20"/>
          <w:szCs w:val="20"/>
          <w:color w:val="auto"/>
        </w:rPr>
        <w:t>each Warrant (including each Private Placement Warrant) that is outstanding upon the closing of the Offer be converted into 0.18 shares of Class A Common Stock, which is a ratio 10% less than the exchange ratio applicable to the Offer. The Offer and Consent Solicitation are</w:t>
      </w:r>
    </w:p>
    <w:p>
      <w:pPr>
        <w:spacing w:after="0" w:line="223" w:lineRule="auto"/>
        <w:rPr>
          <w:sz w:val="20"/>
          <w:szCs w:val="20"/>
          <w:color w:val="auto"/>
        </w:rPr>
      </w:pPr>
      <w:r>
        <w:rPr>
          <w:rFonts w:ascii="Times New Roman" w:cs="Times New Roman" w:eastAsia="Times New Roman" w:hAnsi="Times New Roman"/>
          <w:sz w:val="19"/>
          <w:szCs w:val="19"/>
          <w:color w:val="auto"/>
        </w:rPr>
        <w:t>made solely upon the terms and conditions in the prospectus/offer to exchange, dated July 22, 2022 (the “Prospectus/Offer to Exchange”) and</w:t>
      </w:r>
    </w:p>
    <w:p>
      <w:pPr>
        <w:spacing w:after="0" w:line="215" w:lineRule="auto"/>
        <w:rPr>
          <w:sz w:val="20"/>
          <w:szCs w:val="20"/>
          <w:color w:val="auto"/>
        </w:rPr>
      </w:pPr>
      <w:r>
        <w:rPr>
          <w:rFonts w:ascii="Times New Roman" w:cs="Times New Roman" w:eastAsia="Times New Roman" w:hAnsi="Times New Roman"/>
          <w:sz w:val="19"/>
          <w:szCs w:val="19"/>
          <w:color w:val="auto"/>
        </w:rPr>
        <w:t>other related offering materials that are being distributed to the holders of the Warrants. The Offer and Consent Solicitation will expire at one minute after 11:59 p.m., Eastern Standard Time, on August 18, 2022, or such later time and date to which the Company may extend. Pursuant</w:t>
      </w:r>
    </w:p>
    <w:p>
      <w:pPr>
        <w:spacing w:after="0" w:line="215" w:lineRule="auto"/>
        <w:rPr>
          <w:sz w:val="20"/>
          <w:szCs w:val="20"/>
          <w:color w:val="auto"/>
        </w:rPr>
      </w:pPr>
      <w:r>
        <w:rPr>
          <w:rFonts w:ascii="Times New Roman" w:cs="Times New Roman" w:eastAsia="Times New Roman" w:hAnsi="Times New Roman"/>
          <w:sz w:val="19"/>
          <w:szCs w:val="19"/>
          <w:color w:val="auto"/>
        </w:rPr>
        <w:t>to the terms of the Warrant Agreement, all except certain specified modifications or amendments require the vote or written consent of holders of at least 65% of the outstanding Public Warrants. Accordingly, the adoption of the Warrant Amendment will require the consent of</w:t>
      </w:r>
    </w:p>
    <w:p>
      <w:pPr>
        <w:spacing w:after="0" w:line="211" w:lineRule="auto"/>
        <w:rPr>
          <w:sz w:val="20"/>
          <w:szCs w:val="20"/>
          <w:color w:val="auto"/>
        </w:rPr>
      </w:pPr>
      <w:r>
        <w:rPr>
          <w:rFonts w:ascii="Times New Roman" w:cs="Times New Roman" w:eastAsia="Times New Roman" w:hAnsi="Times New Roman"/>
          <w:sz w:val="20"/>
          <w:szCs w:val="20"/>
          <w:color w:val="auto"/>
        </w:rPr>
        <w:t>holders of at least 65% of the outstanding Public Warrants. Parties representing approximately 45.9% of the Public Warrants have agreed to</w:t>
      </w:r>
    </w:p>
    <w:p>
      <w:pPr>
        <w:spacing w:after="0" w:line="204" w:lineRule="auto"/>
        <w:rPr>
          <w:sz w:val="20"/>
          <w:szCs w:val="20"/>
          <w:color w:val="auto"/>
        </w:rPr>
      </w:pPr>
      <w:r>
        <w:rPr>
          <w:rFonts w:ascii="Times New Roman" w:cs="Times New Roman" w:eastAsia="Times New Roman" w:hAnsi="Times New Roman"/>
          <w:sz w:val="20"/>
          <w:szCs w:val="20"/>
          <w:color w:val="auto"/>
        </w:rPr>
        <w:t>tender their Warrants in the Offer and to consent to the Warrant Amendment in the Consent Solicitation, pursuant to a tender and support agreement. Accordingly, if holders of an additional approximately 19.1% of the outstanding Public Warrants consent to the Warrant</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Amendment in the Consent Solicitation, and the other conditions of the Offer are satisfied or waived, then the Warrant Amendment will be adopted.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July 22, 2022, the Company issued a press release announcing the commencement of the Offer and Consent Solicitation. A copy of the press release is attached hereto as Exhibit 99.1 and is incorporated herein by reference.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Important Additional Information Has Been Filed with the Securities and Exchange Commission (“SEC”)</w:t>
      </w:r>
    </w:p>
    <w:p>
      <w:pPr>
        <w:spacing w:after="0" w:line="179"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9"/>
          <w:szCs w:val="19"/>
          <w:color w:val="auto"/>
        </w:rPr>
        <w:t>The Offer described in this Current Report on Form 8-K commenced on July 22, 2022. On July 22, 2022, a registration statement on Form S-4 and an exchange offer statement on Schedule TO (the “Schedule TO”), including an offer to exchange, a letter of transmittal and consent</w:t>
      </w:r>
    </w:p>
    <w:p>
      <w:pPr>
        <w:spacing w:after="0" w:line="1" w:lineRule="exact"/>
        <w:rPr>
          <w:sz w:val="20"/>
          <w:szCs w:val="20"/>
          <w:color w:val="auto"/>
        </w:rPr>
      </w:pPr>
    </w:p>
    <w:p>
      <w:pPr>
        <w:jc w:val="both"/>
        <w:ind w:right="20"/>
        <w:spacing w:after="0" w:line="204" w:lineRule="auto"/>
        <w:rPr>
          <w:sz w:val="20"/>
          <w:szCs w:val="20"/>
          <w:color w:val="auto"/>
        </w:rPr>
      </w:pPr>
      <w:r>
        <w:rPr>
          <w:rFonts w:ascii="Times New Roman" w:cs="Times New Roman" w:eastAsia="Times New Roman" w:hAnsi="Times New Roman"/>
          <w:sz w:val="20"/>
          <w:szCs w:val="20"/>
          <w:color w:val="auto"/>
        </w:rPr>
        <w:t>and related documents, were filed with the SEC by the Company. The Offer to exchange the outstanding Warrants of the Company will only be made pursuant to the Prospectus/Offer to Exchange and Schedule TO, including related documents filed as a part of the Offer.</w:t>
      </w:r>
    </w:p>
    <w:p>
      <w:pPr>
        <w:spacing w:after="0" w:line="211" w:lineRule="auto"/>
        <w:rPr>
          <w:sz w:val="20"/>
          <w:szCs w:val="20"/>
          <w:color w:val="auto"/>
        </w:rPr>
      </w:pPr>
      <w:r>
        <w:rPr>
          <w:rFonts w:ascii="Times New Roman" w:cs="Times New Roman" w:eastAsia="Times New Roman" w:hAnsi="Times New Roman"/>
          <w:sz w:val="20"/>
          <w:szCs w:val="20"/>
          <w:color w:val="auto"/>
        </w:rPr>
        <w:t>INVESTORS AND SECURITY HOLDERS ARE URGED TO READ THE PROSPECTUS/OFFER TO EXCHANGE AND SCHEDULE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TO FILED OR TO BE FILED WITH THE SEC CAREFULLY, AS THEY MAY BE AMENDED OR SUPPLEMENTED FROM TIME TO TIME, BECAUSE THEY CONTAIN OR WILL CONTAIN IMPORTANT INFORMATION THAT INVESTORS AND SECURITY</w:t>
      </w:r>
    </w:p>
    <w:p>
      <w:pPr>
        <w:spacing w:after="0" w:line="211" w:lineRule="auto"/>
        <w:rPr>
          <w:sz w:val="20"/>
          <w:szCs w:val="20"/>
          <w:color w:val="auto"/>
        </w:rPr>
      </w:pPr>
      <w:r>
        <w:rPr>
          <w:rFonts w:ascii="Times New Roman" w:cs="Times New Roman" w:eastAsia="Times New Roman" w:hAnsi="Times New Roman"/>
          <w:sz w:val="20"/>
          <w:szCs w:val="20"/>
          <w:color w:val="auto"/>
        </w:rPr>
        <w:t>HOLDERS SHOULD CONSIDER BEFORE MAKING ANY DECISION REGARDING THE EXCHANGE OFFER, INCLUDING THE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TERMS AND CONDITIONS OF THE EXCHANGE OFFER. Investors and security holders may obtain a free copy of these statements (when available) and other documents filed with the SEC at the website maintained by the SEC at www.sec.gov or by directing such requests</w:t>
      </w:r>
    </w:p>
    <w:p>
      <w:pPr>
        <w:spacing w:after="0" w:line="228" w:lineRule="auto"/>
        <w:rPr>
          <w:sz w:val="20"/>
          <w:szCs w:val="20"/>
          <w:color w:val="auto"/>
        </w:rPr>
      </w:pPr>
      <w:r>
        <w:rPr>
          <w:rFonts w:ascii="Times New Roman" w:cs="Times New Roman" w:eastAsia="Times New Roman" w:hAnsi="Times New Roman"/>
          <w:sz w:val="20"/>
          <w:szCs w:val="20"/>
          <w:color w:val="auto"/>
        </w:rPr>
        <w:t>to D.F. King &amp; Co., Inc. at (866) 342-4881 (for Warrant holders) or (212) 269-5550 (for banks and brokers) or via the following email address: pwp@dfking.com. Investors and security holders may also obtain, at no charge, the documents filed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996315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2" w:name="page3"/>
    <w:bookmarkEnd w:id="2"/>
    <w:p>
      <w:pPr>
        <w:ind w:right="1440"/>
        <w:spacing w:after="0" w:line="429" w:lineRule="auto"/>
        <w:rPr>
          <w:sz w:val="20"/>
          <w:szCs w:val="20"/>
          <w:color w:val="auto"/>
        </w:rPr>
      </w:pPr>
      <w:r>
        <w:rPr>
          <w:rFonts w:ascii="Times New Roman" w:cs="Times New Roman" w:eastAsia="Times New Roman" w:hAnsi="Times New Roman"/>
          <w:sz w:val="20"/>
          <w:szCs w:val="20"/>
          <w:color w:val="auto"/>
        </w:rPr>
        <w:t xml:space="preserve">furnished to the SEC by the Company under the “Investors” section of the Company’s website at investors.pwpartners.com. </w:t>
      </w:r>
      <w:r>
        <w:rPr>
          <w:rFonts w:ascii="Times New Roman" w:cs="Times New Roman" w:eastAsia="Times New Roman" w:hAnsi="Times New Roman"/>
          <w:sz w:val="20"/>
          <w:szCs w:val="20"/>
          <w:b w:val="1"/>
          <w:bCs w:val="1"/>
          <w:color w:val="auto"/>
        </w:rPr>
        <w:t>No Offer or Solicitation</w:t>
      </w:r>
    </w:p>
    <w:p>
      <w:pPr>
        <w:spacing w:after="0" w:line="1"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20"/>
          <w:szCs w:val="20"/>
          <w:color w:val="auto"/>
        </w:rPr>
        <w:t>This Form 8-K shall not constitute an offer to exchange or the solicitation of an offer to exchange or the solicitation of an offer to purchase any securities, nor shall there be any exchange or sale of securities in any jurisdiction in which such offer, solicitation or sale would be</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unlawful prior to registration or qualification under the securities laws of any such jurisdiction. A registration statement on Form S-4 relating to the securities to be issued in the Offer has been filed with the SEC but has not yet become effective. Such securities may not be sold nor</w:t>
      </w:r>
    </w:p>
    <w:p>
      <w:pPr>
        <w:ind w:right="20"/>
        <w:spacing w:after="0" w:line="228" w:lineRule="auto"/>
        <w:rPr>
          <w:sz w:val="20"/>
          <w:szCs w:val="20"/>
          <w:color w:val="auto"/>
        </w:rPr>
      </w:pPr>
      <w:r>
        <w:rPr>
          <w:rFonts w:ascii="Times New Roman" w:cs="Times New Roman" w:eastAsia="Times New Roman" w:hAnsi="Times New Roman"/>
          <w:sz w:val="20"/>
          <w:szCs w:val="20"/>
          <w:color w:val="auto"/>
        </w:rPr>
        <w:t>may offers to buy be accepted prior to the time the registration statement becomes effective. No offering of securities shall be made except by means of a prospectus meeting the requirements of Section 10 of the Securities Act of 1933, as amended.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This Current Report on Form 8-K contains forward-looking statements within the meaning of the “safe harbor” provisions of the United</w:t>
      </w:r>
    </w:p>
    <w:p>
      <w:pPr>
        <w:spacing w:after="0" w:line="204" w:lineRule="auto"/>
        <w:rPr>
          <w:sz w:val="20"/>
          <w:szCs w:val="20"/>
          <w:color w:val="auto"/>
        </w:rPr>
      </w:pPr>
      <w:r>
        <w:rPr>
          <w:rFonts w:ascii="Times New Roman" w:cs="Times New Roman" w:eastAsia="Times New Roman" w:hAnsi="Times New Roman"/>
          <w:sz w:val="20"/>
          <w:szCs w:val="20"/>
          <w:i w:val="1"/>
          <w:iCs w:val="1"/>
          <w:color w:val="auto"/>
        </w:rPr>
        <w:t>States Private Securities Litigation Reform Act of 1995, which reflect the Company’s current views with respect to, among other things, statements about the Offer and Consent Solicitation and entry into the Warrant Amendment. You can identify these forward-looking</w:t>
      </w:r>
    </w:p>
    <w:p>
      <w:pPr>
        <w:spacing w:after="0" w:line="211" w:lineRule="auto"/>
        <w:rPr>
          <w:sz w:val="20"/>
          <w:szCs w:val="20"/>
          <w:color w:val="auto"/>
        </w:rPr>
      </w:pPr>
      <w:r>
        <w:rPr>
          <w:rFonts w:ascii="Times New Roman" w:cs="Times New Roman" w:eastAsia="Times New Roman" w:hAnsi="Times New Roman"/>
          <w:sz w:val="20"/>
          <w:szCs w:val="20"/>
          <w:i w:val="1"/>
          <w:iCs w:val="1"/>
          <w:color w:val="auto"/>
        </w:rPr>
        <w:t>statements by the use of words such as “estimates,” “projected,” “expects,” “estimated,” “anticipates,” “forecasts,” “plans,” “intends,”</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i w:val="1"/>
          <w:iCs w:val="1"/>
          <w:color w:val="auto"/>
        </w:rPr>
        <w:t>“believes,” “seeks,” “may,” “will,” “would,” “future,” “propose,” “target,” “goal,” “objective,” “outlook” and variations of these words or similar expressions (or the negative versions of such words or expressions). Such forward-looking statements are subject to various risks</w:t>
      </w:r>
    </w:p>
    <w:p>
      <w:pPr>
        <w:spacing w:after="0" w:line="211" w:lineRule="auto"/>
        <w:rPr>
          <w:sz w:val="20"/>
          <w:szCs w:val="20"/>
          <w:color w:val="auto"/>
        </w:rPr>
      </w:pPr>
      <w:r>
        <w:rPr>
          <w:rFonts w:ascii="Times New Roman" w:cs="Times New Roman" w:eastAsia="Times New Roman" w:hAnsi="Times New Roman"/>
          <w:sz w:val="20"/>
          <w:szCs w:val="20"/>
          <w:i w:val="1"/>
          <w:iCs w:val="1"/>
          <w:color w:val="auto"/>
        </w:rPr>
        <w:t>and uncertainties. Accordingly, there are or will be important factors that could cause actual outcomes or results to differ materially from</w:t>
      </w:r>
    </w:p>
    <w:p>
      <w:pPr>
        <w:spacing w:after="0" w:line="215" w:lineRule="auto"/>
        <w:rPr>
          <w:sz w:val="20"/>
          <w:szCs w:val="20"/>
          <w:color w:val="auto"/>
        </w:rPr>
      </w:pPr>
      <w:r>
        <w:rPr>
          <w:rFonts w:ascii="Times New Roman" w:cs="Times New Roman" w:eastAsia="Times New Roman" w:hAnsi="Times New Roman"/>
          <w:sz w:val="19"/>
          <w:szCs w:val="19"/>
          <w:i w:val="1"/>
          <w:iCs w:val="1"/>
          <w:color w:val="auto"/>
        </w:rPr>
        <w:t>those indicated in these statements. The Company undertakes no obligation to publicly update or review any forward-looking statement, whether as a result of new information, future developments or otherwise. A further list and description of these risks, uncertainties and other</w:t>
      </w:r>
    </w:p>
    <w:p>
      <w:pPr>
        <w:spacing w:after="0" w:line="215" w:lineRule="auto"/>
        <w:rPr>
          <w:sz w:val="20"/>
          <w:szCs w:val="20"/>
          <w:color w:val="auto"/>
        </w:rPr>
      </w:pPr>
      <w:r>
        <w:rPr>
          <w:rFonts w:ascii="Times New Roman" w:cs="Times New Roman" w:eastAsia="Times New Roman" w:hAnsi="Times New Roman"/>
          <w:sz w:val="19"/>
          <w:szCs w:val="19"/>
          <w:i w:val="1"/>
          <w:iCs w:val="1"/>
          <w:color w:val="auto"/>
        </w:rPr>
        <w:t>factors can be found in the Company’s filings with the SEC, including the Company's Registration Statement on Form S-4, filed with the SEC on July 22, 2022, and Amendment No. 1 to the Company’s Annual Report on Form 10-K/A for the year ended December 31, 2021, filed with</w:t>
      </w:r>
    </w:p>
    <w:p>
      <w:pPr>
        <w:spacing w:after="0"/>
        <w:rPr>
          <w:sz w:val="20"/>
          <w:szCs w:val="20"/>
          <w:color w:val="auto"/>
        </w:rPr>
      </w:pPr>
      <w:r>
        <w:rPr>
          <w:rFonts w:ascii="Times New Roman" w:cs="Times New Roman" w:eastAsia="Times New Roman" w:hAnsi="Times New Roman"/>
          <w:sz w:val="20"/>
          <w:szCs w:val="20"/>
          <w:i w:val="1"/>
          <w:iCs w:val="1"/>
          <w:color w:val="auto"/>
        </w:rPr>
        <w:t>the SEC on July 7, 2022. These filings and subsequent filings are available online at www.sec.gov or on request from the Company.</w:t>
      </w:r>
    </w:p>
    <w:p>
      <w:pPr>
        <w:spacing w:after="0" w:line="163"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0"/>
          <w:szCs w:val="20"/>
          <w:b w:val="1"/>
          <w:bCs w:val="1"/>
          <w:color w:val="auto"/>
        </w:rPr>
        <w:t>Item 9.01.</w:t>
      </w:r>
      <w:r>
        <w:rPr>
          <w:sz w:val="20"/>
          <w:szCs w:val="20"/>
          <w:color w:val="auto"/>
        </w:rPr>
        <w:tab/>
      </w:r>
      <w:r>
        <w:rPr>
          <w:rFonts w:ascii="Times New Roman" w:cs="Times New Roman" w:eastAsia="Times New Roman" w:hAnsi="Times New Roman"/>
          <w:sz w:val="19"/>
          <w:szCs w:val="19"/>
          <w:b w:val="1"/>
          <w:bCs w:val="1"/>
          <w:color w:val="auto"/>
        </w:rPr>
        <w:t>Financial Statements and Exhibits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exhibits are being filed herewith:</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620" w:type="dxa"/>
            <w:vAlign w:val="bottom"/>
          </w:tcPr>
          <w:p>
            <w:pPr>
              <w:spacing w:after="0"/>
              <w:rPr>
                <w:sz w:val="24"/>
                <w:szCs w:val="24"/>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Exhibit No.</w:t>
            </w:r>
          </w:p>
        </w:tc>
        <w:tc>
          <w:tcPr>
            <w:tcW w:w="88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Description</w:t>
            </w:r>
          </w:p>
        </w:tc>
      </w:tr>
      <w:tr>
        <w:trPr>
          <w:trHeight w:val="203"/>
        </w:trPr>
        <w:tc>
          <w:tcPr>
            <w:tcW w:w="620" w:type="dxa"/>
            <w:vAlign w:val="bottom"/>
          </w:tcPr>
          <w:p>
            <w:pPr>
              <w:spacing w:after="0"/>
              <w:rPr>
                <w:sz w:val="17"/>
                <w:szCs w:val="17"/>
                <w:color w:val="auto"/>
              </w:rPr>
            </w:pPr>
          </w:p>
        </w:tc>
        <w:tc>
          <w:tcPr>
            <w:tcW w:w="1160" w:type="dxa"/>
            <w:vAlign w:val="bottom"/>
            <w:tcBorders>
              <w:top w:val="single" w:sz="8" w:color="auto"/>
            </w:tcBorders>
          </w:tcPr>
          <w:p>
            <w:pPr>
              <w:ind w:left="20"/>
              <w:spacing w:after="0" w:line="203" w:lineRule="exact"/>
              <w:rPr>
                <w:sz w:val="20"/>
                <w:szCs w:val="20"/>
                <w:color w:val="auto"/>
              </w:rPr>
            </w:pPr>
            <w:r>
              <w:rPr>
                <w:rFonts w:ascii="Times New Roman" w:cs="Times New Roman" w:eastAsia="Times New Roman" w:hAnsi="Times New Roman"/>
                <w:sz w:val="20"/>
                <w:szCs w:val="20"/>
                <w:color w:val="auto"/>
              </w:rPr>
              <w:t>99.1</w:t>
            </w:r>
          </w:p>
        </w:tc>
        <w:tc>
          <w:tcPr>
            <w:tcW w:w="640" w:type="dxa"/>
            <w:vAlign w:val="bottom"/>
          </w:tcPr>
          <w:p>
            <w:pPr>
              <w:spacing w:after="0"/>
              <w:rPr>
                <w:sz w:val="17"/>
                <w:szCs w:val="17"/>
                <w:color w:val="auto"/>
              </w:rPr>
            </w:pPr>
          </w:p>
        </w:tc>
        <w:tc>
          <w:tcPr>
            <w:tcW w:w="5120" w:type="dxa"/>
            <w:vAlign w:val="bottom"/>
            <w:tcBorders>
              <w:top w:val="single" w:sz="8" w:color="auto"/>
              <w:bottom w:val="single" w:sz="8" w:color="0000FF"/>
            </w:tcBorders>
          </w:tcPr>
          <w:p>
            <w:pPr>
              <w:spacing w:after="0" w:line="203" w:lineRule="exact"/>
              <w:rPr>
                <w:sz w:val="20"/>
                <w:szCs w:val="20"/>
                <w:color w:val="auto"/>
              </w:rPr>
            </w:pPr>
            <w:r>
              <w:rPr>
                <w:rFonts w:ascii="Times New Roman" w:cs="Times New Roman" w:eastAsia="Times New Roman" w:hAnsi="Times New Roman"/>
                <w:sz w:val="20"/>
                <w:szCs w:val="20"/>
                <w:color w:val="0000FF"/>
                <w:w w:val="98"/>
              </w:rPr>
              <w:t>Press Release of Perella Weinberg Partners, dated July 22, 2022.</w:t>
            </w:r>
          </w:p>
        </w:tc>
        <w:tc>
          <w:tcPr>
            <w:tcW w:w="3700" w:type="dxa"/>
            <w:vAlign w:val="bottom"/>
            <w:tcBorders>
              <w:top w:val="single" w:sz="8" w:color="auto"/>
            </w:tcBorders>
          </w:tcPr>
          <w:p>
            <w:pPr>
              <w:spacing w:after="0"/>
              <w:rPr>
                <w:sz w:val="17"/>
                <w:szCs w:val="17"/>
                <w:color w:val="auto"/>
              </w:rPr>
            </w:pPr>
          </w:p>
        </w:tc>
      </w:tr>
      <w:tr>
        <w:trPr>
          <w:trHeight w:val="283"/>
        </w:trPr>
        <w:tc>
          <w:tcPr>
            <w:tcW w:w="178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104</w:t>
            </w:r>
          </w:p>
        </w:tc>
        <w:tc>
          <w:tcPr>
            <w:tcW w:w="640" w:type="dxa"/>
            <w:vAlign w:val="bottom"/>
          </w:tcPr>
          <w:p>
            <w:pPr>
              <w:spacing w:after="0"/>
              <w:rPr>
                <w:sz w:val="24"/>
                <w:szCs w:val="24"/>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tc>
      </w:tr>
      <w:tr>
        <w:trPr>
          <w:trHeight w:val="1729"/>
        </w:trPr>
        <w:tc>
          <w:tcPr>
            <w:tcW w:w="6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512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193" w:lineRule="exact"/>
        <w:rPr>
          <w:sz w:val="20"/>
          <w:szCs w:val="20"/>
          <w:color w:val="auto"/>
        </w:rPr>
      </w:pPr>
    </w:p>
    <w:p>
      <w:pPr>
        <w:ind w:right="320" w:firstLine="648"/>
        <w:spacing w:after="0" w:line="233"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as amended, the Registrant has duly caused this report to be signed on its behalf by the undersigned hereunto duly authorized.</w:t>
      </w: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3540" w:type="dxa"/>
            <w:vAlign w:val="bottom"/>
          </w:tcPr>
          <w:p>
            <w:pPr>
              <w:spacing w:after="0"/>
              <w:rPr>
                <w:sz w:val="22"/>
                <w:szCs w:val="22"/>
                <w:color w:val="auto"/>
              </w:rPr>
            </w:pPr>
          </w:p>
        </w:tc>
        <w:tc>
          <w:tcPr>
            <w:tcW w:w="7680" w:type="dxa"/>
            <w:vAlign w:val="bottom"/>
            <w:gridSpan w:val="2"/>
          </w:tcPr>
          <w:p>
            <w:pPr>
              <w:ind w:left="2000"/>
              <w:spacing w:after="0"/>
              <w:rPr>
                <w:sz w:val="20"/>
                <w:szCs w:val="20"/>
                <w:color w:val="auto"/>
              </w:rPr>
            </w:pPr>
            <w:r>
              <w:rPr>
                <w:rFonts w:ascii="Times New Roman" w:cs="Times New Roman" w:eastAsia="Times New Roman" w:hAnsi="Times New Roman"/>
                <w:sz w:val="20"/>
                <w:szCs w:val="20"/>
                <w:color w:val="auto"/>
              </w:rPr>
              <w:t>PERELLA WEINBERG PARTNERS</w:t>
            </w:r>
          </w:p>
        </w:tc>
      </w:tr>
      <w:tr>
        <w:trPr>
          <w:trHeight w:val="258"/>
        </w:trPr>
        <w:tc>
          <w:tcPr>
            <w:tcW w:w="3540" w:type="dxa"/>
            <w:vAlign w:val="bottom"/>
          </w:tcPr>
          <w:p>
            <w:pPr>
              <w:spacing w:after="0"/>
              <w:rPr>
                <w:sz w:val="22"/>
                <w:szCs w:val="22"/>
                <w:color w:val="auto"/>
              </w:rPr>
            </w:pPr>
          </w:p>
        </w:tc>
        <w:tc>
          <w:tcPr>
            <w:tcW w:w="7680" w:type="dxa"/>
            <w:vAlign w:val="bottom"/>
            <w:gridSpan w:val="2"/>
          </w:tcPr>
          <w:p>
            <w:pPr>
              <w:ind w:left="2000"/>
              <w:spacing w:after="0"/>
              <w:rPr>
                <w:sz w:val="20"/>
                <w:szCs w:val="20"/>
                <w:color w:val="auto"/>
              </w:rPr>
            </w:pPr>
            <w:r>
              <w:rPr>
                <w:rFonts w:ascii="Times New Roman" w:cs="Times New Roman" w:eastAsia="Times New Roman" w:hAnsi="Times New Roman"/>
                <w:sz w:val="20"/>
                <w:szCs w:val="20"/>
                <w:color w:val="auto"/>
              </w:rPr>
              <w:t>(Registrant)</w:t>
            </w:r>
          </w:p>
        </w:tc>
      </w:tr>
      <w:tr>
        <w:trPr>
          <w:trHeight w:val="689"/>
        </w:trPr>
        <w:tc>
          <w:tcPr>
            <w:tcW w:w="3540" w:type="dxa"/>
            <w:vAlign w:val="bottom"/>
          </w:tcPr>
          <w:p>
            <w:pPr>
              <w:spacing w:after="0"/>
              <w:rPr>
                <w:sz w:val="20"/>
                <w:szCs w:val="20"/>
                <w:color w:val="auto"/>
              </w:rPr>
            </w:pPr>
            <w:r>
              <w:rPr>
                <w:rFonts w:ascii="Times New Roman" w:cs="Times New Roman" w:eastAsia="Times New Roman" w:hAnsi="Times New Roman"/>
                <w:sz w:val="20"/>
                <w:szCs w:val="20"/>
                <w:color w:val="auto"/>
              </w:rPr>
              <w:t>Date: July 22, 2022</w:t>
            </w:r>
          </w:p>
        </w:tc>
        <w:tc>
          <w:tcPr>
            <w:tcW w:w="2840" w:type="dxa"/>
            <w:vAlign w:val="bottom"/>
          </w:tcPr>
          <w:p>
            <w:pPr>
              <w:ind w:left="2000"/>
              <w:spacing w:after="0"/>
              <w:rPr>
                <w:sz w:val="20"/>
                <w:szCs w:val="20"/>
                <w:color w:val="auto"/>
              </w:rPr>
            </w:pPr>
            <w:r>
              <w:rPr>
                <w:rFonts w:ascii="Times New Roman" w:cs="Times New Roman" w:eastAsia="Times New Roman" w:hAnsi="Times New Roman"/>
                <w:sz w:val="20"/>
                <w:szCs w:val="20"/>
                <w:color w:val="auto"/>
              </w:rPr>
              <w:t>By:</w:t>
            </w:r>
          </w:p>
        </w:tc>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Gary Barancik</w:t>
            </w:r>
          </w:p>
        </w:tc>
      </w:tr>
      <w:tr>
        <w:trPr>
          <w:trHeight w:val="247"/>
        </w:trPr>
        <w:tc>
          <w:tcPr>
            <w:tcW w:w="3540" w:type="dxa"/>
            <w:vAlign w:val="bottom"/>
          </w:tcPr>
          <w:p>
            <w:pPr>
              <w:spacing w:after="0"/>
              <w:rPr>
                <w:sz w:val="21"/>
                <w:szCs w:val="21"/>
                <w:color w:val="auto"/>
              </w:rPr>
            </w:pPr>
          </w:p>
        </w:tc>
        <w:tc>
          <w:tcPr>
            <w:tcW w:w="2840" w:type="dxa"/>
            <w:vAlign w:val="bottom"/>
          </w:tcPr>
          <w:p>
            <w:pPr>
              <w:ind w:left="2000"/>
              <w:spacing w:after="0"/>
              <w:rPr>
                <w:sz w:val="20"/>
                <w:szCs w:val="20"/>
                <w:color w:val="auto"/>
              </w:rPr>
            </w:pPr>
            <w:r>
              <w:rPr>
                <w:rFonts w:ascii="Times New Roman" w:cs="Times New Roman" w:eastAsia="Times New Roman" w:hAnsi="Times New Roman"/>
                <w:sz w:val="20"/>
                <w:szCs w:val="20"/>
                <w:color w:val="auto"/>
              </w:rPr>
              <w:t>Name:</w:t>
            </w:r>
          </w:p>
        </w:tc>
        <w:tc>
          <w:tcPr>
            <w:tcW w:w="48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Gary Barancik</w:t>
            </w:r>
          </w:p>
        </w:tc>
      </w:tr>
      <w:tr>
        <w:trPr>
          <w:trHeight w:val="258"/>
        </w:trPr>
        <w:tc>
          <w:tcPr>
            <w:tcW w:w="3540" w:type="dxa"/>
            <w:vAlign w:val="bottom"/>
          </w:tcPr>
          <w:p>
            <w:pPr>
              <w:spacing w:after="0"/>
              <w:rPr>
                <w:sz w:val="22"/>
                <w:szCs w:val="22"/>
                <w:color w:val="auto"/>
              </w:rPr>
            </w:pPr>
          </w:p>
        </w:tc>
        <w:tc>
          <w:tcPr>
            <w:tcW w:w="2840" w:type="dxa"/>
            <w:vAlign w:val="bottom"/>
          </w:tcPr>
          <w:p>
            <w:pPr>
              <w:ind w:left="2000"/>
              <w:spacing w:after="0"/>
              <w:rPr>
                <w:sz w:val="20"/>
                <w:szCs w:val="20"/>
                <w:color w:val="auto"/>
              </w:rPr>
            </w:pPr>
            <w:r>
              <w:rPr>
                <w:rFonts w:ascii="Times New Roman" w:cs="Times New Roman" w:eastAsia="Times New Roman" w:hAnsi="Times New Roman"/>
                <w:sz w:val="20"/>
                <w:szCs w:val="20"/>
                <w:color w:val="auto"/>
              </w:rPr>
              <w:t>Title:</w:t>
            </w:r>
          </w:p>
        </w:tc>
        <w:tc>
          <w:tcPr>
            <w:tcW w:w="48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Chief Financial Officer</w:t>
            </w:r>
          </w:p>
        </w:tc>
      </w:tr>
    </w:tbl>
    <w:p>
      <w:pPr>
        <w:sectPr>
          <w:pgSz w:w="11900" w:h="16838" w:orient="portrait"/>
          <w:cols w:equalWidth="0" w:num="1">
            <w:col w:w="11240"/>
          </w:cols>
          <w:pgMar w:left="320" w:top="1395"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80010</wp:posOffset>
            </wp:positionV>
            <wp:extent cx="925830" cy="3511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2583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Perella Weinberg Partners Announces Commencement of Exchange Offer and Consent Solicitation Relating to Warrants</w:t>
      </w:r>
    </w:p>
    <w:p>
      <w:pPr>
        <w:spacing w:after="0" w:line="36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New York, NY, July 22, 2022 - Perella Weinberg Partners (the “Company” or “PWP”) (NASDAQ: PWP), a leading global independent advisory firm, today announced that it has commenced an exchange offer (the “Offer”) and consent solicitation (the “Consent Solicitation”) relating to its outstanding Public Warrants and Private Placement Warrants (each as defined below, and collectively, the "Warrants"), each whole Warrant exercisable for one share of Class A common stock, par value $0.0001 per share (“Class A Common Stock”), of the Company, at an exercise price of $11.50 per share. The purpose of the Offer and Consent Solicitation is to simplify the Company’s capital structure and reduce the potential dilutive impact of the Warrants.</w:t>
      </w:r>
    </w:p>
    <w:p>
      <w:pPr>
        <w:spacing w:after="0" w:line="147"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The Offer is being made to all holders of the Company’s Warrants, consisting of (i) the Warrants sold as part of the units in FinTech Acquisition Corp. IV’s (“FTIV”) initial public offering of FTIV’s securities on September 29, 2020 (“IPO”) (whether they were purchased in the IPO or thereafter in the open market) (the “Public Warrants”) and (ii) the Warrants sold as part of the units in a private placement that occurred simultaneously with the IPO (the “Private Placement Warrants”). The Company is offering to all holders of the Warrants the opportunity to receive 0.20 shares of Class A Common Stock in exchange for each Warrant tendered by the holder and exchanged pursuant to the Offer. Pursuant to the Offer, the Company is offering up to an aggregate of 1,573,995 shares of its Class A Common Stock in exchange for the Warrants.</w:t>
      </w:r>
    </w:p>
    <w:p>
      <w:pPr>
        <w:spacing w:after="0" w:line="142"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Concurrently with the Offer, the Company is also soliciting consents from holders of the Public Warrants to amend the warrant agreement that governs all of the Warrants (the “Warrant Agreement”) to permit the Company to require that each Warrant (including each Private Placement Warrant) that is outstanding upon the closing of the Offer be converted into 0.18 shares of Class A Common Stock, which is a ratio 10% less than the exchange ratio applicable to the Offer (such amendment, the “Warrant Amendment”). Pursuant to the terms of the Warrant Agreement, all except certain specified modifications or amendments require the vote or written consent of holders of at least 65% of the outstanding Public Warrants. Accordingly, the adoption of the Warrant Amendment will require the consent of holders of at least 65% of the outstanding Public Warrants. Parties representing approximately 45.9% of the Public Warrants have agreed to tender their Warrants in the Offer and to consent to the Warrant Amendment in the Consent Solicitation, pursuant to a tender and support agreement. Accordingly, if holders of an additional approximately 19.1% of the outstanding Public Warrants consent to the Warrant Amendment in the Consent Solicitation, and the other conditions of the Offer are satisfied or waived, then the Warrant Amendment will be adopted. The offering period will expire at one minute after 11:59 p.m., Eastern Standard Time, on August 18, 2022, or such later time and date to which the Company may extend (the “Expiration Date”), as described in the Company’s Schedule TO and Prospectus/Offer to Exchange (each as defined below). Tendered Warrants may be withdrawn by holders at any time prior to the Expiration Date. The Company’s obligation to complete the Offer is not conditioned on the tender of a minimum amount of Warrants.</w:t>
      </w:r>
    </w:p>
    <w:p>
      <w:pPr>
        <w:spacing w:after="0" w:line="155"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The Offer and Consent Solicitation are being made pursuant to a Prospectus/Offer to Exchange, dated July 22, 2022 (the “Prospectus/Offer to Exchange”), and Schedule TO, dated July 22, 2022 (the “Schedule TO”), each of which have been filed with the U.S. Securities and Exchange Commission (“SEC”) and more fully set forth the terms and conditions of the Offer and Consent Solicitation.</w:t>
      </w:r>
    </w:p>
    <w:p>
      <w:pPr>
        <w:sectPr>
          <w:pgSz w:w="11900" w:h="16838" w:orient="portrait"/>
          <w:cols w:equalWidth="0" w:num="1">
            <w:col w:w="11240"/>
          </w:cols>
          <w:pgMar w:left="320" w:top="104" w:right="339" w:bottom="1440" w:gutter="0" w:footer="0" w:header="0"/>
        </w:sectPr>
      </w:pPr>
    </w:p>
    <w:bookmarkStart w:id="5" w:name="page6"/>
    <w:bookmarkEnd w:id="5"/>
    <w:p>
      <w:pPr>
        <w:jc w:val="both"/>
        <w:spacing w:after="0" w:line="29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857250" cy="3257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857250" cy="325755"/>
                    </a:xfrm>
                    <a:prstGeom prst="rect">
                      <a:avLst/>
                    </a:prstGeom>
                    <a:noFill/>
                  </pic:spPr>
                </pic:pic>
              </a:graphicData>
            </a:graphic>
          </wp:anchor>
        </w:drawing>
        <w:t>The Company’s Class A Common Stock and its Public Warrants are listed on the Nasdaq Global Select Market under the symbols “PWP” and “PWPPW,” respectively. As of July 19, 2022, a total of 7,869,975 Warrants were outstanding, consisting of 7,666,642 Public Warrants and 203,333 Private Placement Warrants.</w:t>
      </w:r>
    </w:p>
    <w:p>
      <w:pPr>
        <w:spacing w:after="0" w:line="13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has engaged Citigroup Global Markets Inc. as the Dealer Manager for the Offer and Consent Solicitation. Any questions or requests for assistance concerning the Offer and Consent Solicitation may be directed to Citigroup Global Markets Inc. at (212) 723-7914. D.F. King &amp; Co., Inc. has been appointed as the Information Agent for the Offer and Consent Solicitation, and American Stock Transfer &amp; Trust Company, LLC has been appointed as the Exchange Agent. Requests for documents should be directed to D.F. King &amp; Co., Inc. at (866) 342-4881 (for Warrant holders) or (212) 269-5550 (for banks and brokers) or via the following email address: pwp@dfking.com.</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PWP</w:t>
      </w:r>
    </w:p>
    <w:p>
      <w:pPr>
        <w:spacing w:after="0" w:line="212" w:lineRule="exact"/>
        <w:rPr>
          <w:sz w:val="20"/>
          <w:szCs w:val="20"/>
          <w:color w:val="auto"/>
        </w:rPr>
      </w:pPr>
    </w:p>
    <w:p>
      <w:pPr>
        <w:jc w:val="both"/>
        <w:spacing w:after="0" w:line="294" w:lineRule="auto"/>
        <w:rPr>
          <w:sz w:val="20"/>
          <w:szCs w:val="20"/>
          <w:color w:val="auto"/>
        </w:rPr>
      </w:pPr>
      <w:r>
        <w:rPr>
          <w:rFonts w:ascii="Arial" w:cs="Arial" w:eastAsia="Arial" w:hAnsi="Arial"/>
          <w:sz w:val="18"/>
          <w:szCs w:val="18"/>
          <w:color w:val="auto"/>
        </w:rPr>
        <w:t>Perella Weinberg Partners is a leading global independent advisory firm, providing strategic and financial advice to a broad client base, including corporations, institutions, governments, sovereign wealth funds, and the financial sponsor community. The firm offers a wide range of advisory services to clients in the most active industry sectors and global markets. With approximately 600 employees, PWP currently maintains offices in New York, Houston, London, Calgary, Chicago, Denver, Los Angeles, Paris, Munich, and San Francisco.</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Additional Information Has Been Filed with the SEC</w:t>
      </w:r>
    </w:p>
    <w:p>
      <w:pPr>
        <w:spacing w:after="0" w:line="212" w:lineRule="exact"/>
        <w:rPr>
          <w:sz w:val="20"/>
          <w:szCs w:val="20"/>
          <w:color w:val="auto"/>
        </w:rPr>
      </w:pPr>
    </w:p>
    <w:p>
      <w:pPr>
        <w:jc w:val="both"/>
        <w:spacing w:after="0" w:line="298" w:lineRule="auto"/>
        <w:rPr>
          <w:sz w:val="20"/>
          <w:szCs w:val="20"/>
          <w:color w:val="auto"/>
        </w:rPr>
      </w:pPr>
      <w:r>
        <w:rPr>
          <w:rFonts w:ascii="Arial" w:cs="Arial" w:eastAsia="Arial" w:hAnsi="Arial"/>
          <w:sz w:val="17"/>
          <w:szCs w:val="17"/>
          <w:color w:val="auto"/>
        </w:rPr>
        <w:t>The Offer described in this press release commenced on July 22, 2022. On July 22, 2022, a registration statement on Form S-4 and an exchange offer statement on Schedule TO, including an offer to exchange, a letter of transmittal and consent and related documents, were filed with the SEC by PWP. The offer to exchange the outstanding Warrants of PWP will only be made pursuant to the Prospectus/Offer to Exchange and Schedule TO, including related documents filed as a part of the exchange offer. INVESTORS AND SECURITY HOLDERS ARE URGED TO READ THE PROSPECTUS/OFFER TO EXCHANGE AND SCHEDULE TO FILED OR TO BE FILED WITH THE SEC CAREFULLY, AS THEY MAY BE AMENDED OR SUPPLEMENTED FROM TIME TO TIME, BECAUSE THEY CONTAIN OR WILL CONTAIN IMPORTANT INFORMATION THAT INVESTORS AND SECURITY HOLDERS SHOULD CONSIDER BEFORE MAKING ANY DECISION REGARDING THE EXCHANGE OFFER, INCLUDING THE TERMS AND CONDITIONS OF THE EXCHANGE OFFER. Investors and security holders may obtain a free copy of these statements (when available) and other documents filed with the SEC at the website maintained by the SEC at www.sec.gov or by directing such requests to D.F. King &amp; Co., Inc. at (866) 342-4881 (for Warrant holders) or (212) 269-5550 (for banks and brokers) or via the following email address: pwp@dfking.com. Investors and security holders may also obtain, at no charge, the documents filed or furnished to the SEC by PWP under the “Investors” section of PWP's website at investors.pwpartners.com.</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This press release shall not constitute an offer to exchange or the solicitation of an offer to exchange or the solicitation of an offer to purchase any securities, nor shall there be any exchange or sale of securities in any jurisdiction in which such offer, solicitation or sale would be unlawful prior to registration or qualification under the securities laws of any such jurisdiction. A registration statement on Form S-4 relating to the securities to be issued in the Offer has been filed with the SEC but has not yet become effective. Such securities may not be sold nor may offers to buy be accepted prior to the time the</w:t>
      </w:r>
    </w:p>
    <w:p>
      <w:pPr>
        <w:sectPr>
          <w:pgSz w:w="11900" w:h="16838" w:orient="portrait"/>
          <w:cols w:equalWidth="0" w:num="1">
            <w:col w:w="11240"/>
          </w:cols>
          <w:pgMar w:left="320" w:top="1430" w:right="339" w:bottom="1440" w:gutter="0" w:footer="0" w:header="0"/>
        </w:sectPr>
      </w:pPr>
    </w:p>
    <w:bookmarkStart w:id="6" w:name="page7"/>
    <w:bookmarkEnd w:id="6"/>
    <w:p>
      <w:pPr>
        <w:jc w:val="both"/>
        <w:spacing w:after="0" w:line="29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857250" cy="3257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857250" cy="325755"/>
                    </a:xfrm>
                    <a:prstGeom prst="rect">
                      <a:avLst/>
                    </a:prstGeom>
                    <a:noFill/>
                  </pic:spPr>
                </pic:pic>
              </a:graphicData>
            </a:graphic>
          </wp:anchor>
        </w:drawing>
        <w:t>registration statement becomes effective. The Offer and Consent Solicitation are being made only through the Schedule TO and Prospectus/Offer to Exchange, and the complete terms and conditions of the Offer and Consent Solicitation are set forth in the Schedule TO and Prospectus/Offer to Exchange.</w:t>
      </w:r>
    </w:p>
    <w:p>
      <w:pPr>
        <w:spacing w:after="0" w:line="136"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None of the Company, any of its management or its board of directors, or the Information Agent, the Exchange Agent or the Dealer Manager makes any recommendation as to whether or not holders of Warrants should tender Warrants for exchange in the Offer or consent to the Warrant Amendment in the Consent Solicitation.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14" w:lineRule="exact"/>
        <w:rPr>
          <w:sz w:val="20"/>
          <w:szCs w:val="20"/>
          <w:color w:val="auto"/>
        </w:rPr>
      </w:pPr>
    </w:p>
    <w:p>
      <w:pPr>
        <w:jc w:val="both"/>
        <w:spacing w:after="0" w:line="280" w:lineRule="auto"/>
        <w:rPr>
          <w:sz w:val="20"/>
          <w:szCs w:val="20"/>
          <w:color w:val="auto"/>
        </w:rPr>
      </w:pPr>
      <w:r>
        <w:rPr>
          <w:rFonts w:ascii="Arial" w:cs="Arial" w:eastAsia="Arial" w:hAnsi="Arial"/>
          <w:sz w:val="18"/>
          <w:szCs w:val="18"/>
          <w:i w:val="1"/>
          <w:iCs w:val="1"/>
          <w:color w:val="auto"/>
        </w:rPr>
        <w:t>This press release contains forward-looking statements within the meaning of the “safe harbor” provisions of the United States Private Securities Litigation Reform Act of 1995, which reflect the Company’s current views with respect to, among other things, statements about the consummation of the Offer and Consent Solicitation, the entry into the Warrant Amendment and the effects of the Offer on the Company’s capital structure. You can identify these forward-looking statements by the use of words such as “estimates,” “projected,” “expects,” “estimated,” “anticipates,” “forecasts,” “plans,” “intends,” “believes,” “seeks,” “may,” “will,” “would,” “future,” “propose,” “target,” “goal,” “objective,” “outlook” and variations of these words or similar expressions (or the negative versions of such words or expressions). Such forward-looking statements are subject to various risks and uncertainties. Accordingly, there are or will be important factors that could cause actual outcomes or results to differ materially from those indicated in these statements. We undertake no obligation to publicly update or review any forward-looking statement, whether as a result of new information, future developments or otherwise. A further list and description of these risks, uncertainties and other factors can be found in the Company’s filings with the SEC, including the Company's Registration Statement on Form S-4, filed with the SEC on July 22, 2022, and Amendment No. 1 to the Company’s Annual Report on Form 10-K/A for the year ended December 31, 2021, filed with the SEC on July 7, 2022. These filings and subsequent filings are available online at www.sec.gov or on request from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For Perella Weinberg Partners Investor Relations: investors@pwpartners.com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 Perella Weinberg Partners Media: media@pwpartners.com</w:t>
      </w:r>
    </w:p>
    <w:sectPr>
      <w:pgSz w:w="11900" w:h="16838" w:orient="portrait"/>
      <w:cols w:equalWidth="0" w:num="1">
        <w:col w:w="11240"/>
      </w:cols>
      <w:pgMar w:left="320" w:top="143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2022-07-22T07:17:45Z</dcterms:created>
  <dcterms:modified xsi:type="dcterms:W3CDTF">2022-07-22T07:17:45Z</dcterms:modified>
</cp:coreProperties>
</file>