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3</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July 26, 2021)</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Registration No. 333-257924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-1899920</wp:posOffset>
            </wp:positionH>
            <wp:positionV relativeFrom="paragraph">
              <wp:posOffset>168910</wp:posOffset>
            </wp:positionV>
            <wp:extent cx="175704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90868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400" w:space="720"/>
            <w:col w:w="3840"/>
          </w:cols>
          <w:pgMar w:left="440" w:top="229"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Perella Weinberg Partners</w:t>
      </w: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70,364,353 Shares of Class A Common Stock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203,333 Warrants to Purchase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243205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left="440"/>
        <w:spacing w:after="0"/>
        <w:rPr>
          <w:sz w:val="20"/>
          <w:szCs w:val="20"/>
          <w:color w:val="auto"/>
        </w:rPr>
      </w:pPr>
      <w:r>
        <w:rPr>
          <w:rFonts w:ascii="Arial" w:cs="Arial" w:eastAsia="Arial" w:hAnsi="Arial"/>
          <w:sz w:val="17"/>
          <w:szCs w:val="17"/>
          <w:color w:val="auto"/>
        </w:rPr>
        <w:t>This prospectus supplement is being filed to update and supplement the information contained in the prospectus dated July 26, 2021 (the</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related to: (1) the issuance by us of up to 7,870,000 shares of our Class A common stock, par value $0.0001 per share (“</w:t>
      </w:r>
      <w:r>
        <w:rPr>
          <w:rFonts w:ascii="Arial" w:cs="Arial" w:eastAsia="Arial" w:hAnsi="Arial"/>
          <w:sz w:val="16"/>
          <w:szCs w:val="16"/>
          <w:u w:val="single" w:color="auto"/>
          <w:color w:val="auto"/>
        </w:rPr>
        <w:t>Class A common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 that may be issued upon exercise of warrants to purchase Class A common stock at an exercise price of $11.50 per share of Class A common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stock, including the public warrants and the private placement warrants (each as defined below); and (2) the offer and sale, from time to time, by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selling holders identified in this prospectus (the “</w:t>
      </w:r>
      <w:r>
        <w:rPr>
          <w:rFonts w:ascii="Arial" w:cs="Arial" w:eastAsia="Arial" w:hAnsi="Arial"/>
          <w:sz w:val="16"/>
          <w:szCs w:val="16"/>
          <w:u w:val="single" w:color="auto"/>
          <w:color w:val="auto"/>
        </w:rPr>
        <w:t>Selling Holders</w:t>
      </w:r>
      <w:r>
        <w:rPr>
          <w:rFonts w:ascii="Arial" w:cs="Arial" w:eastAsia="Arial" w:hAnsi="Arial"/>
          <w:sz w:val="16"/>
          <w:szCs w:val="16"/>
          <w:color w:val="auto"/>
        </w:rPr>
        <w:t>”), or their permitted transferees, of (i) up to 70,364,353 shares of Class A common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stock and (ii) up to 203,333 warrants (as defined below), with certain information contained in our Registration Statement on Form S-1 (File</w:t>
      </w:r>
    </w:p>
    <w:p>
      <w:pPr>
        <w:spacing w:after="0" w:line="21" w:lineRule="exact"/>
        <w:rPr>
          <w:sz w:val="24"/>
          <w:szCs w:val="24"/>
          <w:color w:val="auto"/>
        </w:rPr>
      </w:pPr>
    </w:p>
    <w:p>
      <w:pPr>
        <w:ind w:right="100"/>
        <w:spacing w:after="0" w:line="260" w:lineRule="auto"/>
        <w:rPr>
          <w:sz w:val="20"/>
          <w:szCs w:val="20"/>
          <w:color w:val="auto"/>
        </w:rPr>
      </w:pPr>
      <w:r>
        <w:rPr>
          <w:rFonts w:ascii="Arial" w:cs="Arial" w:eastAsia="Arial" w:hAnsi="Arial"/>
          <w:sz w:val="18"/>
          <w:szCs w:val="18"/>
          <w:color w:val="auto"/>
        </w:rPr>
        <w:t>No. 333-261785)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on December 21, 2021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Accordingly, we have attached the relevant information from the Registration Statement to this prospectus supplement.</w:t>
      </w:r>
    </w:p>
    <w:p>
      <w:pPr>
        <w:spacing w:after="0" w:line="185" w:lineRule="exact"/>
        <w:rPr>
          <w:sz w:val="24"/>
          <w:szCs w:val="24"/>
          <w:color w:val="auto"/>
        </w:rPr>
      </w:pPr>
    </w:p>
    <w:p>
      <w:pPr>
        <w:ind w:right="40" w:firstLine="440"/>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Our Class A common stock and warrants are traded on the Nasdaq Global Select Market under the symbols “PWP” and “PWPPW,” respectively.</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On December 17, 2021, the closing price of our Class A common stock was $12.42 per share and the closing price of our warrants was $3.35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252095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right="34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w:t>
      </w:r>
      <w:r>
        <w:rPr>
          <w:rFonts w:ascii="Arial" w:cs="Arial" w:eastAsia="Arial" w:hAnsi="Arial"/>
          <w:sz w:val="22"/>
          <w:szCs w:val="22"/>
          <w:b w:val="1"/>
          <w:bCs w:val="1"/>
          <w:i w:val="1"/>
          <w:iCs w:val="1"/>
          <w:color w:val="auto"/>
        </w:rPr>
        <w:t>ee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w:t>
      </w:r>
      <w:hyperlink r:id="rId11">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beginning on page 42 of the Prospectus and in any applicable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206375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360" w:firstLine="440"/>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passed upon the adequacy or accuracy of the Prospectus or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186055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supplement is December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300355</wp:posOffset>
            </wp:positionV>
            <wp:extent cx="699516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type w:val="continuous"/>
        </w:sectPr>
      </w:pPr>
    </w:p>
    <w:bookmarkStart w:id="1" w:name="page2"/>
    <w:bookmarkEnd w:id="1"/>
    <w:p>
      <w:pPr>
        <w:ind w:right="320"/>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section entitled “Prospectus Summary,” the fourth paragraph on page 17 of the Prospectus is replaced with the following excerpt from the Registration Statement:</w:t>
      </w:r>
    </w:p>
    <w:p>
      <w:pPr>
        <w:spacing w:after="0" w:line="58" w:lineRule="exact"/>
        <w:rPr>
          <w:sz w:val="20"/>
          <w:szCs w:val="20"/>
          <w:color w:val="auto"/>
        </w:rPr>
      </w:pPr>
    </w:p>
    <w:p>
      <w:pPr>
        <w:ind w:right="2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Firm Investments Including Special Purpose Acquisition Companies: </w:t>
      </w:r>
      <w:r>
        <w:rPr>
          <w:rFonts w:ascii="Arial" w:cs="Arial" w:eastAsia="Arial" w:hAnsi="Arial"/>
          <w:sz w:val="17"/>
          <w:szCs w:val="17"/>
          <w:color w:val="auto"/>
        </w:rPr>
        <w:t>We have a relationship with the sponsor of PWP Forward Acquisition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 I (“</w:t>
      </w:r>
      <w:r>
        <w:rPr>
          <w:rFonts w:ascii="Arial" w:cs="Arial" w:eastAsia="Arial" w:hAnsi="Arial"/>
          <w:sz w:val="17"/>
          <w:szCs w:val="17"/>
          <w:u w:val="single" w:color="auto"/>
          <w:color w:val="auto"/>
        </w:rPr>
        <w:t>PFAC</w:t>
      </w:r>
      <w:r>
        <w:rPr>
          <w:rFonts w:ascii="Arial" w:cs="Arial" w:eastAsia="Arial" w:hAnsi="Arial"/>
          <w:sz w:val="17"/>
          <w:szCs w:val="17"/>
          <w:color w:val="auto"/>
        </w:rPr>
        <w:t>”), a special purpose acquisition company (“</w:t>
      </w:r>
      <w:r>
        <w:rPr>
          <w:rFonts w:ascii="Arial" w:cs="Arial" w:eastAsia="Arial" w:hAnsi="Arial"/>
          <w:sz w:val="17"/>
          <w:szCs w:val="17"/>
          <w:u w:val="single" w:color="auto"/>
          <w:color w:val="auto"/>
        </w:rPr>
        <w:t>SPAC</w:t>
      </w:r>
      <w:r>
        <w:rPr>
          <w:rFonts w:ascii="Arial" w:cs="Arial" w:eastAsia="Arial" w:hAnsi="Arial"/>
          <w:sz w:val="17"/>
          <w:szCs w:val="17"/>
          <w:color w:val="auto"/>
        </w:rPr>
        <w:t>”) that was formed to 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 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r>
        <w:rPr>
          <w:rFonts w:ascii="Arial" w:cs="Arial" w:eastAsia="Arial" w:hAnsi="Arial"/>
          <w:sz w:val="17"/>
          <w:szCs w:val="17"/>
          <w:b w:val="1"/>
          <w:bCs w:val="1"/>
          <w:i w:val="1"/>
          <w:iCs w:val="1"/>
          <w:color w:val="auto"/>
        </w:rPr>
        <w:t>.</w:t>
      </w:r>
    </w:p>
    <w:p>
      <w:pPr>
        <w:spacing w:after="0" w:line="281"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u w:val="single" w:color="auto"/>
          <w:color w:val="auto"/>
        </w:rPr>
        <w:t>Under the section entitled “Risk Factors,” the risk factor entitled “We may enter into new lines of business which may result in additional risks and uncertainties in our business” on pages 56-57 of the Prospectus is replaced with the following risk factor from the Registration Statement: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enter into new lines of business which may result in additional risks and uncertainties in our business.</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177" w:lineRule="exact"/>
        <w:rPr>
          <w:sz w:val="20"/>
          <w:szCs w:val="20"/>
          <w:color w:val="auto"/>
        </w:rPr>
      </w:pPr>
    </w:p>
    <w:p>
      <w:pPr>
        <w:ind w:right="180" w:firstLine="440"/>
        <w:spacing w:after="0" w:line="271" w:lineRule="auto"/>
        <w:rPr>
          <w:sz w:val="20"/>
          <w:szCs w:val="20"/>
          <w:color w:val="auto"/>
        </w:rPr>
      </w:pPr>
      <w:r>
        <w:rPr>
          <w:rFonts w:ascii="Arial" w:cs="Arial" w:eastAsia="Arial" w:hAnsi="Arial"/>
          <w:sz w:val="17"/>
          <w:szCs w:val="17"/>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Arial" w:cs="Arial" w:eastAsia="Arial" w:hAnsi="Arial"/>
          <w:sz w:val="17"/>
          <w:szCs w:val="17"/>
          <w:i w:val="1"/>
          <w:iCs w:val="1"/>
          <w:color w:val="auto"/>
        </w:rPr>
        <w:t>Risks Related to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Business—Our failure to deal appropriately with actual, potential or perceived conflicts of interest could damage our reputation and materially adversely affect our business</w:t>
      </w:r>
      <w:r>
        <w:rPr>
          <w:rFonts w:ascii="Arial" w:cs="Arial" w:eastAsia="Arial" w:hAnsi="Arial"/>
          <w:sz w:val="17"/>
          <w:szCs w:val="17"/>
          <w:color w:val="auto"/>
        </w:rPr>
        <w:t>” above.</w:t>
      </w:r>
    </w:p>
    <w:p>
      <w:pPr>
        <w:spacing w:after="0" w:line="17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In addition, PFAC is a special purpose acquisition company that is related to us, and is sponsored by us, our partners, employees and other investors who have a relationship with us. If PFAC, or any other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 with existing or potential clients of our advisory business, which could affect our ability to obtain certain client engagements and have an adverse effect on our business, financial condition and results of operations.</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may in the future also invest in companies, including our clients, or enter into new business lines,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ectPr>
          <w:pgSz w:w="11900" w:h="16838" w:orient="portrait"/>
          <w:cols w:equalWidth="0" w:num="1">
            <w:col w:w="11000"/>
          </w:cols>
          <w:pgMar w:left="440" w:top="270" w:right="459" w:bottom="1440" w:gutter="0" w:footer="0" w:header="0"/>
        </w:sectPr>
      </w:pPr>
    </w:p>
    <w:bookmarkStart w:id="2" w:name="page3"/>
    <w:bookmarkEnd w:id="2"/>
    <w:p>
      <w:pPr>
        <w:ind w:left="4"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Under the section entitled “Business,” the second paragraph on page 114 of the Prospectus is replaced with the following excerpt from the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Registration Statement:</w:t>
      </w:r>
    </w:p>
    <w:p>
      <w:pPr>
        <w:spacing w:after="0" w:line="103" w:lineRule="exact"/>
        <w:rPr>
          <w:sz w:val="20"/>
          <w:szCs w:val="20"/>
          <w:color w:val="auto"/>
        </w:rPr>
      </w:pPr>
    </w:p>
    <w:p>
      <w:pPr>
        <w:ind w:left="4" w:right="160" w:firstLine="440"/>
        <w:spacing w:after="0" w:line="293" w:lineRule="auto"/>
        <w:rPr>
          <w:sz w:val="20"/>
          <w:szCs w:val="20"/>
          <w:color w:val="auto"/>
        </w:rPr>
      </w:pPr>
      <w:r>
        <w:rPr>
          <w:rFonts w:ascii="Arial" w:cs="Arial" w:eastAsia="Arial" w:hAnsi="Arial"/>
          <w:sz w:val="16"/>
          <w:szCs w:val="16"/>
          <w:b w:val="1"/>
          <w:bCs w:val="1"/>
          <w:i w:val="1"/>
          <w:iCs w:val="1"/>
          <w:color w:val="auto"/>
        </w:rPr>
        <w:t xml:space="preserve">Firm Investments Including Special Purpose Acquisition Companies: </w:t>
      </w:r>
      <w:r>
        <w:rPr>
          <w:rFonts w:ascii="Arial" w:cs="Arial" w:eastAsia="Arial" w:hAnsi="Arial"/>
          <w:sz w:val="16"/>
          <w:szCs w:val="16"/>
          <w:color w:val="auto"/>
        </w:rPr>
        <w:t>We have a relationship with the sponsor of PFAC, a SPAC that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formed to 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 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268" w:lineRule="exact"/>
        <w:rPr>
          <w:sz w:val="20"/>
          <w:szCs w:val="20"/>
          <w:color w:val="auto"/>
        </w:rPr>
      </w:pPr>
    </w:p>
    <w:p>
      <w:pPr>
        <w:ind w:left="4" w:right="680"/>
        <w:spacing w:after="0" w:line="282" w:lineRule="auto"/>
        <w:rPr>
          <w:sz w:val="20"/>
          <w:szCs w:val="20"/>
          <w:color w:val="auto"/>
        </w:rPr>
      </w:pPr>
      <w:r>
        <w:rPr>
          <w:rFonts w:ascii="Arial" w:cs="Arial" w:eastAsia="Arial" w:hAnsi="Arial"/>
          <w:sz w:val="18"/>
          <w:szCs w:val="18"/>
          <w:b w:val="1"/>
          <w:bCs w:val="1"/>
          <w:u w:val="single" w:color="auto"/>
          <w:color w:val="auto"/>
        </w:rPr>
        <w:t>The section entitled “Executive Compensation” on pages 144-153 of the Prospectus is replaced in its entirety by the following Executive Compensation section from the Registration Statement:</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This section describes the executive compensation of our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for the periods presented below based on the reduced executive compensation disclosure requirements applicable to emerging growth companies.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Our NEOs for the fiscal year ended December 31, 2021 are:</w:t>
      </w:r>
    </w:p>
    <w:p>
      <w:pPr>
        <w:spacing w:after="0" w:line="131" w:lineRule="exact"/>
        <w:rPr>
          <w:sz w:val="20"/>
          <w:szCs w:val="20"/>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Peter A. Weinberg, Chief Executive Officer;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Dietrich Becker, Co-President;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Andrew Bednar, Co-President.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 Compensation Table for 2021</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summarizes the total compensation paid to or earned by each of our NEOs in the applicable year.</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5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92"/>
              </w:rPr>
              <w:t>Compensation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Principal Position</w:t>
            </w:r>
          </w:p>
        </w:tc>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60" w:type="dxa"/>
            <w:vAlign w:val="bottom"/>
          </w:tcPr>
          <w:p>
            <w:pPr>
              <w:spacing w:after="0"/>
              <w:rPr>
                <w:sz w:val="15"/>
                <w:szCs w:val="15"/>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160" w:type="dxa"/>
            <w:vAlign w:val="bottom"/>
          </w:tcPr>
          <w:p>
            <w:pPr>
              <w:spacing w:after="0"/>
              <w:rPr>
                <w:sz w:val="15"/>
                <w:szCs w:val="15"/>
                <w:color w:val="auto"/>
              </w:rPr>
            </w:pPr>
          </w:p>
        </w:tc>
        <w:tc>
          <w:tcPr>
            <w:tcW w:w="860" w:type="dxa"/>
            <w:vAlign w:val="bottom"/>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Peter A. Weinberg,</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2021</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500,000</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55,550,975</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10,500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56,061,475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500,000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4,500,000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513,728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5,522,278</w:t>
            </w:r>
          </w:p>
        </w:tc>
        <w:tc>
          <w:tcPr>
            <w:tcW w:w="0" w:type="dxa"/>
            <w:vAlign w:val="bottom"/>
          </w:tcPr>
          <w:p>
            <w:pPr>
              <w:spacing w:after="0"/>
              <w:rPr>
                <w:sz w:val="1"/>
                <w:szCs w:val="1"/>
                <w:color w:val="auto"/>
              </w:rPr>
            </w:pPr>
          </w:p>
        </w:tc>
      </w:tr>
      <w:tr>
        <w:trPr>
          <w:trHeight w:val="202"/>
        </w:trPr>
        <w:tc>
          <w:tcPr>
            <w:tcW w:w="5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Dietrich Becker,</w:t>
            </w:r>
          </w:p>
        </w:tc>
        <w:tc>
          <w:tcPr>
            <w:tcW w:w="68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2021</w:t>
            </w:r>
          </w:p>
        </w:tc>
        <w:tc>
          <w:tcPr>
            <w:tcW w:w="8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512,050</w:t>
            </w:r>
          </w:p>
        </w:tc>
        <w:tc>
          <w:tcPr>
            <w:tcW w:w="9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w w:val="93"/>
              </w:rPr>
              <w:t>41,228,122</w:t>
            </w:r>
          </w:p>
        </w:tc>
        <w:tc>
          <w:tcPr>
            <w:tcW w:w="10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20,482</w:t>
            </w:r>
          </w:p>
        </w:tc>
        <w:tc>
          <w:tcPr>
            <w:tcW w:w="9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3"/>
              </w:rPr>
              <w:t>41,760,654</w:t>
            </w:r>
          </w:p>
        </w:tc>
        <w:tc>
          <w:tcPr>
            <w:tcW w:w="0" w:type="dxa"/>
            <w:vAlign w:val="bottom"/>
          </w:tcPr>
          <w:p>
            <w:pPr>
              <w:spacing w:after="0"/>
              <w:rPr>
                <w:sz w:val="1"/>
                <w:szCs w:val="1"/>
                <w:color w:val="auto"/>
              </w:rPr>
            </w:pPr>
          </w:p>
        </w:tc>
      </w:tr>
      <w:tr>
        <w:trPr>
          <w:trHeight w:val="230"/>
        </w:trPr>
        <w:tc>
          <w:tcPr>
            <w:tcW w:w="5580" w:type="dxa"/>
            <w:vAlign w:val="bottom"/>
            <w:gridSpan w:val="2"/>
          </w:tcPr>
          <w:p>
            <w:pPr>
              <w:ind w:left="180"/>
              <w:spacing w:after="0"/>
              <w:rPr>
                <w:sz w:val="20"/>
                <w:szCs w:val="20"/>
                <w:color w:val="auto"/>
              </w:rPr>
            </w:pPr>
            <w:r>
              <w:rPr>
                <w:rFonts w:ascii="Arial" w:cs="Arial" w:eastAsia="Arial" w:hAnsi="Arial"/>
                <w:sz w:val="18"/>
                <w:szCs w:val="18"/>
                <w:i w:val="1"/>
                <w:iCs w:val="1"/>
                <w:color w:val="auto"/>
              </w:rPr>
              <w:t>Co-President(5)</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2020</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493,696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5,506,304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256,864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19,747</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6,276,611</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Andrew Bednar,</w:t>
            </w:r>
          </w:p>
        </w:tc>
        <w:tc>
          <w:tcPr>
            <w:tcW w:w="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500,000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39,416,139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39,926,639</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Co-President</w:t>
            </w:r>
          </w:p>
        </w:tc>
        <w:tc>
          <w:tcPr>
            <w:tcW w:w="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500,000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7,500,000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349,335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8,357,885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shown in this column reflect the annual base salary earned by each of our NEOs during the applicable calendar year.</w:t>
      </w:r>
    </w:p>
    <w:p>
      <w:pPr>
        <w:sectPr>
          <w:pgSz w:w="11900" w:h="16838" w:orient="portrait"/>
          <w:cols w:equalWidth="0" w:num="1">
            <w:col w:w="11024"/>
          </w:cols>
          <w:pgMar w:left="436" w:top="274" w:right="439" w:bottom="1440" w:gutter="0" w:footer="0" w:header="0"/>
        </w:sectPr>
      </w:pPr>
    </w:p>
    <w:bookmarkStart w:id="3" w:name="page4"/>
    <w:bookmarkEnd w:id="3"/>
    <w:p>
      <w:pPr>
        <w:ind w:left="424" w:right="20" w:hanging="424"/>
        <w:spacing w:after="0" w:line="284"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Amounts shown in this column represent the bonuses paid to each of our NEOs in respect of performance during the applicable calendar year. For 2021, the cash portion of the bonuses payable to each of our NEOs cannot be finally determined as of the date of this prospectus. Our Compensation Committee is expected to determine the total amounts payable to our NEOs with respect to the cash portion of the bonuses on or before February 28, 2022, and we will file a Current Report on Form 8-K with this information when those amounts are determined. Our annual incentive bonuses are described in greater detail in the section entitled “—2021 Executive Compensation Elements—Annual Incentive Bonuses” below. The equity-based portion of our annual incentive bonuses for 2021 performance are expected to be granted on or before February 28, 2022, and in accordance with SEC rules, the grant date fair value of such awards will not be shown in the Summary Compensation Table for 2021 but will instead be included in the “Stock Awards” column of the Summary Compensation Table for 2022.</w:t>
      </w:r>
    </w:p>
    <w:p>
      <w:pPr>
        <w:ind w:left="424" w:right="100" w:hanging="424"/>
        <w:spacing w:after="0" w:line="281"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Amounts shown in this column represent the grant date fair value (or, to the extent of any modification, the incremental fair value), calculated in accordance with FASB ASC Topic 718, of the equity-based awards granted to our NEOs during the applicable calendar year. For 2021, the amounts shown in this column represent the sum of (i) the grant date fair value, calculated in accordance with FASB ASC Topic 718, of the performance-based restricted stock units (the “Management Awards”) granted to each of our NEOs in August 2021 in connection with the Business Combination and (ii) the incremental fair value, calculated in accordance with FASB ASC Topic 718, conveyed to our NEOs in connection with the cancellation of their legacy equity-based awards in Professional Partners and the replacement of such awards with a combination of original capital units (“OCUs”), VCUs and ACUs in connection with the reorganization of Professional Partners prior to the Business Combination (which will have no economic impact on PWP or PWP OpCo). For a summary of the assumptions used in the valuation of these equity-based awards and modifications, please see the Note “Equity-Based Compensation” to our condensed consolidated financial statements included in this prospectus. The Management Awards granted to our NEOs are described in greater detail in the section entitled “— 2021 Executive Compensation Elements—Management Awards” below. The cancellation of our NEO’s legacy equity-based awards in Professional Partners and the replacement of such awards with a combination of OCUs, VCUs and ACUs is described in greater detail below in the section entitled “—2021 Executive Compensation Elements —Reorganization of Professional Partners” below.</w:t>
      </w:r>
    </w:p>
    <w:p>
      <w:pPr>
        <w:spacing w:after="0" w:line="7" w:lineRule="exact"/>
        <w:rPr>
          <w:rFonts w:ascii="Arial" w:cs="Arial" w:eastAsia="Arial" w:hAnsi="Arial"/>
          <w:sz w:val="16"/>
          <w:szCs w:val="16"/>
          <w:color w:val="auto"/>
        </w:rPr>
      </w:pPr>
    </w:p>
    <w:p>
      <w:pPr>
        <w:ind w:left="424" w:right="60" w:hanging="424"/>
        <w:spacing w:after="0" w:line="265"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“—2021 Executive Compensation Elements—Retirement Arrangements” below.</w:t>
      </w:r>
    </w:p>
    <w:p>
      <w:pPr>
        <w:ind w:left="424" w:right="160" w:hanging="424"/>
        <w:spacing w:after="0" w:line="26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shown in this table for Mr. Becker, other than in the “Stock Awards” column, have been converted from pounds sterling to U.S. dollars using the exchange rates of approximately $1.28 and $1.33 for 2020 and 2021, respectively.</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2021 Executive Compensation Elements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of our NEOs was provided with the following material elements of compensation in 2021:</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We provide an annual base salary of $500,000 to each of our NEOs. Consistent with the practice in our industry, base salaries for our NEOs generally comprise a small portion of their total annual compensation. We did not increase the annual base salaries of our NEOs in connection with the Business Combination.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Annual Incentive Bonuses</w:t>
      </w:r>
    </w:p>
    <w:p>
      <w:pPr>
        <w:spacing w:after="0" w:line="11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Annual incentive bonuses are the key component of our short-term executive compensation strategy. We did not set specific performance targets upon which annual incentive bonuses would become payable for 2021. Instead, the annual incentive bonuses payable to our NEOs in respect of 2021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2021. For 2021, annual incentive bonuses are expected to be paid partly in cash and partly in restricted stock units granted under the Incentive Plan.</w:t>
      </w:r>
    </w:p>
    <w:p>
      <w:pPr>
        <w:sectPr>
          <w:pgSz w:w="11900" w:h="16838" w:orient="portrait"/>
          <w:cols w:equalWidth="0" w:num="1">
            <w:col w:w="11004"/>
          </w:cols>
          <w:pgMar w:left="436" w:top="274" w:right="459" w:bottom="1440" w:gutter="0" w:footer="0" w:header="0"/>
        </w:sectPr>
      </w:pPr>
    </w:p>
    <w:bookmarkStart w:id="4" w:name="page5"/>
    <w:bookmarkEnd w:id="4"/>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total cash portion of Messrs. Weinberg’s, Bednar’s and Becker’s anticipated annual incentive bonuses for 2021, and the equity-based portion of their annual incentive bonuses for 2021 performance, cannot be finally determined as of the date of this prospectus and will be paid to Messrs. Weinberg, Bednar and Becker when the final amounts of such annual incentive bonuses are determined by our Compensation Committee, which is expected to occur on or before February 28,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Arrangements</w:t>
      </w:r>
    </w:p>
    <w:p>
      <w:pPr>
        <w:spacing w:after="0" w:line="117"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but are not eligible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entered into employment agreements with each of Messrs. Weinberg, Becker and Bednar, pursuant to which they each continue to serve as our executive officers in their current positions following the Closing of the Business Combination. The employment agreements were approved by our compensation committee.</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also provide for one-time grants of equity awards pursuant to the Incentive Plan in the form of management awards, as described in “—Management Awards” below (the “Management Awards”). Either party is permitted to terminate the employment agreement at any time by providing 90 days’ advance written notice, provided that a NEO’s employment may be terminated immediately in the event of a termination for cause.</w:t>
      </w:r>
    </w:p>
    <w:p>
      <w:pPr>
        <w:spacing w:after="0" w:line="192"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Each employment agreement incorporates by reference the restrictive covenants applicable to the NEO, including the restrictive covenants set forth in the amended and restated limited partnership agreement of Professional Partners, as described in “—Reorganization of Professional Partners”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Pool Awards</w:t>
      </w:r>
    </w:p>
    <w:p>
      <w:pPr>
        <w:spacing w:after="0" w:line="117"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In connection with the Closing, a transaction pool of RSUs (the “Transaction Pool”) was created under the Incentive Plan and allocated to Working Partners, non-partner employees and certain other eligible recipients. The Transaction Pool is comprised of 10.2 million shares of our Class A common stock (the “Transaction Pool Share Reserve”). Pursuant to the approval of our Compensation Committee, we made one-time grants of RSUs out of the Transaction Pool Share Reserve equal to nearly the amount of the Transaction Pool in August 2021. Approximately 7.0 million shares were granted subject solely to a time-based vesting schedule, and approximately 3.2 million shares were granted subject to a time-based and performance-based vesting schedule. Our NEOs did not receive grants of RSUs under the Transaction Pool.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Awards</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w:t>
      </w:r>
    </w:p>
    <w:p>
      <w:pPr>
        <w:sectPr>
          <w:pgSz w:w="11900" w:h="16838" w:orient="portrait"/>
          <w:cols w:equalWidth="0" w:num="1">
            <w:col w:w="10980"/>
          </w:cols>
          <w:pgMar w:left="440" w:top="274" w:right="479" w:bottom="1440" w:gutter="0" w:footer="0" w:header="0"/>
        </w:sectPr>
      </w:pPr>
    </w:p>
    <w:bookmarkStart w:id="5" w:name="page6"/>
    <w:bookmarkEnd w:id="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Commencing in early 2021, representatives of FTIV and the Sponsor, including Daniel G. Cohen, resumed preliminary discussions with representatives of PWP about how to incentivize each of our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restricted stock unit award (the “Management Award”)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92"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Beginning in February 2021, the individuals who currently serve as our “independent directors” and as the members of our Compensation Committee (Jane C. Sherburne, Daniel G. Cohen, Jorma Ollila and Ivan G. Seidenberg), engaged Exequity LLP, an independent third-party compensation consultant (“Exequity”), and engaged in more than two months of work and held multiple working group and committee meetings to develop the expected terms of the Management Awards described in greater detail below. With assistance from Exequity, including alternatives prepared by Exequity based on market practice and peer group company analyses, Ms. Sherburne and the other members of our Compensation Committee engaged in extensive discussions covering the various considerations involved in granting the Management Awards, including: demonstrating a commitment to pay for performance through the use of at-risk performance-based incentives; the most effective way to structure an award that would align the interests of our NEO’s with other shareholders; and peer group company incentive structures, including peer group company examples of price-vesting stock awards.</w:t>
      </w:r>
    </w:p>
    <w:p>
      <w:pPr>
        <w:spacing w:after="0" w:line="19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our continued growth. The Compensation Committee incorporated this recommendation into the terms of the Management Awards described in greater detail below. In addition, in light of the Management Awards being contemplated by the Compensation Committee, each of Messrs. Weinberg, Becker and Bednar reallocated the transaction pool awards they would have otherwise been granted pursuant to the Transaction Pool, as described in greater detail below.</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As determined by the Compensation Committee, the primary objective of the one-time Management Awards that were granted in connection with the Closing of the Business Combination is to incentivize our NEOs and a small number of other partners recommended by Mr. Weinberg and determined in consultation with the compensation committee to continue the development of PWP and provide strong incentives to grow shareholder value. Specifically, the Management Awards are intended to:</w:t>
      </w:r>
    </w:p>
    <w:p>
      <w:pPr>
        <w:spacing w:after="0" w:line="92" w:lineRule="exact"/>
        <w:rPr>
          <w:sz w:val="20"/>
          <w:szCs w:val="20"/>
          <w:color w:val="auto"/>
        </w:rPr>
      </w:pPr>
    </w:p>
    <w:p>
      <w:pPr>
        <w:ind w:left="960" w:right="3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combine meaningful equity-based ownership levels and realizable pay opportunities, while keeping the program simple to understand, communicate and administer;</w:t>
      </w:r>
    </w:p>
    <w:p>
      <w:pPr>
        <w:spacing w:after="0" w:line="75" w:lineRule="exact"/>
        <w:rPr>
          <w:rFonts w:ascii="Arial" w:cs="Arial" w:eastAsia="Arial" w:hAnsi="Arial"/>
          <w:sz w:val="18"/>
          <w:szCs w:val="18"/>
          <w:color w:val="auto"/>
        </w:rPr>
      </w:pPr>
    </w:p>
    <w:p>
      <w:pPr>
        <w:ind w:left="960" w:right="5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display PWP’s commitment to performance through a long-term incentive program that is entirely at-risk if aggressive performance objectives are not met;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 substantive service-based vesting requirements to ensure long-term retention.</w:t>
      </w:r>
    </w:p>
    <w:p>
      <w:pPr>
        <w:spacing w:after="0" w:line="225"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As a result of the foregoing considerations, in connection with the Closing and in respect of their ongoing participation in the leadership and management of PWP following the Closing, Messrs. Weinberg, Becker and Bednar, as well as a small number of other partners as recommended by Mr. Weinberg in consultation with the Compensation Committee, received one-time grants of 9.5 million Management Awards in August 2021. The Management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w:t>
      </w:r>
    </w:p>
    <w:p>
      <w:pPr>
        <w:sectPr>
          <w:pgSz w:w="11900" w:h="16838" w:orient="portrait"/>
          <w:cols w:equalWidth="0" w:num="1">
            <w:col w:w="10980"/>
          </w:cols>
          <w:pgMar w:left="440" w:top="274" w:right="479" w:bottom="1440" w:gutter="0" w:footer="0" w:header="0"/>
        </w:sectPr>
      </w:pPr>
    </w:p>
    <w:bookmarkStart w:id="6" w:name="page7"/>
    <w:bookmarkEnd w:id="6"/>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achievement of closing stock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92"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“—Transaction Pool Awards” above. In connection with the finalization and implementation of the Management Awards, and as recommended by Mr. Weinberg, these transaction pool awards that would otherwise have been granted to Messrs. Weinberg, Becker and Bednar were returned to the Transaction Pool and were reallocated to other partners as recommended by Mr. Weinberg and determined in consultation with the compensation committee.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Professional Partners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187"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holding capital as of December 31, 2019, pro rata in accordance with their capital interests as of December 31, 2019, as adjusted for accretion and/or dilution through the Closing, and/or (b) VCUs, which are owned by Working Partners (subject to an approximately three to five-year vesting period) to the extent of capital interests accrued through the Closing that exceed the value of the OCUs, but subject to a cap intended to give effect to each Working Partner’s intended ending target ownership ratio. In addition, Professional Partners issued ACUs to Working Partners, including certain of PWP’s executive officers,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7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Subject to applicable law and the terms of the amended and restated limited partnership agreement of Professional Partners, PWP LLC will cause distributions that Professional Partners receives from PWP OpCo to be distributed to the partners pro rata in accordance with such Limited Partners’ respective ownership of each class of Professional Partners units, including any VCUs and ACUs.</w:t>
      </w:r>
    </w:p>
    <w:p>
      <w:pPr>
        <w:sectPr>
          <w:pgSz w:w="11900" w:h="16838" w:orient="portrait"/>
          <w:cols w:equalWidth="0" w:num="1">
            <w:col w:w="11000"/>
          </w:cols>
          <w:pgMar w:left="440" w:top="274" w:right="459" w:bottom="1440" w:gutter="0" w:footer="0" w:header="0"/>
        </w:sectPr>
      </w:pPr>
    </w:p>
    <w:bookmarkStart w:id="7" w:name="page8"/>
    <w:bookmarkEnd w:id="7"/>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PWP OpCo LPA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the Company for such shares in such offering), with the form of consideration determined by the Company.</w:t>
      </w:r>
    </w:p>
    <w:p>
      <w:pPr>
        <w:spacing w:after="0" w:line="19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Subject to certain exceptions, Professional Partners units held by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 year anniversary of the Closing. The lock-up generally restricts the sale, pledge, grant of any option, short sale or other disposition of any partnership units with respect to our advisory business, and the entrance into any hedging, swap or other agreement or transaction related to such partnership units. PWP LLC and the Company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16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Certain unvested equity interests of Professional Partners held by Limited Partners vested on the transaction date. In order to provide liquidity to such Limited Partners to fund the related tax liability, PWP OpCo made loans to such Limited Partners in an aggregate value of approximately $3 million. None of such Limited Partners was an executive officer or director of the Company.</w:t>
      </w:r>
    </w:p>
    <w:p>
      <w:pPr>
        <w:spacing w:after="0" w:line="184"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(as defined below),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ectPr>
          <w:pgSz w:w="11900" w:h="16838" w:orient="portrait"/>
          <w:cols w:equalWidth="0" w:num="1">
            <w:col w:w="11000"/>
          </w:cols>
          <w:pgMar w:left="440" w:top="274" w:right="459" w:bottom="1440" w:gutter="0" w:footer="0" w:header="0"/>
        </w:sectPr>
      </w:pPr>
    </w:p>
    <w:bookmarkStart w:id="8" w:name="page9"/>
    <w:bookmarkEnd w:id="8"/>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Equity Awards at Fiscal Year End for 2021</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summarizes the outstanding equity-based awards held by each of our NEOs as of December 31, 2021.</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Stock Awards</w:t>
            </w:r>
          </w:p>
        </w:tc>
        <w:tc>
          <w:tcPr>
            <w:tcW w:w="10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960" w:type="dxa"/>
            <w:vAlign w:val="bottom"/>
            <w:gridSpan w:val="2"/>
          </w:tcPr>
          <w:p>
            <w:pPr>
              <w:jc w:val="center"/>
              <w:ind w:right="866"/>
              <w:spacing w:after="0" w:line="119" w:lineRule="exact"/>
              <w:rPr>
                <w:sz w:val="20"/>
                <w:szCs w:val="20"/>
                <w:color w:val="auto"/>
              </w:rPr>
            </w:pPr>
            <w:r>
              <w:rPr>
                <w:rFonts w:ascii="Arial" w:cs="Arial" w:eastAsia="Arial" w:hAnsi="Arial"/>
                <w:sz w:val="13"/>
                <w:szCs w:val="13"/>
                <w:b w:val="1"/>
                <w:bCs w:val="1"/>
                <w:color w:val="auto"/>
              </w:rPr>
              <w:t>Number of</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 Value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960" w:type="dxa"/>
            <w:vAlign w:val="bottom"/>
            <w:gridSpan w:val="2"/>
          </w:tcPr>
          <w:p>
            <w:pPr>
              <w:jc w:val="center"/>
              <w:ind w:right="866"/>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960" w:type="dxa"/>
            <w:vAlign w:val="bottom"/>
            <w:gridSpan w:val="2"/>
          </w:tcPr>
          <w:p>
            <w:pPr>
              <w:jc w:val="center"/>
              <w:ind w:right="886"/>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of Stock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980" w:type="dxa"/>
            <w:vAlign w:val="bottom"/>
            <w:vMerge w:val="restart"/>
          </w:tcPr>
          <w:p>
            <w:pPr>
              <w:spacing w:after="0"/>
              <w:rPr>
                <w:sz w:val="12"/>
                <w:szCs w:val="12"/>
                <w:color w:val="auto"/>
              </w:rPr>
            </w:pPr>
          </w:p>
        </w:tc>
        <w:tc>
          <w:tcPr>
            <w:tcW w:w="1960" w:type="dxa"/>
            <w:vAlign w:val="bottom"/>
            <w:gridSpan w:val="2"/>
          </w:tcPr>
          <w:p>
            <w:pPr>
              <w:jc w:val="center"/>
              <w:ind w:right="866"/>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94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A. Weinberg</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5,280,324</w:t>
            </w:r>
          </w:p>
        </w:tc>
        <w:tc>
          <w:tcPr>
            <w:tcW w:w="940" w:type="dxa"/>
            <w:vAlign w:val="bottom"/>
            <w:tcBorders>
              <w:top w:val="single" w:sz="8" w:color="CCEEFF"/>
            </w:tcBorders>
            <w:shd w:val="clear" w:color="auto" w:fill="CCEEFF"/>
          </w:tcPr>
          <w:p>
            <w:pPr>
              <w:jc w:val="right"/>
              <w:ind w:right="686"/>
              <w:spacing w:after="0"/>
              <w:rPr>
                <w:sz w:val="20"/>
                <w:szCs w:val="20"/>
                <w:color w:val="auto"/>
              </w:rPr>
            </w:pPr>
            <w:r>
              <w:rPr>
                <w:rFonts w:ascii="Arial" w:cs="Arial" w:eastAsia="Arial" w:hAnsi="Arial"/>
                <w:sz w:val="15"/>
                <w:szCs w:val="15"/>
                <w:color w:val="auto"/>
                <w:w w:val="87"/>
              </w:rPr>
              <w:t>(3)</w:t>
            </w:r>
          </w:p>
        </w:tc>
        <w:tc>
          <w:tcPr>
            <w:tcW w:w="10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Dietrich Becker</w:t>
            </w:r>
          </w:p>
        </w:tc>
        <w:tc>
          <w:tcPr>
            <w:tcW w:w="1960" w:type="dxa"/>
            <w:vAlign w:val="bottom"/>
            <w:gridSpan w:val="2"/>
          </w:tcPr>
          <w:p>
            <w:pPr>
              <w:jc w:val="right"/>
              <w:ind w:right="686"/>
              <w:spacing w:after="0"/>
              <w:rPr>
                <w:sz w:val="20"/>
                <w:szCs w:val="20"/>
                <w:color w:val="auto"/>
              </w:rPr>
            </w:pPr>
            <w:r>
              <w:rPr>
                <w:rFonts w:ascii="Arial" w:cs="Arial" w:eastAsia="Arial" w:hAnsi="Arial"/>
                <w:sz w:val="18"/>
                <w:szCs w:val="18"/>
                <w:color w:val="auto"/>
              </w:rPr>
              <w:t xml:space="preserve">3,885,916 </w:t>
            </w:r>
            <w:r>
              <w:rPr>
                <w:rFonts w:ascii="Arial" w:cs="Arial" w:eastAsia="Arial" w:hAnsi="Arial"/>
                <w:sz w:val="15"/>
                <w:szCs w:val="15"/>
                <w:color w:val="auto"/>
              </w:rPr>
              <w:t>(4)</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Bednar</w:t>
            </w:r>
          </w:p>
        </w:tc>
        <w:tc>
          <w:tcPr>
            <w:tcW w:w="196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 xml:space="preserve">3,749,471 </w:t>
            </w:r>
            <w:r>
              <w:rPr>
                <w:rFonts w:ascii="Arial" w:cs="Arial" w:eastAsia="Arial" w:hAnsi="Arial"/>
                <w:sz w:val="15"/>
                <w:szCs w:val="15"/>
                <w:color w:val="auto"/>
              </w:rPr>
              <w:t>(5)</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100" w:hanging="424"/>
        <w:spacing w:after="0" w:line="284"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 Management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w:t>
      </w:r>
    </w:p>
    <w:p>
      <w:pPr>
        <w:spacing w:after="0" w:line="1" w:lineRule="exact"/>
        <w:rPr>
          <w:sz w:val="20"/>
          <w:szCs w:val="20"/>
          <w:color w:val="auto"/>
        </w:rPr>
      </w:pPr>
    </w:p>
    <w:p>
      <w:pPr>
        <w:ind w:left="424" w:right="20"/>
        <w:spacing w:after="0" w:line="250" w:lineRule="auto"/>
        <w:rPr>
          <w:sz w:val="20"/>
          <w:szCs w:val="20"/>
          <w:color w:val="auto"/>
        </w:rPr>
      </w:pPr>
      <w:r>
        <w:rPr>
          <w:rFonts w:ascii="Arial" w:cs="Arial" w:eastAsia="Arial" w:hAnsi="Arial"/>
          <w:sz w:val="18"/>
          <w:szCs w:val="18"/>
          <w:color w:val="auto"/>
        </w:rPr>
        <w:t>points and (ii) VCUs and ACUs that are generally subject to a service-based graded vesting schedule over a three to five-year period following the Closing of the Business Combination on June 24, 2021. The vesting of VCUs and ACUs will be recorded as equity-based compensation expense at PWP OpCo for accounting purposes, though they will have no economic impact on investors in PWP or PWP OpCo. The amounts shown do not include OCUs, which are fully vested.</w:t>
      </w:r>
    </w:p>
    <w:p>
      <w:pPr>
        <w:spacing w:after="0" w:line="2" w:lineRule="exact"/>
        <w:rPr>
          <w:sz w:val="20"/>
          <w:szCs w:val="20"/>
          <w:color w:val="auto"/>
        </w:rPr>
      </w:pPr>
    </w:p>
    <w:p>
      <w:pPr>
        <w:ind w:left="424" w:hanging="419"/>
        <w:spacing w:after="0" w:line="250" w:lineRule="auto"/>
        <w:tabs>
          <w:tab w:leader="none" w:pos="404" w:val="left"/>
        </w:tabs>
        <w:rPr>
          <w:sz w:val="20"/>
          <w:szCs w:val="20"/>
          <w:color w:val="auto"/>
        </w:rPr>
      </w:pPr>
      <w:r>
        <w:rPr>
          <w:rFonts w:ascii="Arial" w:cs="Arial" w:eastAsia="Arial" w:hAnsi="Arial"/>
          <w:sz w:val="18"/>
          <w:szCs w:val="18"/>
          <w:color w:val="auto"/>
        </w:rPr>
        <w:t>(2)</w:t>
        <w:tab/>
        <w:t xml:space="preserve">The market value shown is based on the closing stock price per share of our Class A common stock on December 31, 2021 ($ ). The market value of the Management Awards is based on the number of shares of our Class A common stock that our NEOs would receive upon settlement of the Management Awards assuming attainment of the 100% of the performance-based vesting conditions during the performance period. The market value of the VCUs and ACUs is also shown is based on the closing price of our Class A common stock on December 31, 2021, as units in Professional Partners, once vested, are ultimately exchangeable into shares of our Class A common stock on a one-for-one basis, described in greater detail below in the section entitled “—2021 Executive Compensation Elements </w:t>
      </w:r>
      <w:r>
        <w:rPr>
          <w:rFonts w:ascii="Arial" w:cs="Arial" w:eastAsia="Arial" w:hAnsi="Arial"/>
          <w:sz w:val="18"/>
          <w:szCs w:val="18"/>
          <w:i w:val="1"/>
          <w:iCs w:val="1"/>
          <w:color w:val="auto"/>
        </w:rPr>
        <w:t>—</w:t>
      </w:r>
      <w:r>
        <w:rPr>
          <w:rFonts w:ascii="Arial" w:cs="Arial" w:eastAsia="Arial" w:hAnsi="Arial"/>
          <w:sz w:val="18"/>
          <w:szCs w:val="18"/>
          <w:color w:val="auto"/>
        </w:rPr>
        <w:t>Reorganization of Professional Partners” above.</w:t>
      </w:r>
    </w:p>
    <w:p>
      <w:pPr>
        <w:spacing w:after="0" w:line="3"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 3,300,000 Management Awards and (ii) 1,980,324 VCUs and ACUs.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 2,350,000 Management Awards and (ii) 1,535,916 VCUs and ACUs.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 2,350,000 Management Awards and (ii) 1,399,471 VCUs and ACUs.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4" w:right="100" w:firstLine="440"/>
        <w:spacing w:after="0" w:line="269" w:lineRule="auto"/>
        <w:rPr>
          <w:sz w:val="20"/>
          <w:szCs w:val="20"/>
          <w:color w:val="auto"/>
        </w:rPr>
      </w:pPr>
      <w:r>
        <w:rPr>
          <w:rFonts w:ascii="Arial" w:cs="Arial" w:eastAsia="Arial" w:hAnsi="Arial"/>
          <w:sz w:val="17"/>
          <w:szCs w:val="17"/>
          <w:color w:val="auto"/>
        </w:rPr>
        <w:t>Management Awards are subject to the achievement of time-based and performance-based vesting conditions, both of which must be satisfied for the awards to vest. Upon a termination of employment without cause or resignation for good reason, a pro-rata portion of the Management Awards will be deemed to have satisfied the time-based vesting conditions, subject to a 50% floor, and will remain outstanding subject to the achievement of the performance-based vesting conditions. Upon a termination of employment due to death or disability, the same treatment will apply except that the Management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time-based vesting conditions. Upon a termination without cause or resignation for good reason within 24 months following a change in control, any remaining time-based vesting conditions will be deemed to be fully satisfied. For Messrs. Bednar and Becker, if the executive’s role as co-president is terminated by the Company without cause but the executive otherwise remains in continuous employment as a working partner, the Management Awards will remain outstanding subject to the achievement of the</w:t>
      </w:r>
    </w:p>
    <w:p>
      <w:pPr>
        <w:sectPr>
          <w:pgSz w:w="11900" w:h="16838" w:orient="portrait"/>
          <w:cols w:equalWidth="0" w:num="1">
            <w:col w:w="11004"/>
          </w:cols>
          <w:pgMar w:left="436" w:top="270" w:right="459" w:bottom="1440" w:gutter="0" w:footer="0" w:header="0"/>
        </w:sectPr>
      </w:pPr>
    </w:p>
    <w:bookmarkStart w:id="9" w:name="page10"/>
    <w:bookmarkEnd w:id="9"/>
    <w:p>
      <w:pPr>
        <w:jc w:val="both"/>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time-based and performance-based vesting conditions based on the executive’s continued employment as a working partner. If the executive resigns as co-president but otherwise remains in continuous employment as a working partner, then only a pro-rata portion of the Management Awards will remain outstanding and eligible to vest subject to the achievement of the applicable time-based and performance-based vesting conditions based on the executive’s continued employment as a working partner.</w:t>
      </w:r>
    </w:p>
    <w:p>
      <w:pPr>
        <w:spacing w:after="0" w:line="187"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color w:val="auto"/>
        </w:rPr>
        <w:t>Each class of partnership units of Professional Partners held by our NEOs are subject to forfeiture provisions as a result of certain terminations of service or breaches of restrictive covenants. VCUs and ACUs are subject to an approximately three to five-year vesting period following the Closing Date.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OCUs are fully vested.</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For 2021, our non-employee directors are entitled to the following compensation for their service on our board of directors: (i) an annual base retainer in the amount of $180,000, 50% of which is paid in the form of restricted stock units and 50% of which is paid in cash; (ii) a one-time grant of restricted stock units with a value of $50,000 upon initial appointment to the Board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our board of directors, all other restricted stock units will be granted on or about the date of our general annual stockholder meeting and will vest on the date of the next general annual stockholder meeting, provided that the first annual grant of restricted stock units was pro-rated for the period between the Closing of the Business Combination and the date of our first general annual stockholder meeting and will vest on the date of our first general annual stockholder meeting.</w:t>
      </w:r>
    </w:p>
    <w:p>
      <w:pPr>
        <w:spacing w:after="0" w:line="18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In addition, each of Ivan G. Seidenberg, Jorma Ollila and Jane C. Sherburne, received payments in the amount of $75,000 in connection with their consultant services in 2021 provided prior to the completion of the Business Combination.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Compensation Table for 2021</w:t>
      </w:r>
    </w:p>
    <w:p>
      <w:pPr>
        <w:spacing w:after="0" w:line="121"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The total 2021 compensation of our non-employee directors is shown in the following table. We do not separately compensate our affiliated directors for their service on our board.</w:t>
      </w:r>
    </w:p>
    <w:p>
      <w:pPr>
        <w:spacing w:after="0" w:line="18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color w:val="auto"/>
                <w:w w:val="89"/>
              </w:rPr>
              <w:t>Fees Earned or</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color w:val="auto"/>
              </w:rPr>
              <w:t>All Other</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color w:val="auto"/>
                <w:w w:val="90"/>
              </w:rPr>
              <w:t>Name</w:t>
            </w:r>
          </w:p>
        </w:tc>
        <w:tc>
          <w:tcPr>
            <w:tcW w:w="5100" w:type="dxa"/>
            <w:vAlign w:val="bottom"/>
            <w:vMerge w:val="restart"/>
          </w:tcPr>
          <w:p>
            <w:pPr>
              <w:spacing w:after="0"/>
              <w:rPr>
                <w:sz w:val="12"/>
                <w:szCs w:val="12"/>
                <w:color w:val="auto"/>
              </w:rPr>
            </w:pPr>
          </w:p>
        </w:tc>
        <w:tc>
          <w:tcPr>
            <w:tcW w:w="1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Paid in Cash</w:t>
            </w:r>
          </w:p>
        </w:tc>
        <w:tc>
          <w:tcPr>
            <w:tcW w:w="12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1"/>
              </w:rPr>
              <w:t>Stock Awards</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Compensation</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4"/>
        </w:trPr>
        <w:tc>
          <w:tcPr>
            <w:tcW w:w="360" w:type="dxa"/>
            <w:vAlign w:val="bottom"/>
            <w:tcBorders>
              <w:bottom w:val="single" w:sz="8" w:color="auto"/>
            </w:tcBorders>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880" w:type="dxa"/>
            <w:vAlign w:val="bottom"/>
          </w:tcPr>
          <w:p>
            <w:pPr>
              <w:jc w:val="right"/>
              <w:ind w:right="278"/>
              <w:spacing w:after="0" w:line="154"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00" w:type="dxa"/>
            <w:vAlign w:val="bottom"/>
          </w:tcPr>
          <w:p>
            <w:pPr>
              <w:jc w:val="right"/>
              <w:ind w:right="236"/>
              <w:spacing w:after="0" w:line="154"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840" w:type="dxa"/>
            <w:vAlign w:val="bottom"/>
          </w:tcPr>
          <w:p>
            <w:pPr>
              <w:jc w:val="center"/>
              <w:spacing w:after="0" w:line="154" w:lineRule="exact"/>
              <w:rPr>
                <w:sz w:val="20"/>
                <w:szCs w:val="20"/>
                <w:color w:val="auto"/>
              </w:rPr>
            </w:pPr>
            <w:r>
              <w:rPr>
                <w:rFonts w:ascii="Arial" w:cs="Arial" w:eastAsia="Arial" w:hAnsi="Arial"/>
                <w:sz w:val="14"/>
                <w:szCs w:val="14"/>
                <w:color w:val="auto"/>
                <w:w w:val="93"/>
              </w:rPr>
              <w:t>($)</w:t>
            </w:r>
          </w:p>
        </w:tc>
        <w:tc>
          <w:tcPr>
            <w:tcW w:w="480" w:type="dxa"/>
            <w:vAlign w:val="bottom"/>
          </w:tcPr>
          <w:p>
            <w:pPr>
              <w:spacing w:after="0"/>
              <w:rPr>
                <w:sz w:val="15"/>
                <w:szCs w:val="15"/>
                <w:color w:val="auto"/>
              </w:rPr>
            </w:pPr>
          </w:p>
        </w:tc>
        <w:tc>
          <w:tcPr>
            <w:tcW w:w="660" w:type="dxa"/>
            <w:vAlign w:val="bottom"/>
          </w:tcPr>
          <w:p>
            <w:pPr>
              <w:jc w:val="right"/>
              <w:ind w:right="156"/>
              <w:spacing w:after="0" w:line="154"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Daniel G. Cohen</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45,000</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126,708</w:t>
            </w: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171,708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Ivan G. Seidenberg</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43,833</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126,708</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75,000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245,541</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 C. Sherburne</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54,222</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126,708</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255,930</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Jorma Ollila</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54,222</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126,708</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75,000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255,930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shown in this column reflect the cash annual base retainer fees and committee fees earned for 2021.</w:t>
      </w:r>
    </w:p>
    <w:p>
      <w:pPr>
        <w:spacing w:after="0" w:line="23" w:lineRule="exact"/>
        <w:rPr>
          <w:rFonts w:ascii="Arial" w:cs="Arial" w:eastAsia="Arial" w:hAnsi="Arial"/>
          <w:sz w:val="18"/>
          <w:szCs w:val="18"/>
          <w:color w:val="auto"/>
        </w:rPr>
      </w:pPr>
    </w:p>
    <w:p>
      <w:pPr>
        <w:ind w:left="424" w:right="180" w:hanging="424"/>
        <w:spacing w:after="0" w:line="25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shown in this column represent the grant date fair value, calculated in accordance with FASB ASC Topic 718, of the time-based restricted stock units granted to our non-employee directors. For a summary of the assumptions used in the valuation of these awards, please see the Note “Equity-Based Compensation” to our consolidated financial statements included in this prospectus. As of December 31, 2021, each of our non-employee directors held 9,070 outstanding restricted stock units.</w:t>
      </w:r>
    </w:p>
    <w:p>
      <w:pPr>
        <w:sectPr>
          <w:pgSz w:w="11900" w:h="16838" w:orient="portrait"/>
          <w:cols w:equalWidth="0" w:num="1">
            <w:col w:w="11004"/>
          </w:cols>
          <w:pgMar w:left="436" w:top="274" w:right="459" w:bottom="1440" w:gutter="0" w:footer="0" w:header="0"/>
        </w:sectPr>
      </w:pPr>
    </w:p>
    <w:bookmarkStart w:id="10" w:name="page11"/>
    <w:bookmarkEnd w:id="10"/>
    <w:p>
      <w:pPr>
        <w:ind w:left="424"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Amounts shown in this column reflect $75,000 paid in connection with consultant services provided by Ivan G. Seidenberg, Jorma Ollila and Jane C. Sherburne in 2021 prior to the Closing of the Business Combination.</w:t>
      </w:r>
    </w:p>
    <w:p>
      <w:pPr>
        <w:spacing w:after="0" w:line="274" w:lineRule="exact"/>
        <w:rPr>
          <w:sz w:val="20"/>
          <w:szCs w:val="20"/>
          <w:color w:val="auto"/>
        </w:rPr>
      </w:pPr>
    </w:p>
    <w:p>
      <w:pPr>
        <w:ind w:left="4" w:right="160"/>
        <w:spacing w:after="0" w:line="282" w:lineRule="auto"/>
        <w:rPr>
          <w:sz w:val="20"/>
          <w:szCs w:val="20"/>
          <w:color w:val="auto"/>
        </w:rPr>
      </w:pPr>
      <w:r>
        <w:rPr>
          <w:rFonts w:ascii="Arial" w:cs="Arial" w:eastAsia="Arial" w:hAnsi="Arial"/>
          <w:sz w:val="18"/>
          <w:szCs w:val="18"/>
          <w:b w:val="1"/>
          <w:bCs w:val="1"/>
          <w:u w:val="single" w:color="auto"/>
          <w:color w:val="auto"/>
        </w:rPr>
        <w:t>Under the section entitled “Certain Relationships and Related Persons Transactions,” the following excerpts from the Registration Statement are added under the heading “PWP Related Party Transactions” beginning on page 181:</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UK ACU Reimbursement Agreement</w:t>
      </w:r>
    </w:p>
    <w:p>
      <w:pPr>
        <w:spacing w:after="0" w:line="117"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Sublease Agreement</w:t>
      </w:r>
    </w:p>
    <w:p>
      <w:pPr>
        <w:spacing w:after="0" w:line="117"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In connection with the PWP Separation, PWP subleases a portion of its office space at its New York location to PWP Capital. In December 2021, PWP executed a sublease amendment to extend the sublease term for 19 months to August 31, 2023 and to reduce the size of the subleased premises. In accordance with the sublease, as amended, PWP Capital will pay to PWP a base rent of $38,440 per month and other lease related charges. The sublease, as amended, does not include a renewal option and PWP has the right to terminate the sublease for any reason after giving 90 days prior written notice.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7"/>
          <w:szCs w:val="17"/>
          <w:b w:val="1"/>
          <w:bCs w:val="1"/>
          <w:u w:val="single" w:color="auto"/>
          <w:color w:val="auto"/>
        </w:rPr>
        <w:t>Under the section entitled “Certain Relationships and Related Persons Transactions,” the paragraph under the heading “Employee</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7"/>
          <w:szCs w:val="17"/>
          <w:b w:val="1"/>
          <w:bCs w:val="1"/>
          <w:u w:val="single" w:color="auto"/>
          <w:color w:val="auto"/>
        </w:rPr>
        <w:t>Compensation Paid to Directors” on page 185 of the Prospectus is replaced by the following excerpt from the Registration Statement:</w:t>
      </w:r>
    </w:p>
    <w:p>
      <w:pPr>
        <w:spacing w:after="0" w:line="114"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Messrs. Perella and Steel, two of PWP’s employee directors who are not executive officers, received compensation in respect of their service as Working Partners in 2021 in amounts equal to $510,500 and $5,888,867, respectively. These amounts reflect their 2021 compensation that was determinable as of the date of this prospectus.</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1" Type="http://schemas.openxmlformats.org/officeDocument/2006/relationships/hyperlink" Target="http://www.sec.gov/Archives/edgar/data/1777835/000119312521224486/d185200d424b3.htm#toc185200_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2021-12-21T05:17:33Z</dcterms:created>
  <dcterms:modified xsi:type="dcterms:W3CDTF">2021-12-21T05:17:33Z</dcterms:modified>
</cp:coreProperties>
</file>