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MUGFORD KRISTIN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7,474</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7,474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13,453</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20,927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7,474 unvested shares subject to awards of director restricted stock units ("RSUs"), which vest in three equal installments on the 12, 24 and 36 month anniversaries of the grant date, subject to continued board service through each vesting date. Each RSU represents a contingent right to receive one share of Class A common stock.</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13,453 unvested shares subject to awards of RSUs,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05/27/2022</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408"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2022-05-27T20:11:49Z</dcterms:created>
  <dcterms:modified xsi:type="dcterms:W3CDTF">2022-05-27T20:11:49Z</dcterms:modified>
</cp:coreProperties>
</file>