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COHEN DANIEL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225"/>
          </w:cols>
          <w:pgMar w:left="460" w:top="219" w:right="47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04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jc w:val="center"/>
              <w:ind w:left="48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02/15/2023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0000FF"/>
              </w:rPr>
              <w:t>14,245</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11.12</w:t>
            </w:r>
            <w:r>
              <w:rPr>
                <w:rFonts w:ascii="Times New Roman" w:cs="Times New Roman" w:eastAsia="Times New Roman" w:hAnsi="Times New Roman"/>
                <w:sz w:val="22"/>
                <w:szCs w:val="22"/>
                <w:color w:val="008000"/>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708,022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02/15/2023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0000FF"/>
              </w:rPr>
              <w:t>14,245</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11.12</w:t>
            </w:r>
            <w:r>
              <w:rPr>
                <w:rFonts w:ascii="Times New Roman" w:cs="Times New Roman" w:eastAsia="Times New Roman" w:hAnsi="Times New Roman"/>
                <w:sz w:val="22"/>
                <w:szCs w:val="22"/>
                <w:color w:val="008000"/>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708,022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02/16/2023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0000FF"/>
              </w:rPr>
              <w:t>23,333</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10.93</w:t>
            </w:r>
            <w:r>
              <w:rPr>
                <w:rFonts w:ascii="Times New Roman" w:cs="Times New Roman" w:eastAsia="Times New Roman" w:hAnsi="Times New Roman"/>
                <w:sz w:val="22"/>
                <w:szCs w:val="22"/>
                <w:color w:val="008000"/>
                <w:vertAlign w:val="superscript"/>
              </w:rPr>
              <w:t>(4)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684,689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02/16/2023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0000FF"/>
              </w:rPr>
              <w:t>23,333</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10.93</w:t>
            </w:r>
            <w:r>
              <w:rPr>
                <w:rFonts w:ascii="Times New Roman" w:cs="Times New Roman" w:eastAsia="Times New Roman" w:hAnsi="Times New Roman"/>
                <w:sz w:val="22"/>
                <w:szCs w:val="22"/>
                <w:color w:val="008000"/>
                <w:vertAlign w:val="superscript"/>
              </w:rPr>
              <w:t>(4)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684,689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02/17/2023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0000FF"/>
              </w:rPr>
              <w:t>83,334</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10.89</w:t>
            </w:r>
            <w:r>
              <w:rPr>
                <w:rFonts w:ascii="Times New Roman" w:cs="Times New Roman" w:eastAsia="Times New Roman" w:hAnsi="Times New Roman"/>
                <w:sz w:val="22"/>
                <w:szCs w:val="22"/>
                <w:color w:val="008000"/>
                <w:vertAlign w:val="superscript"/>
              </w:rPr>
              <w:t>(5)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601,355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7"/>
                <w:szCs w:val="17"/>
                <w:color w:val="0000FF"/>
              </w:rPr>
              <w:t>02/17/2023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0000FF"/>
              </w:rPr>
              <w:t>83,334</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10.89</w:t>
            </w:r>
            <w:r>
              <w:rPr>
                <w:rFonts w:ascii="Times New Roman" w:cs="Times New Roman" w:eastAsia="Times New Roman" w:hAnsi="Times New Roman"/>
                <w:sz w:val="22"/>
                <w:szCs w:val="22"/>
                <w:color w:val="008000"/>
                <w:vertAlign w:val="superscript"/>
              </w:rPr>
              <w:t>(5)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601,355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80,852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11,951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IV,</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11,951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Advisors</w:t>
      </w:r>
    </w:p>
    <w:p>
      <w:pPr>
        <w:spacing w:after="0" w:line="1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IV,</w:t>
      </w:r>
    </w:p>
    <w:p>
      <w:pPr>
        <w:spacing w:after="0" w:line="18"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(7)</w:t>
      </w:r>
    </w:p>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71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471741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57,923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133,603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133,602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$11.05 to $11.25,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FinTech Masala, LLC ("Masala LLC"), FinTech Investor Holdings IV, LLC ("Holdings"), and FinTech Masala Advisors IV, LLC ("Masala"). FinTech Masala Holdings, LLC ("Manager HoldCo") is the sole member of Masala LLC. Each of Holdings and Masala is managed by Cohen Sponsor Interests IV, LLC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6" w:lineRule="exact"/>
        <w:rPr>
          <w:rFonts w:ascii="Times New Roman" w:cs="Times New Roman" w:eastAsia="Times New Roman" w:hAnsi="Times New Roman"/>
          <w:sz w:val="13"/>
          <w:szCs w:val="13"/>
          <w:color w:val="008000"/>
        </w:rPr>
      </w:pPr>
    </w:p>
    <w:p>
      <w:pPr>
        <w:jc w:val="both"/>
        <w:ind w:left="20" w:right="2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LLC, Holdings, and Masala. Manager HoldCo is the sole member of Masala LLC. Each of Holdings and Masala is managed by Manager, which, in turn, is indirectly owned by Manager HoldCo. DGC Family FinTech Trust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4"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$10.86 to $11.07,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$10.75 to $10.92,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20" w:right="2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the Trust. The children of the reporting person are beneficiaries of the Trust.</w:t>
      </w:r>
    </w:p>
    <w:p>
      <w:pPr>
        <w:spacing w:after="0" w:line="5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20" w:right="180" w:firstLine="7"/>
        <w:spacing w:after="0" w:line="247"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02/17/2023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80"/>
      </w:cols>
      <w:pgMar w:left="48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2023-02-17T17:07:58Z</dcterms:created>
  <dcterms:modified xsi:type="dcterms:W3CDTF">2023-02-17T17:07:58Z</dcterms:modified>
</cp:coreProperties>
</file>