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u w:val="single" w:color="auto"/>
          <w:color w:val="auto"/>
        </w:rPr>
        <w:t>PERELLA WEINBERG PARTNERS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Class A Common Stock, par value $0.0001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71367G102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240" w:right="4380" w:firstLine="6"/>
        <w:spacing w:after="0" w:line="228" w:lineRule="exact"/>
        <w:tabs>
          <w:tab w:leader="none" w:pos="584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tabs>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r>
        <w:rPr>
          <w:sz w:val="20"/>
          <w:szCs w:val="20"/>
          <w:color w:val="auto"/>
        </w:rPr>
        <w:tab/>
      </w:r>
      <w:r>
        <w:rPr>
          <w:rFonts w:ascii="Arial" w:cs="Arial" w:eastAsia="Arial" w:hAnsi="Arial"/>
          <w:sz w:val="15"/>
          <w:szCs w:val="15"/>
          <w:b w:val="1"/>
          <w:bCs w:val="1"/>
          <w:color w:val="auto"/>
        </w:rPr>
        <w:t>Page 2 of 8 Pages</w:t>
      </w:r>
    </w:p>
    <w:p>
      <w:pPr>
        <w:sectPr>
          <w:pgSz w:w="11900" w:h="16838" w:orient="portrait"/>
          <w:cols w:equalWidth="0" w:num="1">
            <w:col w:w="11240"/>
          </w:cols>
          <w:pgMar w:left="320" w:top="904"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71367G102</w:t>
            </w:r>
          </w:p>
        </w:tc>
        <w:tc>
          <w:tcPr>
            <w:tcW w:w="3840" w:type="dxa"/>
            <w:vAlign w:val="bottom"/>
          </w:tcPr>
          <w:p>
            <w:pPr>
              <w:spacing w:after="0"/>
              <w:rPr>
                <w:sz w:val="20"/>
                <w:szCs w:val="20"/>
                <w:color w:val="auto"/>
              </w:rPr>
            </w:pP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Names of reporting persons</w:t>
            </w:r>
          </w:p>
        </w:tc>
        <w:tc>
          <w:tcPr>
            <w:tcW w:w="3840" w:type="dxa"/>
            <w:vAlign w:val="bottom"/>
          </w:tcPr>
          <w:p>
            <w:pPr>
              <w:ind w:left="1040"/>
              <w:spacing w:after="0"/>
              <w:rPr>
                <w:sz w:val="20"/>
                <w:szCs w:val="20"/>
                <w:color w:val="auto"/>
              </w:rPr>
            </w:pPr>
            <w:r>
              <w:rPr>
                <w:rFonts w:ascii="Arial" w:cs="Arial" w:eastAsia="Arial" w:hAnsi="Arial"/>
                <w:sz w:val="18"/>
                <w:szCs w:val="18"/>
                <w:color w:val="auto"/>
                <w:w w:val="93"/>
              </w:rPr>
              <w:t>Nantahala Capital Management, LLC</w:t>
            </w:r>
          </w:p>
        </w:tc>
      </w:tr>
      <w:tr>
        <w:trPr>
          <w:trHeight w:val="230"/>
        </w:trPr>
        <w:tc>
          <w:tcPr>
            <w:tcW w:w="26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3840" w:type="dxa"/>
            <w:vAlign w:val="bottom"/>
          </w:tcPr>
          <w:p>
            <w:pPr>
              <w:ind w:left="1040"/>
              <w:spacing w:after="0"/>
              <w:rPr>
                <w:sz w:val="20"/>
                <w:szCs w:val="20"/>
                <w:color w:val="auto"/>
              </w:rPr>
            </w:pPr>
            <w:r>
              <w:rPr>
                <w:rFonts w:ascii="Arial" w:cs="Arial" w:eastAsia="Arial" w:hAnsi="Arial"/>
                <w:sz w:val="18"/>
                <w:szCs w:val="18"/>
                <w:color w:val="auto"/>
              </w:rPr>
              <w:t>(a)</w:t>
            </w:r>
          </w:p>
        </w:tc>
      </w:tr>
      <w:tr>
        <w:trPr>
          <w:trHeight w:val="229"/>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20" w:type="dxa"/>
            <w:vAlign w:val="bottom"/>
          </w:tcPr>
          <w:p>
            <w:pPr>
              <w:ind w:left="3020"/>
              <w:spacing w:after="0"/>
              <w:rPr>
                <w:sz w:val="20"/>
                <w:szCs w:val="20"/>
                <w:color w:val="auto"/>
              </w:rPr>
            </w:pPr>
            <w:r>
              <w:rPr>
                <w:rFonts w:ascii="Arial" w:cs="Arial" w:eastAsia="Arial" w:hAnsi="Arial"/>
                <w:sz w:val="18"/>
                <w:szCs w:val="18"/>
                <w:color w:val="auto"/>
              </w:rPr>
              <w:t>(see instructions)</w:t>
            </w:r>
          </w:p>
        </w:tc>
        <w:tc>
          <w:tcPr>
            <w:tcW w:w="3840" w:type="dxa"/>
            <w:vAlign w:val="bottom"/>
          </w:tcPr>
          <w:p>
            <w:pPr>
              <w:ind w:left="1040"/>
              <w:spacing w:after="0"/>
              <w:rPr>
                <w:sz w:val="20"/>
                <w:szCs w:val="20"/>
                <w:color w:val="auto"/>
              </w:rPr>
            </w:pPr>
            <w:r>
              <w:rPr>
                <w:rFonts w:ascii="Arial" w:cs="Arial" w:eastAsia="Arial" w:hAnsi="Arial"/>
                <w:sz w:val="18"/>
                <w:szCs w:val="18"/>
                <w:color w:val="auto"/>
              </w:rPr>
              <w:t>(b)</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3840" w:type="dxa"/>
            <w:vAlign w:val="bottom"/>
          </w:tcPr>
          <w:p>
            <w:pPr>
              <w:spacing w:after="0"/>
              <w:rPr>
                <w:sz w:val="19"/>
                <w:szCs w:val="19"/>
                <w:color w:val="auto"/>
              </w:rPr>
            </w:pPr>
          </w:p>
        </w:tc>
      </w:tr>
      <w:tr>
        <w:trPr>
          <w:trHeight w:val="230"/>
        </w:trPr>
        <w:tc>
          <w:tcPr>
            <w:tcW w:w="26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3840" w:type="dxa"/>
            <w:vAlign w:val="bottom"/>
          </w:tcPr>
          <w:p>
            <w:pPr>
              <w:ind w:left="1040"/>
              <w:spacing w:after="0"/>
              <w:rPr>
                <w:sz w:val="20"/>
                <w:szCs w:val="20"/>
                <w:color w:val="auto"/>
              </w:rPr>
            </w:pPr>
            <w:r>
              <w:rPr>
                <w:rFonts w:ascii="Arial" w:cs="Arial" w:eastAsia="Arial" w:hAnsi="Arial"/>
                <w:sz w:val="18"/>
                <w:szCs w:val="18"/>
                <w:color w:val="auto"/>
              </w:rPr>
              <w:t>MA</w:t>
            </w: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Number of shares beneficially owned by each reporting person with:</w:t>
            </w:r>
          </w:p>
        </w:tc>
        <w:tc>
          <w:tcPr>
            <w:tcW w:w="38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(5)</w:t>
            </w:r>
          </w:p>
        </w:tc>
        <w:tc>
          <w:tcPr>
            <w:tcW w:w="68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0</w:t>
            </w:r>
          </w:p>
        </w:tc>
      </w:tr>
      <w:tr>
        <w:trPr>
          <w:trHeight w:val="230"/>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(6)</w:t>
            </w:r>
          </w:p>
        </w:tc>
        <w:tc>
          <w:tcPr>
            <w:tcW w:w="68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(7)</w:t>
            </w:r>
          </w:p>
        </w:tc>
        <w:tc>
          <w:tcPr>
            <w:tcW w:w="68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0</w:t>
            </w:r>
          </w:p>
        </w:tc>
      </w:tr>
      <w:tr>
        <w:trPr>
          <w:trHeight w:val="230"/>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(8)</w:t>
            </w:r>
          </w:p>
        </w:tc>
        <w:tc>
          <w:tcPr>
            <w:tcW w:w="68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(9)</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(10) Check if the aggregate amount in Row (9) excludes certain shares (see instructions)</w:t>
            </w:r>
          </w:p>
        </w:tc>
        <w:tc>
          <w:tcPr>
            <w:tcW w:w="3840" w:type="dxa"/>
            <w:vAlign w:val="bottom"/>
          </w:tcPr>
          <w:p>
            <w:pPr>
              <w:spacing w:after="0"/>
              <w:rPr>
                <w:sz w:val="19"/>
                <w:szCs w:val="19"/>
                <w:color w:val="auto"/>
              </w:rPr>
            </w:pP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(11) Percent of class represented by amount in Row (9)</w:t>
            </w:r>
          </w:p>
        </w:tc>
        <w:tc>
          <w:tcPr>
            <w:tcW w:w="3840" w:type="dxa"/>
            <w:vAlign w:val="bottom"/>
          </w:tcPr>
          <w:p>
            <w:pPr>
              <w:ind w:left="1040"/>
              <w:spacing w:after="0"/>
              <w:rPr>
                <w:sz w:val="20"/>
                <w:szCs w:val="20"/>
                <w:color w:val="auto"/>
              </w:rPr>
            </w:pPr>
            <w:r>
              <w:rPr>
                <w:rFonts w:ascii="Arial" w:cs="Arial" w:eastAsia="Arial" w:hAnsi="Arial"/>
                <w:sz w:val="18"/>
                <w:szCs w:val="18"/>
                <w:color w:val="auto"/>
              </w:rPr>
              <w:t>3.1%</w:t>
            </w: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(12) Type of reporting person (see instructions)</w:t>
            </w:r>
          </w:p>
        </w:tc>
        <w:tc>
          <w:tcPr>
            <w:tcW w:w="3840" w:type="dxa"/>
            <w:vAlign w:val="bottom"/>
          </w:tcPr>
          <w:p>
            <w:pPr>
              <w:ind w:left="1040"/>
              <w:spacing w:after="0"/>
              <w:rPr>
                <w:sz w:val="20"/>
                <w:szCs w:val="20"/>
                <w:color w:val="auto"/>
              </w:rPr>
            </w:pPr>
            <w:r>
              <w:rPr>
                <w:rFonts w:ascii="Arial" w:cs="Arial" w:eastAsia="Arial" w:hAnsi="Arial"/>
                <w:sz w:val="18"/>
                <w:szCs w:val="18"/>
                <w:color w:val="auto"/>
              </w:rPr>
              <w:t>IA</w:t>
            </w:r>
          </w:p>
        </w:tc>
      </w:tr>
      <w:tr>
        <w:trPr>
          <w:trHeight w:val="688"/>
        </w:trPr>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tabs>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r>
        <w:rPr>
          <w:sz w:val="20"/>
          <w:szCs w:val="20"/>
          <w:color w:val="auto"/>
        </w:rPr>
        <w:tab/>
      </w:r>
      <w:r>
        <w:rPr>
          <w:rFonts w:ascii="Arial" w:cs="Arial" w:eastAsia="Arial" w:hAnsi="Arial"/>
          <w:sz w:val="15"/>
          <w:szCs w:val="15"/>
          <w:b w:val="1"/>
          <w:bCs w:val="1"/>
          <w:color w:val="auto"/>
        </w:rPr>
        <w:t>Page 3 of 8 Pages</w:t>
      </w:r>
    </w:p>
    <w:p>
      <w:pPr>
        <w:sectPr>
          <w:pgSz w:w="11900" w:h="16838" w:orient="portrait"/>
          <w:cols w:equalWidth="0" w:num="1">
            <w:col w:w="11240"/>
          </w:cols>
          <w:pgMar w:left="320" w:top="904"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71367G102</w:t>
            </w:r>
          </w:p>
        </w:tc>
        <w:tc>
          <w:tcPr>
            <w:tcW w:w="3840" w:type="dxa"/>
            <w:vAlign w:val="bottom"/>
          </w:tcPr>
          <w:p>
            <w:pPr>
              <w:spacing w:after="0"/>
              <w:rPr>
                <w:sz w:val="20"/>
                <w:szCs w:val="20"/>
                <w:color w:val="auto"/>
              </w:rPr>
            </w:pP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Names of reporting persons</w:t>
            </w:r>
          </w:p>
        </w:tc>
        <w:tc>
          <w:tcPr>
            <w:tcW w:w="3840" w:type="dxa"/>
            <w:vAlign w:val="bottom"/>
          </w:tcPr>
          <w:p>
            <w:pPr>
              <w:ind w:left="1040"/>
              <w:spacing w:after="0"/>
              <w:rPr>
                <w:sz w:val="20"/>
                <w:szCs w:val="20"/>
                <w:color w:val="auto"/>
              </w:rPr>
            </w:pPr>
            <w:r>
              <w:rPr>
                <w:rFonts w:ascii="Arial" w:cs="Arial" w:eastAsia="Arial" w:hAnsi="Arial"/>
                <w:sz w:val="18"/>
                <w:szCs w:val="18"/>
                <w:color w:val="auto"/>
              </w:rPr>
              <w:t>Wilmot B. Harkey</w:t>
            </w:r>
          </w:p>
        </w:tc>
      </w:tr>
      <w:tr>
        <w:trPr>
          <w:trHeight w:val="230"/>
        </w:trPr>
        <w:tc>
          <w:tcPr>
            <w:tcW w:w="26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3840" w:type="dxa"/>
            <w:vAlign w:val="bottom"/>
          </w:tcPr>
          <w:p>
            <w:pPr>
              <w:ind w:left="1040"/>
              <w:spacing w:after="0"/>
              <w:rPr>
                <w:sz w:val="20"/>
                <w:szCs w:val="20"/>
                <w:color w:val="auto"/>
              </w:rPr>
            </w:pPr>
            <w:r>
              <w:rPr>
                <w:rFonts w:ascii="Arial" w:cs="Arial" w:eastAsia="Arial" w:hAnsi="Arial"/>
                <w:sz w:val="18"/>
                <w:szCs w:val="18"/>
                <w:color w:val="auto"/>
              </w:rPr>
              <w:t>(a)</w:t>
            </w:r>
          </w:p>
        </w:tc>
      </w:tr>
      <w:tr>
        <w:trPr>
          <w:trHeight w:val="229"/>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20" w:type="dxa"/>
            <w:vAlign w:val="bottom"/>
          </w:tcPr>
          <w:p>
            <w:pPr>
              <w:ind w:left="3020"/>
              <w:spacing w:after="0"/>
              <w:rPr>
                <w:sz w:val="20"/>
                <w:szCs w:val="20"/>
                <w:color w:val="auto"/>
              </w:rPr>
            </w:pPr>
            <w:r>
              <w:rPr>
                <w:rFonts w:ascii="Arial" w:cs="Arial" w:eastAsia="Arial" w:hAnsi="Arial"/>
                <w:sz w:val="18"/>
                <w:szCs w:val="18"/>
                <w:color w:val="auto"/>
              </w:rPr>
              <w:t>(see instructions)</w:t>
            </w:r>
          </w:p>
        </w:tc>
        <w:tc>
          <w:tcPr>
            <w:tcW w:w="3840" w:type="dxa"/>
            <w:vAlign w:val="bottom"/>
          </w:tcPr>
          <w:p>
            <w:pPr>
              <w:ind w:left="1040"/>
              <w:spacing w:after="0"/>
              <w:rPr>
                <w:sz w:val="20"/>
                <w:szCs w:val="20"/>
                <w:color w:val="auto"/>
              </w:rPr>
            </w:pPr>
            <w:r>
              <w:rPr>
                <w:rFonts w:ascii="Arial" w:cs="Arial" w:eastAsia="Arial" w:hAnsi="Arial"/>
                <w:sz w:val="18"/>
                <w:szCs w:val="18"/>
                <w:color w:val="auto"/>
              </w:rPr>
              <w:t>(b)</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3840" w:type="dxa"/>
            <w:vAlign w:val="bottom"/>
          </w:tcPr>
          <w:p>
            <w:pPr>
              <w:spacing w:after="0"/>
              <w:rPr>
                <w:sz w:val="19"/>
                <w:szCs w:val="19"/>
                <w:color w:val="auto"/>
              </w:rPr>
            </w:pPr>
          </w:p>
        </w:tc>
      </w:tr>
      <w:tr>
        <w:trPr>
          <w:trHeight w:val="230"/>
        </w:trPr>
        <w:tc>
          <w:tcPr>
            <w:tcW w:w="26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3840" w:type="dxa"/>
            <w:vAlign w:val="bottom"/>
          </w:tcPr>
          <w:p>
            <w:pPr>
              <w:ind w:left="1040"/>
              <w:spacing w:after="0"/>
              <w:rPr>
                <w:sz w:val="20"/>
                <w:szCs w:val="20"/>
                <w:color w:val="auto"/>
              </w:rPr>
            </w:pPr>
            <w:r>
              <w:rPr>
                <w:rFonts w:ascii="Arial" w:cs="Arial" w:eastAsia="Arial" w:hAnsi="Arial"/>
                <w:sz w:val="18"/>
                <w:szCs w:val="18"/>
                <w:color w:val="auto"/>
              </w:rPr>
              <w:t>USA</w:t>
            </w: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Number of shares beneficially owned by each reporting person with:</w:t>
            </w:r>
          </w:p>
        </w:tc>
        <w:tc>
          <w:tcPr>
            <w:tcW w:w="38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(5)</w:t>
            </w:r>
          </w:p>
        </w:tc>
        <w:tc>
          <w:tcPr>
            <w:tcW w:w="68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0</w:t>
            </w:r>
          </w:p>
        </w:tc>
      </w:tr>
      <w:tr>
        <w:trPr>
          <w:trHeight w:val="230"/>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(6)</w:t>
            </w:r>
          </w:p>
        </w:tc>
        <w:tc>
          <w:tcPr>
            <w:tcW w:w="68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(7)</w:t>
            </w:r>
          </w:p>
        </w:tc>
        <w:tc>
          <w:tcPr>
            <w:tcW w:w="68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0</w:t>
            </w:r>
          </w:p>
        </w:tc>
      </w:tr>
      <w:tr>
        <w:trPr>
          <w:trHeight w:val="230"/>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(8)</w:t>
            </w:r>
          </w:p>
        </w:tc>
        <w:tc>
          <w:tcPr>
            <w:tcW w:w="68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(9)</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(10) Check if the aggregate amount in Row (9) excludes certain shares (see instructions)</w:t>
            </w:r>
          </w:p>
        </w:tc>
        <w:tc>
          <w:tcPr>
            <w:tcW w:w="3840" w:type="dxa"/>
            <w:vAlign w:val="bottom"/>
          </w:tcPr>
          <w:p>
            <w:pPr>
              <w:spacing w:after="0"/>
              <w:rPr>
                <w:sz w:val="19"/>
                <w:szCs w:val="19"/>
                <w:color w:val="auto"/>
              </w:rPr>
            </w:pP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(11) Percent of class represented by amount in Row (9)</w:t>
            </w:r>
          </w:p>
        </w:tc>
        <w:tc>
          <w:tcPr>
            <w:tcW w:w="3840" w:type="dxa"/>
            <w:vAlign w:val="bottom"/>
          </w:tcPr>
          <w:p>
            <w:pPr>
              <w:ind w:left="1040"/>
              <w:spacing w:after="0"/>
              <w:rPr>
                <w:sz w:val="20"/>
                <w:szCs w:val="20"/>
                <w:color w:val="auto"/>
              </w:rPr>
            </w:pPr>
            <w:r>
              <w:rPr>
                <w:rFonts w:ascii="Arial" w:cs="Arial" w:eastAsia="Arial" w:hAnsi="Arial"/>
                <w:sz w:val="18"/>
                <w:szCs w:val="18"/>
                <w:color w:val="auto"/>
              </w:rPr>
              <w:t>3.1%</w:t>
            </w: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(12) Type of reporting person (see instructions)</w:t>
            </w:r>
          </w:p>
        </w:tc>
        <w:tc>
          <w:tcPr>
            <w:tcW w:w="3840" w:type="dxa"/>
            <w:vAlign w:val="bottom"/>
          </w:tcPr>
          <w:p>
            <w:pPr>
              <w:ind w:left="1040"/>
              <w:spacing w:after="0"/>
              <w:rPr>
                <w:sz w:val="20"/>
                <w:szCs w:val="20"/>
                <w:color w:val="auto"/>
              </w:rPr>
            </w:pPr>
            <w:r>
              <w:rPr>
                <w:rFonts w:ascii="Arial" w:cs="Arial" w:eastAsia="Arial" w:hAnsi="Arial"/>
                <w:sz w:val="18"/>
                <w:szCs w:val="18"/>
                <w:color w:val="auto"/>
              </w:rPr>
              <w:t>HC</w:t>
            </w:r>
          </w:p>
        </w:tc>
      </w:tr>
      <w:tr>
        <w:trPr>
          <w:trHeight w:val="688"/>
        </w:trPr>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tabs>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904"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71367G102</w:t>
            </w:r>
          </w:p>
        </w:tc>
        <w:tc>
          <w:tcPr>
            <w:tcW w:w="3840" w:type="dxa"/>
            <w:vAlign w:val="bottom"/>
          </w:tcPr>
          <w:p>
            <w:pPr>
              <w:spacing w:after="0"/>
              <w:rPr>
                <w:sz w:val="20"/>
                <w:szCs w:val="20"/>
                <w:color w:val="auto"/>
              </w:rPr>
            </w:pP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Names of reporting persons</w:t>
            </w:r>
          </w:p>
        </w:tc>
        <w:tc>
          <w:tcPr>
            <w:tcW w:w="3840" w:type="dxa"/>
            <w:vAlign w:val="bottom"/>
          </w:tcPr>
          <w:p>
            <w:pPr>
              <w:ind w:left="1040"/>
              <w:spacing w:after="0"/>
              <w:rPr>
                <w:sz w:val="20"/>
                <w:szCs w:val="20"/>
                <w:color w:val="auto"/>
              </w:rPr>
            </w:pPr>
            <w:r>
              <w:rPr>
                <w:rFonts w:ascii="Arial" w:cs="Arial" w:eastAsia="Arial" w:hAnsi="Arial"/>
                <w:sz w:val="18"/>
                <w:szCs w:val="18"/>
                <w:color w:val="auto"/>
              </w:rPr>
              <w:t>Daniel Mack</w:t>
            </w:r>
          </w:p>
        </w:tc>
      </w:tr>
      <w:tr>
        <w:trPr>
          <w:trHeight w:val="230"/>
        </w:trPr>
        <w:tc>
          <w:tcPr>
            <w:tcW w:w="26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3840" w:type="dxa"/>
            <w:vAlign w:val="bottom"/>
          </w:tcPr>
          <w:p>
            <w:pPr>
              <w:ind w:left="1040"/>
              <w:spacing w:after="0"/>
              <w:rPr>
                <w:sz w:val="20"/>
                <w:szCs w:val="20"/>
                <w:color w:val="auto"/>
              </w:rPr>
            </w:pPr>
            <w:r>
              <w:rPr>
                <w:rFonts w:ascii="Arial" w:cs="Arial" w:eastAsia="Arial" w:hAnsi="Arial"/>
                <w:sz w:val="18"/>
                <w:szCs w:val="18"/>
                <w:color w:val="auto"/>
              </w:rPr>
              <w:t>(a)</w:t>
            </w:r>
          </w:p>
        </w:tc>
      </w:tr>
      <w:tr>
        <w:trPr>
          <w:trHeight w:val="229"/>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20" w:type="dxa"/>
            <w:vAlign w:val="bottom"/>
          </w:tcPr>
          <w:p>
            <w:pPr>
              <w:ind w:left="3020"/>
              <w:spacing w:after="0"/>
              <w:rPr>
                <w:sz w:val="20"/>
                <w:szCs w:val="20"/>
                <w:color w:val="auto"/>
              </w:rPr>
            </w:pPr>
            <w:r>
              <w:rPr>
                <w:rFonts w:ascii="Arial" w:cs="Arial" w:eastAsia="Arial" w:hAnsi="Arial"/>
                <w:sz w:val="18"/>
                <w:szCs w:val="18"/>
                <w:color w:val="auto"/>
              </w:rPr>
              <w:t>(see instructions)</w:t>
            </w:r>
          </w:p>
        </w:tc>
        <w:tc>
          <w:tcPr>
            <w:tcW w:w="3840" w:type="dxa"/>
            <w:vAlign w:val="bottom"/>
          </w:tcPr>
          <w:p>
            <w:pPr>
              <w:ind w:left="1040"/>
              <w:spacing w:after="0"/>
              <w:rPr>
                <w:sz w:val="20"/>
                <w:szCs w:val="20"/>
                <w:color w:val="auto"/>
              </w:rPr>
            </w:pPr>
            <w:r>
              <w:rPr>
                <w:rFonts w:ascii="Arial" w:cs="Arial" w:eastAsia="Arial" w:hAnsi="Arial"/>
                <w:sz w:val="18"/>
                <w:szCs w:val="18"/>
                <w:color w:val="auto"/>
              </w:rPr>
              <w:t>(b)</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3840" w:type="dxa"/>
            <w:vAlign w:val="bottom"/>
          </w:tcPr>
          <w:p>
            <w:pPr>
              <w:spacing w:after="0"/>
              <w:rPr>
                <w:sz w:val="19"/>
                <w:szCs w:val="19"/>
                <w:color w:val="auto"/>
              </w:rPr>
            </w:pPr>
          </w:p>
        </w:tc>
      </w:tr>
      <w:tr>
        <w:trPr>
          <w:trHeight w:val="230"/>
        </w:trPr>
        <w:tc>
          <w:tcPr>
            <w:tcW w:w="26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3840" w:type="dxa"/>
            <w:vAlign w:val="bottom"/>
          </w:tcPr>
          <w:p>
            <w:pPr>
              <w:ind w:left="1040"/>
              <w:spacing w:after="0"/>
              <w:rPr>
                <w:sz w:val="20"/>
                <w:szCs w:val="20"/>
                <w:color w:val="auto"/>
              </w:rPr>
            </w:pPr>
            <w:r>
              <w:rPr>
                <w:rFonts w:ascii="Arial" w:cs="Arial" w:eastAsia="Arial" w:hAnsi="Arial"/>
                <w:sz w:val="18"/>
                <w:szCs w:val="18"/>
                <w:color w:val="auto"/>
              </w:rPr>
              <w:t>USA</w:t>
            </w: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Number of shares beneficially owned by each reporting person with:</w:t>
            </w:r>
          </w:p>
        </w:tc>
        <w:tc>
          <w:tcPr>
            <w:tcW w:w="38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(5)</w:t>
            </w:r>
          </w:p>
        </w:tc>
        <w:tc>
          <w:tcPr>
            <w:tcW w:w="68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0</w:t>
            </w:r>
          </w:p>
        </w:tc>
      </w:tr>
      <w:tr>
        <w:trPr>
          <w:trHeight w:val="230"/>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(6)</w:t>
            </w:r>
          </w:p>
        </w:tc>
        <w:tc>
          <w:tcPr>
            <w:tcW w:w="68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(7)</w:t>
            </w:r>
          </w:p>
        </w:tc>
        <w:tc>
          <w:tcPr>
            <w:tcW w:w="68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0</w:t>
            </w:r>
          </w:p>
        </w:tc>
      </w:tr>
      <w:tr>
        <w:trPr>
          <w:trHeight w:val="230"/>
        </w:trPr>
        <w:tc>
          <w:tcPr>
            <w:tcW w:w="2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(8)</w:t>
            </w:r>
          </w:p>
        </w:tc>
        <w:tc>
          <w:tcPr>
            <w:tcW w:w="68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w w:val="99"/>
              </w:rPr>
              <w:t>(9)</w:t>
            </w: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3840" w:type="dxa"/>
            <w:vAlign w:val="bottom"/>
          </w:tcPr>
          <w:p>
            <w:pPr>
              <w:ind w:left="1040"/>
              <w:spacing w:after="0"/>
              <w:rPr>
                <w:sz w:val="20"/>
                <w:szCs w:val="20"/>
                <w:color w:val="auto"/>
              </w:rPr>
            </w:pPr>
            <w:r>
              <w:rPr>
                <w:rFonts w:ascii="Arial" w:cs="Arial" w:eastAsia="Arial" w:hAnsi="Arial"/>
                <w:sz w:val="18"/>
                <w:szCs w:val="18"/>
                <w:color w:val="auto"/>
              </w:rPr>
              <w:t>1,340,020</w:t>
            </w: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(10) Check if the aggregate amount in Row (9) excludes certain shares (see instructions)</w:t>
            </w:r>
          </w:p>
        </w:tc>
        <w:tc>
          <w:tcPr>
            <w:tcW w:w="3840" w:type="dxa"/>
            <w:vAlign w:val="bottom"/>
          </w:tcPr>
          <w:p>
            <w:pPr>
              <w:spacing w:after="0"/>
              <w:rPr>
                <w:sz w:val="19"/>
                <w:szCs w:val="19"/>
                <w:color w:val="auto"/>
              </w:rPr>
            </w:pP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(11) Percent of class represented by amount in Row (9)</w:t>
            </w:r>
          </w:p>
        </w:tc>
        <w:tc>
          <w:tcPr>
            <w:tcW w:w="3840" w:type="dxa"/>
            <w:vAlign w:val="bottom"/>
          </w:tcPr>
          <w:p>
            <w:pPr>
              <w:ind w:left="1040"/>
              <w:spacing w:after="0"/>
              <w:rPr>
                <w:sz w:val="20"/>
                <w:szCs w:val="20"/>
                <w:color w:val="auto"/>
              </w:rPr>
            </w:pPr>
            <w:r>
              <w:rPr>
                <w:rFonts w:ascii="Arial" w:cs="Arial" w:eastAsia="Arial" w:hAnsi="Arial"/>
                <w:sz w:val="18"/>
                <w:szCs w:val="18"/>
                <w:color w:val="auto"/>
              </w:rPr>
              <w:t>3.1%</w:t>
            </w: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(12) Type of reporting person (see instructions)</w:t>
            </w:r>
          </w:p>
        </w:tc>
        <w:tc>
          <w:tcPr>
            <w:tcW w:w="3840" w:type="dxa"/>
            <w:vAlign w:val="bottom"/>
          </w:tcPr>
          <w:p>
            <w:pPr>
              <w:ind w:left="1040"/>
              <w:spacing w:after="0"/>
              <w:rPr>
                <w:sz w:val="20"/>
                <w:szCs w:val="20"/>
                <w:color w:val="auto"/>
              </w:rPr>
            </w:pPr>
            <w:r>
              <w:rPr>
                <w:rFonts w:ascii="Arial" w:cs="Arial" w:eastAsia="Arial" w:hAnsi="Arial"/>
                <w:sz w:val="18"/>
                <w:szCs w:val="18"/>
                <w:color w:val="auto"/>
              </w:rPr>
              <w:t>HC</w:t>
            </w:r>
          </w:p>
        </w:tc>
      </w:tr>
      <w:tr>
        <w:trPr>
          <w:trHeight w:val="688"/>
        </w:trPr>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p>
        </w:tc>
        <w:tc>
          <w:tcPr>
            <w:tcW w:w="1780" w:type="dxa"/>
            <w:vAlign w:val="bottom"/>
          </w:tcPr>
          <w:p>
            <w:pPr>
              <w:ind w:left="460"/>
              <w:spacing w:after="0"/>
              <w:rPr>
                <w:sz w:val="20"/>
                <w:szCs w:val="20"/>
                <w:color w:val="auto"/>
              </w:rPr>
            </w:pPr>
            <w:r>
              <w:rPr>
                <w:rFonts w:ascii="Arial" w:cs="Arial" w:eastAsia="Arial" w:hAnsi="Arial"/>
                <w:sz w:val="18"/>
                <w:szCs w:val="18"/>
                <w:b w:val="1"/>
                <w:bCs w:val="1"/>
                <w:color w:val="auto"/>
                <w:w w:val="84"/>
              </w:rPr>
              <w:t>Page 5 of 8 Pages</w:t>
            </w: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340" w:type="dxa"/>
            <w:vAlign w:val="bottom"/>
            <w:gridSpan w:val="3"/>
          </w:tcPr>
          <w:p>
            <w:pPr>
              <w:ind w:left="360"/>
              <w:spacing w:after="0"/>
              <w:rPr>
                <w:sz w:val="20"/>
                <w:szCs w:val="20"/>
                <w:color w:val="auto"/>
              </w:rPr>
            </w:pPr>
            <w:r>
              <w:rPr>
                <w:rFonts w:ascii="Arial" w:cs="Arial" w:eastAsia="Arial" w:hAnsi="Arial"/>
                <w:sz w:val="18"/>
                <w:szCs w:val="18"/>
                <w:b w:val="1"/>
                <w:bCs w:val="1"/>
                <w:color w:val="auto"/>
              </w:rPr>
              <w:t>Name of Issuer:</w:t>
            </w:r>
          </w:p>
        </w:tc>
        <w:tc>
          <w:tcPr>
            <w:tcW w:w="1780" w:type="dxa"/>
            <w:vAlign w:val="bottom"/>
          </w:tcPr>
          <w:p>
            <w:pPr>
              <w:spacing w:after="0"/>
              <w:rPr>
                <w:sz w:val="24"/>
                <w:szCs w:val="24"/>
                <w:color w:val="auto"/>
              </w:rPr>
            </w:pPr>
          </w:p>
        </w:tc>
      </w:tr>
      <w:tr>
        <w:trPr>
          <w:trHeight w:val="391"/>
        </w:trPr>
        <w:tc>
          <w:tcPr>
            <w:tcW w:w="1120" w:type="dxa"/>
            <w:vAlign w:val="bottom"/>
          </w:tcPr>
          <w:p>
            <w:pPr>
              <w:spacing w:after="0"/>
              <w:rPr>
                <w:sz w:val="24"/>
                <w:szCs w:val="24"/>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PERELLA WEINBERG PARTNERS (the “Issuer”) (formerly “FINTECH ACQUISITION CORP. IV”).</w:t>
            </w:r>
          </w:p>
        </w:tc>
        <w:tc>
          <w:tcPr>
            <w:tcW w:w="17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53"/>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8340" w:type="dxa"/>
            <w:vAlign w:val="bottom"/>
            <w:gridSpan w:val="3"/>
          </w:tcPr>
          <w:p>
            <w:pPr>
              <w:ind w:left="360"/>
              <w:spacing w:after="0"/>
              <w:rPr>
                <w:sz w:val="20"/>
                <w:szCs w:val="20"/>
                <w:color w:val="auto"/>
              </w:rPr>
            </w:pPr>
            <w:r>
              <w:rPr>
                <w:rFonts w:ascii="Arial" w:cs="Arial" w:eastAsia="Arial" w:hAnsi="Arial"/>
                <w:sz w:val="18"/>
                <w:szCs w:val="18"/>
                <w:b w:val="1"/>
                <w:bCs w:val="1"/>
                <w:color w:val="auto"/>
              </w:rPr>
              <w:t>Address of the Issuer's Principal Executive Offices:</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767 Fifth Avenue New York, NY 10153</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8340" w:type="dxa"/>
            <w:vAlign w:val="bottom"/>
            <w:gridSpan w:val="3"/>
          </w:tcPr>
          <w:p>
            <w:pPr>
              <w:ind w:left="360"/>
              <w:spacing w:after="0"/>
              <w:rPr>
                <w:sz w:val="20"/>
                <w:szCs w:val="20"/>
                <w:color w:val="auto"/>
              </w:rPr>
            </w:pPr>
            <w:r>
              <w:rPr>
                <w:rFonts w:ascii="Arial" w:cs="Arial" w:eastAsia="Arial" w:hAnsi="Arial"/>
                <w:sz w:val="18"/>
                <w:szCs w:val="18"/>
                <w:b w:val="1"/>
                <w:bCs w:val="1"/>
                <w:color w:val="auto"/>
              </w:rPr>
              <w:t>Name of Person Filing</w:t>
            </w:r>
          </w:p>
        </w:tc>
        <w:tc>
          <w:tcPr>
            <w:tcW w:w="178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Nantahala Capital Management, LLC (“Nantahala”)</w:t>
            </w:r>
          </w:p>
        </w:tc>
        <w:tc>
          <w:tcPr>
            <w:tcW w:w="17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Wilmot B. Harkey</w:t>
            </w:r>
          </w:p>
        </w:tc>
        <w:tc>
          <w:tcPr>
            <w:tcW w:w="178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Daniel Mack (together the “Reporting Persons”)</w:t>
            </w:r>
          </w:p>
        </w:tc>
        <w:tc>
          <w:tcPr>
            <w:tcW w:w="17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8340" w:type="dxa"/>
            <w:vAlign w:val="bottom"/>
            <w:gridSpan w:val="3"/>
          </w:tcPr>
          <w:p>
            <w:pPr>
              <w:ind w:left="36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780" w:type="dxa"/>
            <w:vAlign w:val="bottom"/>
          </w:tcPr>
          <w:p>
            <w:pPr>
              <w:spacing w:after="0"/>
              <w:rPr>
                <w:sz w:val="24"/>
                <w:szCs w:val="24"/>
                <w:color w:val="auto"/>
              </w:rPr>
            </w:pPr>
          </w:p>
        </w:tc>
      </w:tr>
      <w:tr>
        <w:trPr>
          <w:trHeight w:val="458"/>
        </w:trPr>
        <w:tc>
          <w:tcPr>
            <w:tcW w:w="1120" w:type="dxa"/>
            <w:vAlign w:val="bottom"/>
          </w:tcPr>
          <w:p>
            <w:pPr>
              <w:spacing w:after="0"/>
              <w:rPr>
                <w:sz w:val="24"/>
                <w:szCs w:val="24"/>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130 Main St.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New Canaan, CT 06840</w:t>
            </w:r>
          </w:p>
        </w:tc>
        <w:tc>
          <w:tcPr>
            <w:tcW w:w="17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8340" w:type="dxa"/>
            <w:vAlign w:val="bottom"/>
            <w:gridSpan w:val="3"/>
          </w:tcPr>
          <w:p>
            <w:pPr>
              <w:ind w:left="360"/>
              <w:spacing w:after="0"/>
              <w:rPr>
                <w:sz w:val="20"/>
                <w:szCs w:val="20"/>
                <w:color w:val="auto"/>
              </w:rPr>
            </w:pPr>
            <w:r>
              <w:rPr>
                <w:rFonts w:ascii="Arial" w:cs="Arial" w:eastAsia="Arial" w:hAnsi="Arial"/>
                <w:sz w:val="18"/>
                <w:szCs w:val="18"/>
                <w:b w:val="1"/>
                <w:bCs w:val="1"/>
                <w:color w:val="auto"/>
              </w:rPr>
              <w:t>Citizenship:</w:t>
            </w:r>
          </w:p>
        </w:tc>
        <w:tc>
          <w:tcPr>
            <w:tcW w:w="178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Nantahala is a Massachusetts limited liability company.</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Each of Messrs. Harkey and Mack is a citizen of the United States of America.</w:t>
            </w:r>
          </w:p>
        </w:tc>
        <w:tc>
          <w:tcPr>
            <w:tcW w:w="17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8340" w:type="dxa"/>
            <w:vAlign w:val="bottom"/>
            <w:gridSpan w:val="3"/>
          </w:tcPr>
          <w:p>
            <w:pPr>
              <w:ind w:left="360"/>
              <w:spacing w:after="0"/>
              <w:rPr>
                <w:sz w:val="20"/>
                <w:szCs w:val="20"/>
                <w:color w:val="auto"/>
              </w:rPr>
            </w:pPr>
            <w:r>
              <w:rPr>
                <w:rFonts w:ascii="Arial" w:cs="Arial" w:eastAsia="Arial" w:hAnsi="Arial"/>
                <w:sz w:val="18"/>
                <w:szCs w:val="18"/>
                <w:b w:val="1"/>
                <w:bCs w:val="1"/>
                <w:color w:val="auto"/>
              </w:rPr>
              <w:t>Title of Class of Securities:</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340" w:type="dxa"/>
            <w:vAlign w:val="bottom"/>
            <w:gridSpan w:val="3"/>
          </w:tcPr>
          <w:p>
            <w:pPr>
              <w:ind w:left="360"/>
              <w:spacing w:after="0"/>
              <w:rPr>
                <w:sz w:val="20"/>
                <w:szCs w:val="20"/>
                <w:color w:val="auto"/>
              </w:rPr>
            </w:pPr>
            <w:r>
              <w:rPr>
                <w:rFonts w:ascii="Arial" w:cs="Arial" w:eastAsia="Arial" w:hAnsi="Arial"/>
                <w:sz w:val="18"/>
                <w:szCs w:val="18"/>
                <w:color w:val="auto"/>
              </w:rPr>
              <w:t>Class A Common Stock, par value $0.0001 per share (the “Shares”).</w:t>
            </w:r>
          </w:p>
        </w:tc>
        <w:tc>
          <w:tcPr>
            <w:tcW w:w="1780" w:type="dxa"/>
            <w:vAlign w:val="bottom"/>
          </w:tcPr>
          <w:p>
            <w:pPr>
              <w:spacing w:after="0"/>
              <w:rPr>
                <w:sz w:val="24"/>
                <w:szCs w:val="24"/>
                <w:color w:val="auto"/>
              </w:rPr>
            </w:pPr>
          </w:p>
        </w:tc>
      </w:tr>
      <w:tr>
        <w:trPr>
          <w:trHeight w:val="675"/>
        </w:trPr>
        <w:tc>
          <w:tcPr>
            <w:tcW w:w="1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p>
        </w:tc>
        <w:tc>
          <w:tcPr>
            <w:tcW w:w="1460" w:type="dxa"/>
            <w:vAlign w:val="bottom"/>
          </w:tcPr>
          <w:p>
            <w:pPr>
              <w:ind w:left="140"/>
              <w:spacing w:after="0"/>
              <w:rPr>
                <w:sz w:val="20"/>
                <w:szCs w:val="20"/>
                <w:color w:val="auto"/>
              </w:rPr>
            </w:pPr>
            <w:r>
              <w:rPr>
                <w:rFonts w:ascii="Arial" w:cs="Arial" w:eastAsia="Arial" w:hAnsi="Arial"/>
                <w:sz w:val="18"/>
                <w:szCs w:val="18"/>
                <w:b w:val="1"/>
                <w:bCs w:val="1"/>
                <w:color w:val="auto"/>
                <w:w w:val="84"/>
              </w:rPr>
              <w:t>Page 6 of 8 Pages</w:t>
            </w: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8660" w:type="dxa"/>
            <w:vAlign w:val="bottom"/>
          </w:tcPr>
          <w:p>
            <w:pPr>
              <w:ind w:left="360"/>
              <w:spacing w:after="0"/>
              <w:rPr>
                <w:sz w:val="20"/>
                <w:szCs w:val="20"/>
                <w:color w:val="auto"/>
              </w:rPr>
            </w:pPr>
            <w:r>
              <w:rPr>
                <w:rFonts w:ascii="Arial" w:cs="Arial" w:eastAsia="Arial" w:hAnsi="Arial"/>
                <w:sz w:val="18"/>
                <w:szCs w:val="18"/>
                <w:b w:val="1"/>
                <w:bCs w:val="1"/>
                <w:color w:val="auto"/>
              </w:rPr>
              <w:t>CUSIP Number:</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71367G102</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660" w:type="dxa"/>
            <w:vAlign w:val="bottom"/>
          </w:tcPr>
          <w:p>
            <w:pPr>
              <w:ind w:left="360"/>
              <w:spacing w:after="0"/>
              <w:rPr>
                <w:sz w:val="20"/>
                <w:szCs w:val="20"/>
                <w:color w:val="auto"/>
              </w:rPr>
            </w:pPr>
            <w:r>
              <w:rPr>
                <w:rFonts w:ascii="Arial" w:cs="Arial" w:eastAsia="Arial" w:hAnsi="Arial"/>
                <w:sz w:val="18"/>
                <w:szCs w:val="18"/>
                <w:b w:val="1"/>
                <w:bCs w:val="1"/>
                <w:color w:val="auto"/>
                <w:w w:val="92"/>
              </w:rPr>
              <w:t>If this statement is filed pursuant to Rule 13d-1(b), or 13d-2(b) or (c), check whether the person filing is a:</w:t>
            </w:r>
          </w:p>
        </w:tc>
        <w:tc>
          <w:tcPr>
            <w:tcW w:w="1460" w:type="dxa"/>
            <w:vAlign w:val="bottom"/>
          </w:tcPr>
          <w:p>
            <w:pPr>
              <w:spacing w:after="0"/>
              <w:rPr>
                <w:sz w:val="24"/>
                <w:szCs w:val="24"/>
                <w:color w:val="auto"/>
              </w:rPr>
            </w:pPr>
          </w:p>
        </w:tc>
      </w:tr>
      <w:tr>
        <w:trPr>
          <w:trHeight w:val="45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(c) </w:t>
            </w: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w w:val="92"/>
              </w:rPr>
              <w:t xml:space="preserve">(d)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Investment company registered under section 8 of the Investment Company Act of 1940 (15 U.S.C 80a-8).</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(g) </w:t>
            </w: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w w:val="93"/>
              </w:rPr>
              <w:t xml:space="preserve">(h)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A savings associations as defined in Section 3(b) of the Federal Deposit Insurance Act (12 U.S.C. 1813).</w:t>
            </w:r>
          </w:p>
        </w:tc>
        <w:tc>
          <w:tcPr>
            <w:tcW w:w="1460" w:type="dxa"/>
            <w:vAlign w:val="bottom"/>
          </w:tcPr>
          <w:p>
            <w:pPr>
              <w:spacing w:after="0"/>
              <w:rPr>
                <w:sz w:val="24"/>
                <w:szCs w:val="24"/>
                <w:color w:val="auto"/>
              </w:rPr>
            </w:pPr>
          </w:p>
        </w:tc>
      </w:tr>
      <w:tr>
        <w:trPr>
          <w:trHeight w:val="398"/>
        </w:trPr>
        <w:tc>
          <w:tcPr>
            <w:tcW w:w="1120" w:type="dxa"/>
            <w:vAlign w:val="bottom"/>
          </w:tcPr>
          <w:p>
            <w:pPr>
              <w:spacing w:after="0"/>
              <w:rPr>
                <w:sz w:val="24"/>
                <w:szCs w:val="24"/>
                <w:color w:val="auto"/>
              </w:rPr>
            </w:pPr>
          </w:p>
        </w:tc>
        <w:tc>
          <w:tcPr>
            <w:tcW w:w="101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2"/>
              </w:rPr>
              <w:t xml:space="preserve">(i)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A church plan that is excluded from the definition of an investment company under section 3(c)(14) of the Investment Company</w:t>
            </w:r>
          </w:p>
        </w:tc>
      </w:tr>
      <w:tr>
        <w:trPr>
          <w:trHeight w:val="230"/>
        </w:trPr>
        <w:tc>
          <w:tcPr>
            <w:tcW w:w="1120" w:type="dxa"/>
            <w:vAlign w:val="bottom"/>
          </w:tcPr>
          <w:p>
            <w:pPr>
              <w:spacing w:after="0"/>
              <w:rPr>
                <w:sz w:val="20"/>
                <w:szCs w:val="20"/>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Act of 1940 (15 U.S.C. 80a-3).</w:t>
            </w:r>
          </w:p>
        </w:tc>
        <w:tc>
          <w:tcPr>
            <w:tcW w:w="1460" w:type="dxa"/>
            <w:vAlign w:val="bottom"/>
          </w:tcPr>
          <w:p>
            <w:pPr>
              <w:spacing w:after="0"/>
              <w:rPr>
                <w:sz w:val="20"/>
                <w:szCs w:val="20"/>
                <w:color w:val="auto"/>
              </w:rPr>
            </w:pPr>
          </w:p>
        </w:tc>
      </w:tr>
      <w:tr>
        <w:trPr>
          <w:trHeight w:val="452"/>
        </w:trPr>
        <w:tc>
          <w:tcPr>
            <w:tcW w:w="1120" w:type="dxa"/>
            <w:vAlign w:val="bottom"/>
          </w:tcPr>
          <w:p>
            <w:pPr>
              <w:spacing w:after="0"/>
              <w:rPr>
                <w:sz w:val="24"/>
                <w:szCs w:val="24"/>
                <w:color w:val="auto"/>
              </w:rPr>
            </w:pPr>
          </w:p>
        </w:tc>
        <w:tc>
          <w:tcPr>
            <w:tcW w:w="866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(j)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tc>
        <w:tc>
          <w:tcPr>
            <w:tcW w:w="1460" w:type="dxa"/>
            <w:vAlign w:val="bottom"/>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660" w:type="dxa"/>
            <w:vAlign w:val="bottom"/>
          </w:tcPr>
          <w:p>
            <w:pPr>
              <w:ind w:left="360"/>
              <w:spacing w:after="0"/>
              <w:rPr>
                <w:sz w:val="20"/>
                <w:szCs w:val="20"/>
                <w:color w:val="auto"/>
              </w:rPr>
            </w:pPr>
            <w:r>
              <w:rPr>
                <w:rFonts w:ascii="Arial" w:cs="Arial" w:eastAsia="Arial" w:hAnsi="Arial"/>
                <w:sz w:val="18"/>
                <w:szCs w:val="18"/>
                <w:b w:val="1"/>
                <w:bCs w:val="1"/>
                <w:color w:val="auto"/>
              </w:rPr>
              <w:t>Ownership:</w:t>
            </w:r>
          </w:p>
        </w:tc>
        <w:tc>
          <w:tcPr>
            <w:tcW w:w="146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8660" w:type="dxa"/>
            <w:vAlign w:val="bottom"/>
          </w:tcPr>
          <w:p>
            <w:pPr>
              <w:ind w:left="360"/>
              <w:spacing w:after="0"/>
              <w:rPr>
                <w:sz w:val="20"/>
                <w:szCs w:val="20"/>
                <w:color w:val="auto"/>
              </w:rPr>
            </w:pPr>
            <w:r>
              <w:rPr>
                <w:rFonts w:ascii="Arial" w:cs="Arial" w:eastAsia="Arial" w:hAnsi="Arial"/>
                <w:sz w:val="18"/>
                <w:szCs w:val="18"/>
                <w:b w:val="1"/>
                <w:bCs w:val="1"/>
                <w:color w:val="auto"/>
              </w:rPr>
              <w:t>Amount Beneficially Owned:</w:t>
            </w:r>
          </w:p>
        </w:tc>
        <w:tc>
          <w:tcPr>
            <w:tcW w:w="146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10120" w:type="dxa"/>
            <w:vAlign w:val="bottom"/>
            <w:gridSpan w:val="2"/>
          </w:tcPr>
          <w:p>
            <w:pPr>
              <w:ind w:left="360"/>
              <w:spacing w:after="0"/>
              <w:rPr>
                <w:sz w:val="20"/>
                <w:szCs w:val="20"/>
                <w:color w:val="auto"/>
              </w:rPr>
            </w:pPr>
            <w:r>
              <w:rPr>
                <w:rFonts w:ascii="Arial" w:cs="Arial" w:eastAsia="Arial" w:hAnsi="Arial"/>
                <w:sz w:val="18"/>
                <w:szCs w:val="18"/>
                <w:color w:val="auto"/>
                <w:w w:val="93"/>
              </w:rPr>
              <w:t>As of December 31, 2021, Nantahala may be deemed to be the beneficial owner of 1,340,020 Shares held by funds and separately</w:t>
            </w:r>
          </w:p>
        </w:tc>
      </w:tr>
      <w:tr>
        <w:trPr>
          <w:trHeight w:val="216"/>
        </w:trPr>
        <w:tc>
          <w:tcPr>
            <w:tcW w:w="1120" w:type="dxa"/>
            <w:vAlign w:val="bottom"/>
          </w:tcPr>
          <w:p>
            <w:pPr>
              <w:spacing w:after="0"/>
              <w:rPr>
                <w:sz w:val="18"/>
                <w:szCs w:val="18"/>
                <w:color w:val="auto"/>
              </w:rPr>
            </w:pPr>
          </w:p>
        </w:tc>
        <w:tc>
          <w:tcPr>
            <w:tcW w:w="10120" w:type="dxa"/>
            <w:vAlign w:val="bottom"/>
            <w:gridSpan w:val="2"/>
          </w:tcPr>
          <w:p>
            <w:pPr>
              <w:ind w:left="360"/>
              <w:spacing w:after="0"/>
              <w:rPr>
                <w:sz w:val="20"/>
                <w:szCs w:val="20"/>
                <w:color w:val="auto"/>
              </w:rPr>
            </w:pPr>
            <w:r>
              <w:rPr>
                <w:rFonts w:ascii="Arial" w:cs="Arial" w:eastAsia="Arial" w:hAnsi="Arial"/>
                <w:sz w:val="18"/>
                <w:szCs w:val="18"/>
                <w:color w:val="auto"/>
                <w:w w:val="89"/>
              </w:rPr>
              <w:t>managed accounts under its control, and as the managing members of Nantahala, each of Messrs. Harkey and Mack may be deemed to</w:t>
            </w:r>
          </w:p>
        </w:tc>
      </w:tr>
      <w:tr>
        <w:trPr>
          <w:trHeight w:val="230"/>
        </w:trPr>
        <w:tc>
          <w:tcPr>
            <w:tcW w:w="1120" w:type="dxa"/>
            <w:vAlign w:val="bottom"/>
          </w:tcPr>
          <w:p>
            <w:pPr>
              <w:spacing w:after="0"/>
              <w:rPr>
                <w:sz w:val="20"/>
                <w:szCs w:val="20"/>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be a beneficial owner of those Shares.</w:t>
            </w:r>
          </w:p>
        </w:tc>
        <w:tc>
          <w:tcPr>
            <w:tcW w:w="1460" w:type="dxa"/>
            <w:vAlign w:val="bottom"/>
          </w:tcPr>
          <w:p>
            <w:pPr>
              <w:spacing w:after="0"/>
              <w:rPr>
                <w:sz w:val="20"/>
                <w:szCs w:val="20"/>
                <w:color w:val="auto"/>
              </w:rPr>
            </w:pPr>
          </w:p>
        </w:tc>
      </w:tr>
      <w:tr>
        <w:trPr>
          <w:trHeight w:val="675"/>
        </w:trPr>
        <w:tc>
          <w:tcPr>
            <w:tcW w:w="11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Page 7 of 8 Pages</w:t>
            </w: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Item 4(b).</w:t>
            </w: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Percent of Class:</w:t>
            </w:r>
          </w:p>
        </w:tc>
        <w:tc>
          <w:tcPr>
            <w:tcW w:w="1640" w:type="dxa"/>
            <w:vAlign w:val="bottom"/>
          </w:tcPr>
          <w:p>
            <w:pPr>
              <w:spacing w:after="0"/>
              <w:rPr>
                <w:sz w:val="24"/>
                <w:szCs w:val="24"/>
                <w:color w:val="auto"/>
              </w:rPr>
            </w:pPr>
          </w:p>
        </w:tc>
      </w:tr>
      <w:tr>
        <w:trPr>
          <w:trHeight w:val="418"/>
        </w:trPr>
        <w:tc>
          <w:tcPr>
            <w:tcW w:w="148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3"/>
              </w:rPr>
              <w:t>As of December 31, 2021, each of the Reporting Persons may be deemed to be the beneficial owner of 3.1% of the total number of</w:t>
            </w:r>
          </w:p>
        </w:tc>
      </w:tr>
      <w:tr>
        <w:trPr>
          <w:trHeight w:val="216"/>
        </w:trPr>
        <w:tc>
          <w:tcPr>
            <w:tcW w:w="148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0"/>
              </w:rPr>
              <w:t>Shares outstanding (based upon information provided by the Issuer on the S-1 filed December 21, 2021, there were 42,649,041 Shares</w:t>
            </w:r>
          </w:p>
        </w:tc>
      </w:tr>
      <w:tr>
        <w:trPr>
          <w:trHeight w:val="230"/>
        </w:trPr>
        <w:tc>
          <w:tcPr>
            <w:tcW w:w="148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outstanding as of December 1, 2021, in addition to Shares issuable upon the exercise of warrants held by the Reporting Persons).</w:t>
            </w: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Number of shares as to which such person has:</w:t>
            </w:r>
          </w:p>
        </w:tc>
        <w:tc>
          <w:tcPr>
            <w:tcW w:w="1640" w:type="dxa"/>
            <w:vAlign w:val="bottom"/>
          </w:tcPr>
          <w:p>
            <w:pPr>
              <w:spacing w:after="0"/>
              <w:rPr>
                <w:sz w:val="24"/>
                <w:szCs w:val="24"/>
                <w:color w:val="auto"/>
              </w:rPr>
            </w:pPr>
          </w:p>
        </w:tc>
      </w:tr>
      <w:tr>
        <w:trPr>
          <w:trHeight w:val="391"/>
        </w:trPr>
        <w:tc>
          <w:tcPr>
            <w:tcW w:w="14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Nantahala Capital Management, LLC</w:t>
            </w:r>
          </w:p>
        </w:tc>
        <w:tc>
          <w:tcPr>
            <w:tcW w:w="164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Sole power to vote or direct the vote</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(ii)</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1640" w:type="dxa"/>
            <w:vAlign w:val="bottom"/>
          </w:tcPr>
          <w:p>
            <w:pPr>
              <w:jc w:val="right"/>
              <w:spacing w:after="0"/>
              <w:rPr>
                <w:sz w:val="20"/>
                <w:szCs w:val="20"/>
                <w:color w:val="auto"/>
              </w:rPr>
            </w:pPr>
            <w:r>
              <w:rPr>
                <w:rFonts w:ascii="Arial" w:cs="Arial" w:eastAsia="Arial" w:hAnsi="Arial"/>
                <w:sz w:val="18"/>
                <w:szCs w:val="18"/>
                <w:color w:val="auto"/>
              </w:rPr>
              <w:t>1,340,020</w:t>
            </w:r>
          </w:p>
        </w:tc>
      </w:tr>
      <w:tr>
        <w:trPr>
          <w:trHeight w:val="432"/>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(iii)</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(iv)</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1640" w:type="dxa"/>
            <w:vAlign w:val="bottom"/>
          </w:tcPr>
          <w:p>
            <w:pPr>
              <w:jc w:val="right"/>
              <w:spacing w:after="0"/>
              <w:rPr>
                <w:sz w:val="20"/>
                <w:szCs w:val="20"/>
                <w:color w:val="auto"/>
              </w:rPr>
            </w:pPr>
            <w:r>
              <w:rPr>
                <w:rFonts w:ascii="Arial" w:cs="Arial" w:eastAsia="Arial" w:hAnsi="Arial"/>
                <w:sz w:val="18"/>
                <w:szCs w:val="18"/>
                <w:color w:val="auto"/>
              </w:rPr>
              <w:t>1,340,020</w:t>
            </w:r>
          </w:p>
        </w:tc>
      </w:tr>
      <w:tr>
        <w:trPr>
          <w:trHeight w:val="418"/>
        </w:trPr>
        <w:tc>
          <w:tcPr>
            <w:tcW w:w="14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Each of Messrs. Harkey and Mack</w:t>
            </w:r>
          </w:p>
        </w:tc>
        <w:tc>
          <w:tcPr>
            <w:tcW w:w="164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53"/>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Sole power to vote or direct the vote</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(ii)</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1640" w:type="dxa"/>
            <w:vAlign w:val="bottom"/>
          </w:tcPr>
          <w:p>
            <w:pPr>
              <w:jc w:val="right"/>
              <w:spacing w:after="0"/>
              <w:rPr>
                <w:sz w:val="20"/>
                <w:szCs w:val="20"/>
                <w:color w:val="auto"/>
              </w:rPr>
            </w:pPr>
            <w:r>
              <w:rPr>
                <w:rFonts w:ascii="Arial" w:cs="Arial" w:eastAsia="Arial" w:hAnsi="Arial"/>
                <w:sz w:val="18"/>
                <w:szCs w:val="18"/>
                <w:color w:val="auto"/>
              </w:rPr>
              <w:t>1,340,020</w:t>
            </w:r>
          </w:p>
        </w:tc>
      </w:tr>
      <w:tr>
        <w:trPr>
          <w:trHeight w:val="432"/>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(iii)</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(iv)</w:t>
            </w:r>
          </w:p>
        </w:tc>
        <w:tc>
          <w:tcPr>
            <w:tcW w:w="6980" w:type="dxa"/>
            <w:vAlign w:val="bottom"/>
            <w:gridSpan w:val="3"/>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1640" w:type="dxa"/>
            <w:vAlign w:val="bottom"/>
          </w:tcPr>
          <w:p>
            <w:pPr>
              <w:jc w:val="right"/>
              <w:spacing w:after="0"/>
              <w:rPr>
                <w:sz w:val="20"/>
                <w:szCs w:val="20"/>
                <w:color w:val="auto"/>
              </w:rPr>
            </w:pPr>
            <w:r>
              <w:rPr>
                <w:rFonts w:ascii="Arial" w:cs="Arial" w:eastAsia="Arial" w:hAnsi="Arial"/>
                <w:sz w:val="18"/>
                <w:szCs w:val="18"/>
                <w:color w:val="auto"/>
              </w:rPr>
              <w:t>1,340,020</w:t>
            </w:r>
          </w:p>
        </w:tc>
      </w:tr>
      <w:tr>
        <w:trPr>
          <w:trHeight w:val="459"/>
        </w:trPr>
        <w:tc>
          <w:tcPr>
            <w:tcW w:w="14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Ownership of Five Percent or Less of a Class:</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w w:val="93"/>
              </w:rPr>
              <w:t>The Reporting Persons have ceased to be beneficial owners of more than five percent of the Common Stock.</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This Item 6 is not applicable.</w:t>
            </w:r>
          </w:p>
        </w:tc>
        <w:tc>
          <w:tcPr>
            <w:tcW w:w="1640" w:type="dxa"/>
            <w:vAlign w:val="bottom"/>
          </w:tcPr>
          <w:p>
            <w:pPr>
              <w:spacing w:after="0"/>
              <w:rPr>
                <w:sz w:val="24"/>
                <w:szCs w:val="24"/>
                <w:color w:val="auto"/>
              </w:rPr>
            </w:pPr>
          </w:p>
        </w:tc>
      </w:tr>
      <w:tr>
        <w:trPr>
          <w:trHeight w:val="41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4"/>
              </w:rPr>
              <w:t>Identification and Classification of the Subsidiary Which Acquired the Security Being Reported on by the Parent Holding</w:t>
            </w:r>
          </w:p>
        </w:tc>
      </w:tr>
      <w:tr>
        <w:trPr>
          <w:trHeight w:val="234"/>
        </w:trPr>
        <w:tc>
          <w:tcPr>
            <w:tcW w:w="148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0"/>
              </w:rPr>
              <w:t>Each of Messrs. Harkey and Mack is filing this Schedule 13G as a control person in respect of shares beneficially owned by Nantahala,</w:t>
            </w:r>
          </w:p>
        </w:tc>
      </w:tr>
      <w:tr>
        <w:trPr>
          <w:trHeight w:val="230"/>
        </w:trPr>
        <w:tc>
          <w:tcPr>
            <w:tcW w:w="148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an investment adviser as described in §240.13d-1(b)(1)(ii)(E). See Item 4(a).</w:t>
            </w:r>
          </w:p>
        </w:tc>
        <w:tc>
          <w:tcPr>
            <w:tcW w:w="1640" w:type="dxa"/>
            <w:vAlign w:val="bottom"/>
          </w:tcPr>
          <w:p>
            <w:pPr>
              <w:spacing w:after="0"/>
              <w:rPr>
                <w:sz w:val="20"/>
                <w:szCs w:val="20"/>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This Item 8 is not applicable.</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Notice of Dissolution of Group:</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This Item 9 is not applicable.</w:t>
            </w:r>
          </w:p>
        </w:tc>
        <w:tc>
          <w:tcPr>
            <w:tcW w:w="1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Certification:</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148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By signing below each Reporting Person certifies that, to the best of such person's knowledge and belief, the securities referred to</w:t>
            </w:r>
          </w:p>
        </w:tc>
      </w:tr>
      <w:tr>
        <w:trPr>
          <w:trHeight w:val="216"/>
        </w:trPr>
        <w:tc>
          <w:tcPr>
            <w:tcW w:w="148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above were acquired and are held in the ordinary course of business and were not acquired and are not held for the purpose of or with</w:t>
            </w:r>
          </w:p>
        </w:tc>
      </w:tr>
      <w:tr>
        <w:trPr>
          <w:trHeight w:val="216"/>
        </w:trPr>
        <w:tc>
          <w:tcPr>
            <w:tcW w:w="148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3"/>
              </w:rPr>
              <w:t>the effect of changing or influencing the control of the issuer of the securities and were not acquired and are not held in connection</w:t>
            </w:r>
          </w:p>
        </w:tc>
      </w:tr>
      <w:tr>
        <w:trPr>
          <w:trHeight w:val="230"/>
        </w:trPr>
        <w:tc>
          <w:tcPr>
            <w:tcW w:w="148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with or as a participant in any transaction having such purpose or effect.</w:t>
            </w:r>
          </w:p>
        </w:tc>
        <w:tc>
          <w:tcPr>
            <w:tcW w:w="1640" w:type="dxa"/>
            <w:vAlign w:val="bottom"/>
          </w:tcPr>
          <w:p>
            <w:pPr>
              <w:spacing w:after="0"/>
              <w:rPr>
                <w:sz w:val="20"/>
                <w:szCs w:val="20"/>
                <w:color w:val="auto"/>
              </w:rPr>
            </w:pPr>
          </w:p>
        </w:tc>
      </w:tr>
      <w:tr>
        <w:trPr>
          <w:trHeight w:val="702"/>
        </w:trPr>
        <w:tc>
          <w:tcPr>
            <w:tcW w:w="1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71367G102</w:t>
      </w:r>
      <w:r>
        <w:rPr>
          <w:sz w:val="20"/>
          <w:szCs w:val="20"/>
          <w:color w:val="auto"/>
        </w:rPr>
        <w:tab/>
      </w:r>
      <w:r>
        <w:rPr>
          <w:rFonts w:ascii="Arial" w:cs="Arial" w:eastAsia="Arial" w:hAnsi="Arial"/>
          <w:sz w:val="15"/>
          <w:szCs w:val="15"/>
          <w:b w:val="1"/>
          <w:bCs w:val="1"/>
          <w:color w:val="auto"/>
        </w:rPr>
        <w:t>Page 8 of 8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8"/>
          <w:szCs w:val="18"/>
          <w:color w:val="auto"/>
        </w:rPr>
        <w:t>NANTAHALA CAPITAL MANAGEMENT,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Taki Vasilakis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Taki Vasilakis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Compliance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Wilmot B. Harkey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Wilmot B. Harkey</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Daniel Mack</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2022-02-14T07:14:18Z</dcterms:created>
  <dcterms:modified xsi:type="dcterms:W3CDTF">2022-02-14T07:14:18Z</dcterms:modified>
</cp:coreProperties>
</file>