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4, 2021 (May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FINTECH ACQUISITION CORP. IV</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24" w:type="dxa"/>
        <w:tblCellMar>
          <w:top w:w="0" w:type="dxa"/>
          <w:left w:w="0" w:type="dxa"/>
          <w:bottom w:w="0" w:type="dxa"/>
          <w:right w:w="0" w:type="dxa"/>
        </w:tblCellMar>
      </w:tblPr>
      <w:tr>
        <w:trPr>
          <w:trHeight w:val="212"/>
        </w:trPr>
        <w:tc>
          <w:tcPr>
            <w:tcW w:w="2460" w:type="dxa"/>
            <w:vAlign w:val="bottom"/>
          </w:tcPr>
          <w:p>
            <w:pPr>
              <w:jc w:val="center"/>
              <w:ind w:right="1499"/>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ind w:left="1340"/>
              <w:spacing w:after="0"/>
              <w:rPr>
                <w:sz w:val="20"/>
                <w:szCs w:val="20"/>
                <w:color w:val="auto"/>
              </w:rPr>
            </w:pPr>
            <w:r>
              <w:rPr>
                <w:rFonts w:ascii="Arial" w:cs="Arial" w:eastAsia="Arial" w:hAnsi="Arial"/>
                <w:sz w:val="18"/>
                <w:szCs w:val="18"/>
                <w:b w:val="1"/>
                <w:bCs w:val="1"/>
                <w:color w:val="auto"/>
              </w:rPr>
              <w:t>001-39558</w:t>
            </w:r>
          </w:p>
        </w:tc>
        <w:tc>
          <w:tcPr>
            <w:tcW w:w="2260" w:type="dxa"/>
            <w:vAlign w:val="bottom"/>
          </w:tcPr>
          <w:p>
            <w:pPr>
              <w:jc w:val="center"/>
              <w:ind w:left="1041"/>
              <w:spacing w:after="0"/>
              <w:rPr>
                <w:sz w:val="20"/>
                <w:szCs w:val="20"/>
                <w:color w:val="auto"/>
              </w:rPr>
            </w:pPr>
            <w:r>
              <w:rPr>
                <w:rFonts w:ascii="Arial" w:cs="Arial" w:eastAsia="Arial" w:hAnsi="Arial"/>
                <w:sz w:val="18"/>
                <w:szCs w:val="18"/>
                <w:b w:val="1"/>
                <w:bCs w:val="1"/>
                <w:color w:val="auto"/>
                <w:w w:val="89"/>
              </w:rPr>
              <w:t>84-1770732</w:t>
            </w:r>
          </w:p>
        </w:tc>
      </w:tr>
      <w:tr>
        <w:trPr>
          <w:trHeight w:val="148"/>
        </w:trPr>
        <w:tc>
          <w:tcPr>
            <w:tcW w:w="2460" w:type="dxa"/>
            <w:vAlign w:val="bottom"/>
          </w:tcPr>
          <w:p>
            <w:pPr>
              <w:jc w:val="center"/>
              <w:ind w:right="1499"/>
              <w:spacing w:after="0" w:line="149" w:lineRule="exact"/>
              <w:rPr>
                <w:sz w:val="20"/>
                <w:szCs w:val="20"/>
                <w:color w:val="auto"/>
              </w:rPr>
            </w:pPr>
            <w:r>
              <w:rPr>
                <w:rFonts w:ascii="Arial" w:cs="Arial" w:eastAsia="Arial" w:hAnsi="Arial"/>
                <w:sz w:val="14"/>
                <w:szCs w:val="14"/>
                <w:b w:val="1"/>
                <w:bCs w:val="1"/>
                <w:color w:val="auto"/>
                <w:w w:val="92"/>
              </w:rPr>
              <w:t>(State of</w:t>
            </w:r>
          </w:p>
        </w:tc>
        <w:tc>
          <w:tcPr>
            <w:tcW w:w="368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(Commission</w:t>
            </w:r>
          </w:p>
        </w:tc>
        <w:tc>
          <w:tcPr>
            <w:tcW w:w="2260" w:type="dxa"/>
            <w:vAlign w:val="bottom"/>
          </w:tcPr>
          <w:p>
            <w:pPr>
              <w:jc w:val="center"/>
              <w:ind w:left="10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460" w:type="dxa"/>
            <w:vAlign w:val="bottom"/>
          </w:tcPr>
          <w:p>
            <w:pPr>
              <w:jc w:val="center"/>
              <w:ind w:right="1479"/>
              <w:spacing w:after="0"/>
              <w:rPr>
                <w:sz w:val="20"/>
                <w:szCs w:val="20"/>
                <w:color w:val="auto"/>
              </w:rPr>
            </w:pPr>
            <w:r>
              <w:rPr>
                <w:rFonts w:ascii="Arial" w:cs="Arial" w:eastAsia="Arial" w:hAnsi="Arial"/>
                <w:sz w:val="14"/>
                <w:szCs w:val="14"/>
                <w:b w:val="1"/>
                <w:bCs w:val="1"/>
                <w:color w:val="auto"/>
                <w:w w:val="94"/>
              </w:rPr>
              <w:t>incorporation)</w:t>
            </w:r>
          </w:p>
        </w:tc>
        <w:tc>
          <w:tcPr>
            <w:tcW w:w="3680" w:type="dxa"/>
            <w:vAlign w:val="bottom"/>
          </w:tcPr>
          <w:p>
            <w:pPr>
              <w:ind w:left="1320"/>
              <w:spacing w:after="0"/>
              <w:rPr>
                <w:sz w:val="20"/>
                <w:szCs w:val="20"/>
                <w:color w:val="auto"/>
              </w:rPr>
            </w:pPr>
            <w:r>
              <w:rPr>
                <w:rFonts w:ascii="Arial" w:cs="Arial" w:eastAsia="Arial" w:hAnsi="Arial"/>
                <w:sz w:val="14"/>
                <w:szCs w:val="14"/>
                <w:b w:val="1"/>
                <w:bCs w:val="1"/>
                <w:color w:val="auto"/>
              </w:rPr>
              <w:t>File Number)</w:t>
            </w:r>
          </w:p>
        </w:tc>
        <w:tc>
          <w:tcPr>
            <w:tcW w:w="2260" w:type="dxa"/>
            <w:vAlign w:val="bottom"/>
          </w:tcPr>
          <w:p>
            <w:pPr>
              <w:jc w:val="center"/>
              <w:ind w:left="10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460" w:type="dxa"/>
            <w:vAlign w:val="bottom"/>
          </w:tcPr>
          <w:p>
            <w:pPr>
              <w:jc w:val="center"/>
              <w:ind w:left="159"/>
              <w:spacing w:after="0"/>
              <w:rPr>
                <w:sz w:val="20"/>
                <w:szCs w:val="20"/>
                <w:color w:val="auto"/>
              </w:rPr>
            </w:pPr>
            <w:r>
              <w:rPr>
                <w:rFonts w:ascii="Arial" w:cs="Arial" w:eastAsia="Arial" w:hAnsi="Arial"/>
                <w:sz w:val="18"/>
                <w:szCs w:val="18"/>
                <w:b w:val="1"/>
                <w:bCs w:val="1"/>
                <w:color w:val="auto"/>
                <w:w w:val="90"/>
              </w:rPr>
              <w:t>2929 Arch Street, Suite 1703</w:t>
            </w:r>
          </w:p>
        </w:tc>
        <w:tc>
          <w:tcPr>
            <w:tcW w:w="36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2460" w:type="dxa"/>
            <w:vAlign w:val="bottom"/>
          </w:tcPr>
          <w:p>
            <w:pPr>
              <w:jc w:val="center"/>
              <w:ind w:left="179"/>
              <w:spacing w:after="0"/>
              <w:rPr>
                <w:sz w:val="20"/>
                <w:szCs w:val="20"/>
                <w:color w:val="auto"/>
              </w:rPr>
            </w:pPr>
            <w:r>
              <w:rPr>
                <w:rFonts w:ascii="Arial" w:cs="Arial" w:eastAsia="Arial" w:hAnsi="Arial"/>
                <w:sz w:val="18"/>
                <w:szCs w:val="18"/>
                <w:b w:val="1"/>
                <w:bCs w:val="1"/>
                <w:color w:val="auto"/>
                <w:w w:val="90"/>
              </w:rPr>
              <w:t>Philadelphia, PA</w:t>
            </w:r>
          </w:p>
        </w:tc>
        <w:tc>
          <w:tcPr>
            <w:tcW w:w="3680" w:type="dxa"/>
            <w:vAlign w:val="bottom"/>
          </w:tcPr>
          <w:p>
            <w:pPr>
              <w:spacing w:after="0"/>
              <w:rPr>
                <w:sz w:val="19"/>
                <w:szCs w:val="19"/>
                <w:color w:val="auto"/>
              </w:rPr>
            </w:pPr>
          </w:p>
        </w:tc>
        <w:tc>
          <w:tcPr>
            <w:tcW w:w="2260" w:type="dxa"/>
            <w:vAlign w:val="bottom"/>
          </w:tcPr>
          <w:p>
            <w:pPr>
              <w:jc w:val="right"/>
              <w:ind w:right="1181"/>
              <w:spacing w:after="0"/>
              <w:rPr>
                <w:sz w:val="20"/>
                <w:szCs w:val="20"/>
                <w:color w:val="auto"/>
              </w:rPr>
            </w:pPr>
            <w:r>
              <w:rPr>
                <w:rFonts w:ascii="Arial" w:cs="Arial" w:eastAsia="Arial" w:hAnsi="Arial"/>
                <w:sz w:val="18"/>
                <w:szCs w:val="18"/>
                <w:b w:val="1"/>
                <w:bCs w:val="1"/>
                <w:color w:val="auto"/>
              </w:rPr>
              <w:t>19104</w:t>
            </w:r>
          </w:p>
        </w:tc>
      </w:tr>
      <w:tr>
        <w:trPr>
          <w:trHeight w:val="186"/>
        </w:trPr>
        <w:tc>
          <w:tcPr>
            <w:tcW w:w="6140" w:type="dxa"/>
            <w:vAlign w:val="bottom"/>
            <w:gridSpan w:val="2"/>
          </w:tcPr>
          <w:p>
            <w:pPr>
              <w:jc w:val="center"/>
              <w:ind w:right="33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60" w:type="dxa"/>
            <w:vAlign w:val="bottom"/>
          </w:tcPr>
          <w:p>
            <w:pPr>
              <w:jc w:val="center"/>
              <w:ind w:right="6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460" w:type="dxa"/>
            <w:vAlign w:val="bottom"/>
          </w:tcPr>
          <w:p>
            <w:pPr>
              <w:spacing w:after="0"/>
              <w:rPr>
                <w:sz w:val="24"/>
                <w:szCs w:val="24"/>
                <w:color w:val="auto"/>
              </w:rPr>
            </w:pPr>
          </w:p>
        </w:tc>
        <w:tc>
          <w:tcPr>
            <w:tcW w:w="3680" w:type="dxa"/>
            <w:vAlign w:val="bottom"/>
          </w:tcPr>
          <w:p>
            <w:pPr>
              <w:jc w:val="right"/>
              <w:ind w:right="1421"/>
              <w:spacing w:after="0"/>
              <w:rPr>
                <w:sz w:val="20"/>
                <w:szCs w:val="20"/>
                <w:color w:val="auto"/>
              </w:rPr>
            </w:pPr>
            <w:r>
              <w:rPr>
                <w:rFonts w:ascii="Arial" w:cs="Arial" w:eastAsia="Arial" w:hAnsi="Arial"/>
                <w:sz w:val="18"/>
                <w:szCs w:val="18"/>
                <w:b w:val="1"/>
                <w:bCs w:val="1"/>
                <w:color w:val="auto"/>
              </w:rPr>
              <w:t>(215) 701-9555</w:t>
            </w:r>
          </w:p>
        </w:tc>
        <w:tc>
          <w:tcPr>
            <w:tcW w:w="2260" w:type="dxa"/>
            <w:vAlign w:val="bottom"/>
          </w:tcPr>
          <w:p>
            <w:pPr>
              <w:spacing w:after="0"/>
              <w:rPr>
                <w:sz w:val="24"/>
                <w:szCs w:val="24"/>
                <w:color w:val="auto"/>
              </w:rPr>
            </w:pPr>
          </w:p>
        </w:tc>
      </w:tr>
      <w:tr>
        <w:trPr>
          <w:trHeight w:val="186"/>
        </w:trPr>
        <w:tc>
          <w:tcPr>
            <w:tcW w:w="2460" w:type="dxa"/>
            <w:vAlign w:val="bottom"/>
          </w:tcPr>
          <w:p>
            <w:pPr>
              <w:spacing w:after="0"/>
              <w:rPr>
                <w:sz w:val="16"/>
                <w:szCs w:val="16"/>
                <w:color w:val="auto"/>
              </w:rPr>
            </w:pPr>
          </w:p>
        </w:tc>
        <w:tc>
          <w:tcPr>
            <w:tcW w:w="3680" w:type="dxa"/>
            <w:vAlign w:val="bottom"/>
          </w:tcPr>
          <w:p>
            <w:pPr>
              <w:jc w:val="center"/>
              <w:ind w:right="36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FTIVU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common stock and one-third of one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common stock, par value $0.0001 per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FTIV</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FTIVW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Sponsor Share Surrender and Share Restriction Agreement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disclosed in a Current Report on Form 8-K of FinTech Acquisition Corp. IV, a Delaware corporation (the “Company”), filed with the Securities and Exchange Commission (the “SEC”) on December 30, 2020, as amended by an Amendment to Current Report on Form 8-K/A of the Company filed with the SEC on December 31, 2020 (together, the “Previous Current Report”), on December 29, 2020, the Company announced that it entered into a Business Combination Agreement (the “Business Combination Agreement”), dated as of December 29, 2020, by and among the Company, FinTech Investor Holdings IV, LLC, a Delaware limited liability company, Fintech Masala Advisors, LLC, a Delaware limited liability company (together with FinTech Investor Holdings IV, LLC, the “Sponsor”), PWP Holdings LP, a Delaware limited partnership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of the transactions contemplated by the Business Combination Agreement (“the Closing”) will serve as the Company’s operating partnership as part of an umbrella limited partnership C-corporation (Up-C) structure.</w:t>
      </w:r>
    </w:p>
    <w:p>
      <w:pPr>
        <w:spacing w:after="0" w:line="17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disclosed in the Previous Current Report, on December 29, 2020, concurrently with the execution and delivery of the Business Combination Agreement, the Sponsor entered into a Sponsor Share Surrender and Share Restriction Agreement (the “Sponsor Share Cancellation Agreement”) with the Company, PWP and the other parties to that certain letter agreement, dated as of September 24, 2020, by and among the Sponsor, the Company and such other parties, pursuant to which the Sponsor agreed that, concurrent with and contingent upon the Closing, it will forfeit an aggregate of 1,023,333 shares of Class B common stock for no consideration and agrees that 610,000 shares of</w:t>
      </w:r>
    </w:p>
    <w:p>
      <w:pPr>
        <w:sectPr>
          <w:pgSz w:w="11900" w:h="16838" w:orient="portrait"/>
          <w:cols w:equalWidth="0" w:num="1">
            <w:col w:w="11000"/>
          </w:cols>
          <w:pgMar w:left="440" w:top="270" w:right="459" w:bottom="1440" w:gutter="0" w:footer="0" w:header="0"/>
        </w:sectPr>
      </w:pPr>
    </w:p>
    <w:bookmarkStart w:id="2" w:name="page3"/>
    <w:bookmarkEnd w:id="2"/>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A common stock and 6,846,667 shares of Class B common stock held thereby be subject to transfer restrictions for six months following the Closing and that 80% of the shares of Class B common stock also be subject to vesting conditions based on certain closing share price thresholds of the Company’s common stock for 20 out of any 30 consecutive trading days (such 80% of the shares of Class B common stock, the “Share Price Restricted Class B Shares”) imposing restrictions on transfer prior to the satisfaction of such vesting conditions.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May 4, 2021, the parties to the Sponsor Share Cancellation Agreement entered into an Amendment to Sponsor Share Surrender and Share Restriction Agreement (the “Amendment to the Sponsor Share Cancellation Agreement”). The Amendment to the Sponsor Share Cancellation Agreement revises the terms of the restrictions on transfer of the Share Price Restricted Class B Shares to provide that such restrictions on transfer, if not previously lapsed or terminated in accordance with their terms, shall terminate on the tenth anniversary of the date of the consummation of the business combination contemplated by the Business Combination Agreement (the “Business Combination”).</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foregoing description of the Amendment to the Sponsor Share Cancellation Agreement does not purport to be complete and is qualified in its entirety by the terms and conditions of the Amendment to the Sponsor Share Cancellation Agreement, a copy of which is attached hereto as Exhibit 10.1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Current Report contains “forward-looking statements” within the meaning of The Private Securities Litigation Reform Act of 1995. Forward-looking statements include, without limitation, statements regarding the estimated future financial performance, financial position and financial impacts of the potential transaction, the satisfaction of closing conditions to the potential transaction and the private placement, the level of redemptions by the Company’s public stockholders, the timing of the completion of the potential transaction, the anticipated pro forma enterprise value and Adjusted Net Income of the combined company following the potential transaction, anticipated ownership percentages of the combined company’s stockholders following the potential transaction, and the business strategy, plans and objectives of management for future operations, including as they relate to the potential transaction. Such statements can be identified by the fact that they do not relate strictly to historical or current facts. When used in this Current Report, words such as “pro forma,”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including as they relate to the potential transaction, it is making projections, forecasts and forward-looking statements. Such statements are based on the beliefs of, as well as assumptions made by and information currently available to, the Company’s management.</w:t>
      </w:r>
    </w:p>
    <w:p>
      <w:pPr>
        <w:spacing w:after="0" w:line="1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These forward-looking statements involve significant risks and uncertainties that could cause the actual results to differ materially from the expected results. Most of these factors are outside the Company’s and Perella Weinberg Partners’ control and are difficult to predict. Factors that may cause such differences include, but are not limited to: (1) the Company’s ability to complete the potential transaction or, if the Company does not complete the potential transaction, any other initial business combination; (2) satisfaction or waiver (if applicable) of the conditions to the potential transaction, including with respect to the approval of the stockholders of the Company; (3) the ability to maintain the listing of the combined company’s securities on a national securities exchange; (4) the inability to complete the private placement; (5) the risk that the proposed transaction disrupts current plans and operations of the Company or Perella Weinberg Partners as a result of the announcement and consummation of the transaction described herein; (6) the ability to recognize the anticipated benefits of the proposed transaction, which may be affected by, among other things, competition, the ability of the combined company to grow and manage growth profitably, maintain relationships with customers and suppliers and retain its management and key employees; (7) costs related to the proposed transaction; (8) changes in applicable laws or regulations and delays in obtaining, adverse conditions contained in, or the inability to obtain necessary regulatory approvals required to complete the potential transaction; (9) the possibility that the Company and Perella Weinberg Partners may be adversely affected by other economic, business, and/or competitive factors; (10) the outcome of any legal proceedings that may be instituted against the Company, Perella Weinberg Partners or any of their respective directors or officers, following the announcement of the potential transaction; (11) the failure to realize anticipated pro forma results and underlying assumptions, including with respect to estimated stockholder redemptions and purchase price and other adjustments; and (12) other risks and uncertainties indicated in the definitive proxy statement of the Company to be filed with the Securities and Exchange Commission (“SEC”), including those under “Risk Factors” therein, and other documents filed or to be filed with the SEC by the Company.</w:t>
      </w:r>
    </w:p>
    <w:p>
      <w:pPr>
        <w:sectPr>
          <w:pgSz w:w="11900" w:h="16838" w:orient="portrait"/>
          <w:cols w:equalWidth="0" w:num="1">
            <w:col w:w="11000"/>
          </w:cols>
          <w:pgMar w:left="440" w:top="274" w:right="459" w:bottom="1440" w:gutter="0" w:footer="0" w:header="0"/>
        </w:sectPr>
      </w:pPr>
    </w:p>
    <w:bookmarkStart w:id="3" w:name="page4"/>
    <w:bookmarkEnd w:id="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Forward-looking statements included in this Current Report speak only as of the date of this Current Report. Neither the Company nor Perella Weinberg Partners undertakes any obligation to update its forward-looking statements to reflect events or circumstances after the date of this Current Report. Additional risks and uncertainties are identified and discussed in the Company’s reports filed with the SEC and available at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Transaction and Where to Find It</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The Company has filed with the SEC a preliminary proxy statement in connection with the Business Combination and, when available, will mail a definitive proxy statement and other relevant documents to its stockholders.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The Company’s stockholders and other interested persons are advised to read the preliminary proxy statement, the amendments thereto, and, when available, the definitive proxy statement in connection with the Company’s solicitation of proxies for such special meeting, as these materials will contain important information about the Company, Perella Weinberg Partners and the Business Combination. The definitive proxy statement will be mailed to the stockholders of the Company as of a record date to be established for voting on the Business Combination and the other matters to be voted upon at the special meeting. The Company’s stockholders will also be able to obtain copies of the proxy statement, as well as other filings containing information about the Company, without charge, once available, at the SEC’s website at http://www.sec.gov, or by directing a request to: </w:t>
      </w:r>
      <w:r>
        <w:rPr>
          <w:rFonts w:ascii="Arial" w:cs="Arial" w:eastAsia="Arial" w:hAnsi="Arial"/>
          <w:sz w:val="17"/>
          <w:szCs w:val="17"/>
          <w:u w:val="single" w:color="auto"/>
          <w:color w:val="auto"/>
        </w:rPr>
        <w:t>aabrams@cohenandcompany.com</w:t>
      </w:r>
      <w:r>
        <w:rPr>
          <w:rFonts w:ascii="Arial" w:cs="Arial" w:eastAsia="Arial" w:hAnsi="Arial"/>
          <w:sz w:val="17"/>
          <w:szCs w:val="17"/>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PWP and certain of their respective directors and officers, as applicable, may be deemed participants in the solicitation of proxies of the Company’s stockholders in connection with the Business Combination. The Company’s stockholders and other interested persons may obtain, without charge, more detailed information regarding the directors and officers of the Company in the Company’s Annual Report on Form 10-K for the year ended December 31, 2020 filed with the SEC on March 15, 2021.</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the Company’s stockholders in connection with the Business Combination and other matters to be voted upon at the special meeting, including certain of PWP’s officers, is set forth in the preliminary proxy statement for the Business Combination that the Company filed with the SEC on February 5, 2021 and amended on March 29, 2021, as it may be further amended. Additional information regarding the interests of participants in the solicitation of proxies in connection with the Business Combination is included in the preliminary proxy statement that the Company filed with the SEC on February 5, 2021 and amended on March 29, 2021, as it may be further amended. This Form 8-K does not constitute a solicitation of a proxy, an offer to purchase or a solicitation of an offer to sell any securities.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540" w:type="dxa"/>
            <w:vAlign w:val="bottom"/>
          </w:tcPr>
          <w:p>
            <w:pPr>
              <w:spacing w:after="0"/>
              <w:rPr>
                <w:sz w:val="16"/>
                <w:szCs w:val="16"/>
                <w:color w:val="auto"/>
              </w:rPr>
            </w:pPr>
          </w:p>
        </w:tc>
        <w:tc>
          <w:tcPr>
            <w:tcW w:w="7020" w:type="dxa"/>
            <w:vAlign w:val="bottom"/>
            <w:gridSpan w:val="3"/>
          </w:tcPr>
          <w:p>
            <w:pPr>
              <w:ind w:left="1880"/>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2"/>
                <w:szCs w:val="22"/>
                <w:color w:val="auto"/>
              </w:rPr>
            </w:pPr>
          </w:p>
        </w:tc>
        <w:tc>
          <w:tcPr>
            <w:tcW w:w="9460" w:type="dxa"/>
            <w:vAlign w:val="bottom"/>
            <w:tcBorders>
              <w:top w:val="single" w:sz="8" w:color="auto"/>
              <w:bottom w:val="single" w:sz="8" w:color="0000EE"/>
            </w:tcBorders>
            <w:gridSpan w:val="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Amendment to Sponsor Share Surrender and Share Restriction Agreement, dated as of May 4, 2021, by and among PWP Holdings</w:t>
              </w:r>
            </w:hyperlink>
          </w:p>
        </w:tc>
        <w:tc>
          <w:tcPr>
            <w:tcW w:w="100" w:type="dxa"/>
            <w:vAlign w:val="bottom"/>
            <w:tcBorders>
              <w:top w:val="single" w:sz="8" w:color="auto"/>
            </w:tcBorders>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LP, FinTech Acquisition Corp. IV, FinTech Investor Holdings IV, LLC, FinTech Masala Advisors, LLC, and the other parties set</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forth on the signature pages thereto</w:t>
              </w:r>
            </w:hyperlink>
          </w:p>
        </w:tc>
        <w:tc>
          <w:tcPr>
            <w:tcW w:w="6680" w:type="dxa"/>
            <w:vAlign w:val="bottom"/>
            <w:tcBorders>
              <w:top w:val="single" w:sz="8" w:color="0000EE"/>
            </w:tcBorders>
          </w:tcPr>
          <w:p>
            <w:pPr>
              <w:spacing w:after="0"/>
              <w:rPr>
                <w:sz w:val="17"/>
                <w:szCs w:val="17"/>
                <w:color w:val="auto"/>
              </w:rPr>
            </w:pPr>
          </w:p>
        </w:tc>
        <w:tc>
          <w:tcPr>
            <w:tcW w:w="340" w:type="dxa"/>
            <w:vAlign w:val="bottom"/>
            <w:gridSpan w:val="2"/>
          </w:tcPr>
          <w:p>
            <w:pPr>
              <w:spacing w:after="0"/>
              <w:rPr>
                <w:sz w:val="17"/>
                <w:szCs w:val="17"/>
                <w:color w:val="auto"/>
              </w:rPr>
            </w:pPr>
          </w:p>
        </w:tc>
      </w:tr>
    </w:tbl>
    <w:p>
      <w:pPr>
        <w:sectPr>
          <w:pgSz w:w="11900" w:h="16838" w:orient="portrait"/>
          <w:cols w:equalWidth="0" w:num="1">
            <w:col w:w="11020"/>
          </w:cols>
          <w:pgMar w:left="440" w:top="274" w:right="4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FINTECH ACQUISITION CORP. IV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J. McEntee, III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260"/>
          </w:cols>
          <w:pgMar w:left="440" w:top="270" w:right="1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SPONSOR SHARE SURRENDER AND SHARE RESTRICTION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4, 2021</w:t>
      </w:r>
    </w:p>
    <w:p>
      <w:pPr>
        <w:spacing w:after="0" w:line="211" w:lineRule="exact"/>
        <w:rPr>
          <w:sz w:val="20"/>
          <w:szCs w:val="20"/>
          <w:color w:val="auto"/>
        </w:rPr>
      </w:pPr>
    </w:p>
    <w:p>
      <w:pPr>
        <w:ind w:right="240" w:firstLine="991"/>
        <w:spacing w:after="0" w:line="293"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Sponsor Share Surrender and Share Restriction Agreement, dated as of December 29, 2020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PWP Holdings LP, a Delaware limited partnership (“</w:t>
      </w:r>
      <w:r>
        <w:rPr>
          <w:rFonts w:ascii="Arial" w:cs="Arial" w:eastAsia="Arial" w:hAnsi="Arial"/>
          <w:sz w:val="16"/>
          <w:szCs w:val="16"/>
          <w:u w:val="single" w:color="auto"/>
          <w:color w:val="auto"/>
        </w:rPr>
        <w:t>PWP</w:t>
      </w:r>
      <w:r>
        <w:rPr>
          <w:rFonts w:ascii="Arial" w:cs="Arial" w:eastAsia="Arial" w:hAnsi="Arial"/>
          <w:sz w:val="16"/>
          <w:szCs w:val="16"/>
          <w:color w:val="auto"/>
        </w:rPr>
        <w:t>”), FinTech Acquisition Corp. IV,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FinTech Investor Holdings IV, LLC</w:t>
      </w:r>
      <w:r>
        <w:rPr>
          <w:rFonts w:ascii="Arial" w:cs="Arial" w:eastAsia="Arial" w:hAnsi="Arial"/>
          <w:sz w:val="16"/>
          <w:szCs w:val="16"/>
          <w:i w:val="1"/>
          <w:iCs w:val="1"/>
          <w:color w:val="auto"/>
        </w:rPr>
        <w:t>,</w:t>
      </w:r>
      <w:r>
        <w:rPr>
          <w:rFonts w:ascii="Arial" w:cs="Arial" w:eastAsia="Arial" w:hAnsi="Arial"/>
          <w:sz w:val="16"/>
          <w:szCs w:val="16"/>
          <w:color w:val="auto"/>
        </w:rPr>
        <w:t xml:space="preserve"> a Delaware limited liability company (“</w:t>
      </w:r>
      <w:r>
        <w:rPr>
          <w:rFonts w:ascii="Arial" w:cs="Arial" w:eastAsia="Arial" w:hAnsi="Arial"/>
          <w:sz w:val="16"/>
          <w:szCs w:val="16"/>
          <w:u w:val="single" w:color="auto"/>
          <w:color w:val="auto"/>
        </w:rPr>
        <w:t>Holdings IV</w:t>
      </w:r>
      <w:r>
        <w:rPr>
          <w:rFonts w:ascii="Arial" w:cs="Arial" w:eastAsia="Arial" w:hAnsi="Arial"/>
          <w:sz w:val="16"/>
          <w:szCs w:val="16"/>
          <w:color w:val="auto"/>
        </w:rPr>
        <w:t>”), FinTech Masala Advisors, LLC, a Delaware limited liability company (“</w:t>
      </w:r>
      <w:r>
        <w:rPr>
          <w:rFonts w:ascii="Arial" w:cs="Arial" w:eastAsia="Arial" w:hAnsi="Arial"/>
          <w:sz w:val="16"/>
          <w:szCs w:val="16"/>
          <w:u w:val="single" w:color="auto"/>
          <w:color w:val="auto"/>
        </w:rPr>
        <w:t>Masala</w:t>
      </w:r>
      <w:r>
        <w:rPr>
          <w:rFonts w:ascii="Arial" w:cs="Arial" w:eastAsia="Arial" w:hAnsi="Arial"/>
          <w:sz w:val="16"/>
          <w:szCs w:val="16"/>
          <w:color w:val="auto"/>
        </w:rPr>
        <w:t>” and together with Holdings IV, the “</w:t>
      </w:r>
      <w:r>
        <w:rPr>
          <w:rFonts w:ascii="Arial" w:cs="Arial" w:eastAsia="Arial" w:hAnsi="Arial"/>
          <w:sz w:val="16"/>
          <w:szCs w:val="16"/>
          <w:u w:val="single" w:color="auto"/>
          <w:color w:val="auto"/>
        </w:rPr>
        <w:t>Sponsors</w:t>
      </w:r>
      <w:r>
        <w:rPr>
          <w:rFonts w:ascii="Arial" w:cs="Arial" w:eastAsia="Arial" w:hAnsi="Arial"/>
          <w:sz w:val="16"/>
          <w:szCs w:val="16"/>
          <w:color w:val="auto"/>
        </w:rPr>
        <w:t>”), and the other parties set forth on the signature pages thereto (together with PWP, the Company and the Sponsors, the “</w:t>
      </w:r>
      <w:r>
        <w:rPr>
          <w:rFonts w:ascii="Arial" w:cs="Arial" w:eastAsia="Arial" w:hAnsi="Arial"/>
          <w:sz w:val="16"/>
          <w:szCs w:val="16"/>
          <w:u w:val="single" w:color="auto"/>
          <w:color w:val="auto"/>
        </w:rPr>
        <w:t>Parties</w:t>
      </w:r>
      <w:r>
        <w:rPr>
          <w:rFonts w:ascii="Arial" w:cs="Arial" w:eastAsia="Arial" w:hAnsi="Arial"/>
          <w:sz w:val="16"/>
          <w:szCs w:val="16"/>
          <w:color w:val="auto"/>
        </w:rPr>
        <w:t>”), is entered into by and among the Parties as of the date first set forth above. Capitalized terms used but not defined in this Amendment shall have the meanings ascribed to such terms in the Agreement.</w:t>
      </w:r>
    </w:p>
    <w:p>
      <w:pPr>
        <w:spacing w:after="0" w:line="164"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WHEREAS, the Parties desire to amend certain provisions of the Agreement (pursuant to and in accordance with Section 3.6 of the Agreement), on the terms and subject to the conditions set forth in this Amendment.</w:t>
      </w:r>
    </w:p>
    <w:p>
      <w:pPr>
        <w:spacing w:after="0" w:line="170" w:lineRule="exact"/>
        <w:rPr>
          <w:sz w:val="20"/>
          <w:szCs w:val="20"/>
          <w:color w:val="auto"/>
        </w:rPr>
      </w:pPr>
    </w:p>
    <w:p>
      <w:pPr>
        <w:ind w:right="500" w:firstLine="991"/>
        <w:spacing w:after="0" w:line="263" w:lineRule="auto"/>
        <w:rPr>
          <w:sz w:val="20"/>
          <w:szCs w:val="20"/>
          <w:color w:val="auto"/>
        </w:rPr>
      </w:pPr>
      <w:r>
        <w:rPr>
          <w:rFonts w:ascii="Arial" w:cs="Arial" w:eastAsia="Arial" w:hAnsi="Arial"/>
          <w:sz w:val="18"/>
          <w:szCs w:val="18"/>
          <w:color w:val="auto"/>
        </w:rPr>
        <w:t>NOW THEREFORE, in consideration of the mutual covenants, agreements and understandings herein contained, the receipt and sufficiency of which are acknowledged, on the terms and subject to the conditions set forth in this Amendment, the Parties, intending to be legally bound, agree as follows:</w:t>
      </w:r>
    </w:p>
    <w:p>
      <w:pPr>
        <w:spacing w:after="0" w:line="89"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of Section 1.2(b)</w:t>
      </w:r>
      <w:r>
        <w:rPr>
          <w:rFonts w:ascii="Arial" w:cs="Arial" w:eastAsia="Arial" w:hAnsi="Arial"/>
          <w:sz w:val="18"/>
          <w:szCs w:val="18"/>
          <w:color w:val="auto"/>
        </w:rPr>
        <w:t>: Section 1.2(b) of the Agreement is hereby deleted and replaced in its entirety as follows:</w:t>
      </w:r>
    </w:p>
    <w:p>
      <w:pPr>
        <w:spacing w:after="0" w:line="117" w:lineRule="exact"/>
        <w:rPr>
          <w:rFonts w:ascii="Arial" w:cs="Arial" w:eastAsia="Arial" w:hAnsi="Arial"/>
          <w:sz w:val="18"/>
          <w:szCs w:val="18"/>
          <w:color w:val="auto"/>
        </w:rPr>
      </w:pPr>
    </w:p>
    <w:p>
      <w:pPr>
        <w:ind w:left="980" w:right="60" w:firstLine="408"/>
        <w:spacing w:after="0" w:line="255" w:lineRule="auto"/>
        <w:tabs>
          <w:tab w:leader="none" w:pos="1635"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Timing and Lapse of Transfer Restrictions</w:t>
      </w:r>
      <w:r>
        <w:rPr>
          <w:rFonts w:ascii="Arial" w:cs="Arial" w:eastAsia="Arial" w:hAnsi="Arial"/>
          <w:sz w:val="18"/>
          <w:szCs w:val="18"/>
          <w:color w:val="auto"/>
        </w:rPr>
        <w:t>. As used, herein, “</w:t>
      </w:r>
      <w:r>
        <w:rPr>
          <w:rFonts w:ascii="Arial" w:cs="Arial" w:eastAsia="Arial" w:hAnsi="Arial"/>
          <w:sz w:val="18"/>
          <w:szCs w:val="18"/>
          <w:u w:val="single" w:color="auto"/>
          <w:color w:val="auto"/>
        </w:rPr>
        <w:t>6-Month Anniversary</w:t>
      </w:r>
      <w:r>
        <w:rPr>
          <w:rFonts w:ascii="Arial" w:cs="Arial" w:eastAsia="Arial" w:hAnsi="Arial"/>
          <w:sz w:val="18"/>
          <w:szCs w:val="18"/>
          <w:color w:val="auto"/>
        </w:rPr>
        <w:t>” means the date that is the six-month anniversary of the Closing Date,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means the date that is the ten-year anniversary of the Closing Date, “</w:t>
      </w:r>
      <w:r>
        <w:rPr>
          <w:rFonts w:ascii="Arial" w:cs="Arial" w:eastAsia="Arial" w:hAnsi="Arial"/>
          <w:sz w:val="18"/>
          <w:szCs w:val="18"/>
          <w:u w:val="single" w:color="auto"/>
          <w:color w:val="auto"/>
        </w:rPr>
        <w:t>Stock Price</w:t>
      </w:r>
      <w:r>
        <w:rPr>
          <w:rFonts w:ascii="Arial" w:cs="Arial" w:eastAsia="Arial" w:hAnsi="Arial"/>
          <w:sz w:val="18"/>
          <w:szCs w:val="18"/>
          <w:color w:val="auto"/>
        </w:rPr>
        <w:t>” means, on any date after the Closing, the closing sale price per share of Class A Common Stock reported as of 4:00 p.m., New York, New York time on such date by Bloomberg, or if not available on Bloomberg, as reported by Morningstar and “</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trading is generally conducted on the NASDAQ Capital Market or any other exchange on which the Class A Shares are traded and published.</w:t>
      </w:r>
    </w:p>
    <w:p>
      <w:pPr>
        <w:spacing w:after="0" w:line="84" w:lineRule="exact"/>
        <w:rPr>
          <w:rFonts w:ascii="Arial" w:cs="Arial" w:eastAsia="Arial" w:hAnsi="Arial"/>
          <w:sz w:val="18"/>
          <w:szCs w:val="18"/>
          <w:color w:val="auto"/>
        </w:rPr>
      </w:pPr>
    </w:p>
    <w:p>
      <w:pPr>
        <w:ind w:left="1420" w:right="80" w:firstLine="391"/>
        <w:spacing w:after="0" w:line="259" w:lineRule="auto"/>
        <w:tabs>
          <w:tab w:leader="none" w:pos="2018" w:val="left"/>
        </w:tabs>
        <w:numPr>
          <w:ilvl w:val="2"/>
          <w:numId w:val="4"/>
        </w:numPr>
        <w:rPr>
          <w:rFonts w:ascii="Arial" w:cs="Arial" w:eastAsia="Arial" w:hAnsi="Arial"/>
          <w:sz w:val="18"/>
          <w:szCs w:val="18"/>
          <w:color w:val="auto"/>
        </w:rPr>
      </w:pPr>
      <w:r>
        <w:rPr>
          <w:rFonts w:ascii="Arial" w:cs="Arial" w:eastAsia="Arial" w:hAnsi="Arial"/>
          <w:sz w:val="18"/>
          <w:szCs w:val="18"/>
          <w:color w:val="auto"/>
        </w:rPr>
        <w:t>Until the 6-Month Anniversary, all of the Class A Shares held by each Sponsor (the “</w:t>
      </w:r>
      <w:r>
        <w:rPr>
          <w:rFonts w:ascii="Arial" w:cs="Arial" w:eastAsia="Arial" w:hAnsi="Arial"/>
          <w:sz w:val="18"/>
          <w:szCs w:val="18"/>
          <w:u w:val="single" w:color="auto"/>
          <w:color w:val="auto"/>
        </w:rPr>
        <w:t>6-Month Class A Shares</w:t>
      </w:r>
      <w:r>
        <w:rPr>
          <w:rFonts w:ascii="Arial" w:cs="Arial" w:eastAsia="Arial" w:hAnsi="Arial"/>
          <w:sz w:val="18"/>
          <w:szCs w:val="18"/>
          <w:color w:val="auto"/>
        </w:rPr>
        <w:t>”), and twenty percent (20.00%) of the Restricted Shares of each Sponsor that are Class B Shares immediately prior to the Closing (the “</w:t>
      </w:r>
      <w:r>
        <w:rPr>
          <w:rFonts w:ascii="Arial" w:cs="Arial" w:eastAsia="Arial" w:hAnsi="Arial"/>
          <w:sz w:val="18"/>
          <w:szCs w:val="18"/>
          <w:u w:val="single" w:color="auto"/>
          <w:color w:val="auto"/>
        </w:rPr>
        <w:t>6-Month</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Class B Shares</w:t>
      </w:r>
      <w:r>
        <w:rPr>
          <w:rFonts w:ascii="Arial" w:cs="Arial" w:eastAsia="Arial" w:hAnsi="Arial"/>
          <w:sz w:val="18"/>
          <w:szCs w:val="18"/>
          <w:color w:val="auto"/>
        </w:rPr>
        <w:t xml:space="preserve">”), as identified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shall not be transferable or salable except as provided in the Insider Agreement (for the avoidance of doubt, as set forth in Section 3(d) of the Insider Agreement).</w:t>
      </w:r>
    </w:p>
    <w:p>
      <w:pPr>
        <w:spacing w:after="0" w:line="78" w:lineRule="exact"/>
        <w:rPr>
          <w:rFonts w:ascii="Arial" w:cs="Arial" w:eastAsia="Arial" w:hAnsi="Arial"/>
          <w:sz w:val="18"/>
          <w:szCs w:val="18"/>
          <w:color w:val="auto"/>
        </w:rPr>
      </w:pPr>
    </w:p>
    <w:p>
      <w:pPr>
        <w:ind w:left="1420" w:right="80" w:firstLine="391"/>
        <w:spacing w:after="0" w:line="275" w:lineRule="auto"/>
        <w:tabs>
          <w:tab w:leader="none" w:pos="2068" w:val="left"/>
        </w:tabs>
        <w:numPr>
          <w:ilvl w:val="2"/>
          <w:numId w:val="4"/>
        </w:numPr>
        <w:rPr>
          <w:rFonts w:ascii="Arial" w:cs="Arial" w:eastAsia="Arial" w:hAnsi="Arial"/>
          <w:sz w:val="17"/>
          <w:szCs w:val="17"/>
          <w:color w:val="auto"/>
        </w:rPr>
      </w:pPr>
      <w:r>
        <w:rPr>
          <w:rFonts w:ascii="Arial" w:cs="Arial" w:eastAsia="Arial" w:hAnsi="Arial"/>
          <w:sz w:val="17"/>
          <w:szCs w:val="17"/>
          <w:color w:val="auto"/>
        </w:rPr>
        <w:t>Until the later of (x) the 6-Month Anniversary and (y) the earlier of (A) the 10-Year Anniversary and (B) the date that is 15 days following the first date that the Stock Price is greater than $12.00 per share for any 20 Trading Days out of 30 consecutive Trading Days, twenty percent (20.00%) of the Restricted Shares that are Class B Shares immediately prior to the Closing (the “</w:t>
      </w:r>
      <w:r>
        <w:rPr>
          <w:rFonts w:ascii="Arial" w:cs="Arial" w:eastAsia="Arial" w:hAnsi="Arial"/>
          <w:sz w:val="17"/>
          <w:szCs w:val="17"/>
          <w:u w:val="single" w:color="auto"/>
          <w:color w:val="auto"/>
        </w:rPr>
        <w:t>$12.00 Class B Shares</w:t>
      </w:r>
      <w:r>
        <w:rPr>
          <w:rFonts w:ascii="Arial" w:cs="Arial" w:eastAsia="Arial" w:hAnsi="Arial"/>
          <w:sz w:val="17"/>
          <w:szCs w:val="17"/>
          <w:color w:val="auto"/>
        </w:rPr>
        <w:t xml:space="preserve">”), as identified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shall not be transferable or salable except as provided in the Insider Agreement (for the avoidance of doubt, as set forth in Section 3(d) of the Insider Agreement).</w:t>
      </w:r>
    </w:p>
    <w:p>
      <w:pPr>
        <w:spacing w:after="0" w:line="68" w:lineRule="exact"/>
        <w:rPr>
          <w:rFonts w:ascii="Arial" w:cs="Arial" w:eastAsia="Arial" w:hAnsi="Arial"/>
          <w:sz w:val="17"/>
          <w:szCs w:val="17"/>
          <w:color w:val="auto"/>
        </w:rPr>
      </w:pPr>
    </w:p>
    <w:p>
      <w:pPr>
        <w:ind w:left="1420" w:right="80" w:firstLine="391"/>
        <w:spacing w:after="0" w:line="291" w:lineRule="auto"/>
        <w:tabs>
          <w:tab w:leader="none" w:pos="2118" w:val="left"/>
        </w:tabs>
        <w:numPr>
          <w:ilvl w:val="2"/>
          <w:numId w:val="4"/>
        </w:numPr>
        <w:rPr>
          <w:rFonts w:ascii="Arial" w:cs="Arial" w:eastAsia="Arial" w:hAnsi="Arial"/>
          <w:sz w:val="16"/>
          <w:szCs w:val="16"/>
          <w:color w:val="auto"/>
        </w:rPr>
      </w:pPr>
      <w:r>
        <w:rPr>
          <w:rFonts w:ascii="Arial" w:cs="Arial" w:eastAsia="Arial" w:hAnsi="Arial"/>
          <w:sz w:val="16"/>
          <w:szCs w:val="16"/>
          <w:color w:val="auto"/>
        </w:rPr>
        <w:t>Until the later of (x) the 6-Month Anniversary and (y) the earlier of (A) the 10-Year Anniversary and (B) the first date that the Stock Price is greater than $13.50 per share for any 20 Trading Days out of 30 consecutive Trading Days, twenty percent</w:t>
      </w:r>
    </w:p>
    <w:p>
      <w:pPr>
        <w:ind w:left="1420" w:right="40"/>
        <w:spacing w:after="0" w:line="255" w:lineRule="auto"/>
        <w:rPr>
          <w:rFonts w:ascii="Arial" w:cs="Arial" w:eastAsia="Arial" w:hAnsi="Arial"/>
          <w:sz w:val="16"/>
          <w:szCs w:val="16"/>
          <w:color w:val="auto"/>
        </w:rPr>
      </w:pPr>
      <w:r>
        <w:rPr>
          <w:rFonts w:ascii="Arial" w:cs="Arial" w:eastAsia="Arial" w:hAnsi="Arial"/>
          <w:sz w:val="18"/>
          <w:szCs w:val="18"/>
          <w:color w:val="auto"/>
        </w:rPr>
        <w:t>(20.00%) of the Restricted Shares that are Class B Shares immediately prior to the Closing (the “</w:t>
      </w:r>
      <w:r>
        <w:rPr>
          <w:rFonts w:ascii="Arial" w:cs="Arial" w:eastAsia="Arial" w:hAnsi="Arial"/>
          <w:sz w:val="18"/>
          <w:szCs w:val="18"/>
          <w:u w:val="single" w:color="auto"/>
          <w:color w:val="auto"/>
        </w:rPr>
        <w:t>$13.50 Class B Shares</w:t>
      </w:r>
      <w:r>
        <w:rPr>
          <w:rFonts w:ascii="Arial" w:cs="Arial" w:eastAsia="Arial" w:hAnsi="Arial"/>
          <w:sz w:val="18"/>
          <w:szCs w:val="18"/>
          <w:color w:val="auto"/>
        </w:rPr>
        <w:t xml:space="preserve">”), as identified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shall not be transferable or salable except as provided in the Insider Agreement (for the avoidance of doubt, as set forth in Section 3(d) of the Insider Agreement).</w:t>
      </w:r>
    </w:p>
    <w:p>
      <w:pPr>
        <w:sectPr>
          <w:pgSz w:w="11900" w:h="16838" w:orient="portrait"/>
          <w:cols w:equalWidth="0" w:num="1">
            <w:col w:w="11020"/>
          </w:cols>
          <w:pgMar w:left="440" w:top="125" w:right="439" w:bottom="1440" w:gutter="0" w:footer="0" w:header="0"/>
        </w:sectPr>
      </w:pPr>
    </w:p>
    <w:bookmarkStart w:id="6" w:name="page7"/>
    <w:bookmarkEnd w:id="6"/>
    <w:p>
      <w:pPr>
        <w:ind w:left="992" w:right="40" w:firstLine="391"/>
        <w:spacing w:after="0" w:line="275" w:lineRule="auto"/>
        <w:tabs>
          <w:tab w:leader="none" w:pos="1680" w:val="left"/>
        </w:tabs>
        <w:numPr>
          <w:ilvl w:val="1"/>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Until the later of (x) the 6-Month Anniversary and (y) the earlier of (A) the 10-Year Anniversary and (B) the date that is 15 days following the first date that the Stock Price is greater than $15.00 per share for any 20 Trading Days out of 30 consecutive Trading Days, twenty percent (20.00%) of the Restricted Shares that are Class B Shares immediately prior to the Closing (the “</w:t>
      </w:r>
      <w:r>
        <w:rPr>
          <w:rFonts w:ascii="Arial" w:cs="Arial" w:eastAsia="Arial" w:hAnsi="Arial"/>
          <w:sz w:val="17"/>
          <w:szCs w:val="17"/>
          <w:u w:val="single" w:color="auto"/>
          <w:color w:val="auto"/>
        </w:rPr>
        <w:t>$15.00 Class B Shares</w:t>
      </w:r>
      <w:r>
        <w:rPr>
          <w:rFonts w:ascii="Arial" w:cs="Arial" w:eastAsia="Arial" w:hAnsi="Arial"/>
          <w:sz w:val="17"/>
          <w:szCs w:val="17"/>
          <w:color w:val="auto"/>
        </w:rPr>
        <w:t xml:space="preserve">”), as identified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shall not be transferable or salable except as provided in the Insider Agreement (for the avoidance of doubt, as set forth in Section 3(d) of the Insider Agreement).</w:t>
      </w:r>
    </w:p>
    <w:p>
      <w:pPr>
        <w:spacing w:after="0" w:line="68" w:lineRule="exact"/>
        <w:rPr>
          <w:rFonts w:ascii="Arial" w:cs="Arial" w:eastAsia="Arial" w:hAnsi="Arial"/>
          <w:sz w:val="17"/>
          <w:szCs w:val="17"/>
          <w:color w:val="auto"/>
        </w:rPr>
      </w:pPr>
    </w:p>
    <w:p>
      <w:pPr>
        <w:ind w:left="992" w:right="140" w:firstLine="391"/>
        <w:spacing w:after="0" w:line="291" w:lineRule="auto"/>
        <w:tabs>
          <w:tab w:leader="none" w:pos="1630" w:val="left"/>
        </w:tabs>
        <w:numPr>
          <w:ilvl w:val="1"/>
          <w:numId w:val="5"/>
        </w:numPr>
        <w:rPr>
          <w:rFonts w:ascii="Arial" w:cs="Arial" w:eastAsia="Arial" w:hAnsi="Arial"/>
          <w:sz w:val="16"/>
          <w:szCs w:val="16"/>
          <w:color w:val="auto"/>
        </w:rPr>
      </w:pPr>
      <w:r>
        <w:rPr>
          <w:rFonts w:ascii="Arial" w:cs="Arial" w:eastAsia="Arial" w:hAnsi="Arial"/>
          <w:sz w:val="16"/>
          <w:szCs w:val="16"/>
          <w:color w:val="auto"/>
        </w:rPr>
        <w:t>Until the later of (x) the 6-Month Anniversary and (y) the earlier of (A) the 10-Year Anniversary and (B) the first date that the Stock Price is greater than $17.00 per share for any 20 Trading Days out of 30 consecutive Trading Days, twenty percent</w:t>
      </w:r>
    </w:p>
    <w:p>
      <w:pPr>
        <w:ind w:left="992" w:right="40"/>
        <w:spacing w:after="0" w:line="255" w:lineRule="auto"/>
        <w:rPr>
          <w:rFonts w:ascii="Arial" w:cs="Arial" w:eastAsia="Arial" w:hAnsi="Arial"/>
          <w:sz w:val="16"/>
          <w:szCs w:val="16"/>
          <w:color w:val="auto"/>
        </w:rPr>
      </w:pPr>
      <w:r>
        <w:rPr>
          <w:rFonts w:ascii="Arial" w:cs="Arial" w:eastAsia="Arial" w:hAnsi="Arial"/>
          <w:sz w:val="18"/>
          <w:szCs w:val="18"/>
          <w:color w:val="auto"/>
        </w:rPr>
        <w:t>(20.00%) of the Restricted Shares that are Class B Shares immediately prior to the Closing (the “</w:t>
      </w:r>
      <w:r>
        <w:rPr>
          <w:rFonts w:ascii="Arial" w:cs="Arial" w:eastAsia="Arial" w:hAnsi="Arial"/>
          <w:sz w:val="18"/>
          <w:szCs w:val="18"/>
          <w:u w:val="single" w:color="auto"/>
          <w:color w:val="auto"/>
        </w:rPr>
        <w:t>$17.00 Class B Shares</w:t>
      </w:r>
      <w:r>
        <w:rPr>
          <w:rFonts w:ascii="Arial" w:cs="Arial" w:eastAsia="Arial" w:hAnsi="Arial"/>
          <w:sz w:val="18"/>
          <w:szCs w:val="18"/>
          <w:color w:val="auto"/>
        </w:rPr>
        <w:t xml:space="preserve">”), as identified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shall not be transferable or salable except as provided in the Insider Agreement (for the avoidance of doubt, as set forth in Section 3(d) of the Insider Agreement).</w:t>
      </w:r>
    </w:p>
    <w:p>
      <w:pPr>
        <w:spacing w:after="0" w:line="81" w:lineRule="exact"/>
        <w:rPr>
          <w:rFonts w:ascii="Arial" w:cs="Arial" w:eastAsia="Arial" w:hAnsi="Arial"/>
          <w:sz w:val="16"/>
          <w:szCs w:val="16"/>
          <w:color w:val="auto"/>
        </w:rPr>
      </w:pPr>
    </w:p>
    <w:p>
      <w:pPr>
        <w:ind w:left="992" w:right="60" w:firstLine="391"/>
        <w:spacing w:after="0" w:line="263" w:lineRule="auto"/>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 the avoidance of doubt, each Sponsor shall be entitled to vote its Restricted Shares and receive dividends and other distributions with respect to such Restricted Shares during any period of time that such shares are subject to restriction on transfer or sale hereunder.</w:t>
      </w:r>
    </w:p>
    <w:p>
      <w:pPr>
        <w:spacing w:after="0" w:line="75" w:lineRule="exact"/>
        <w:rPr>
          <w:rFonts w:ascii="Arial" w:cs="Arial" w:eastAsia="Arial" w:hAnsi="Arial"/>
          <w:sz w:val="18"/>
          <w:szCs w:val="18"/>
          <w:color w:val="auto"/>
        </w:rPr>
      </w:pPr>
    </w:p>
    <w:p>
      <w:pPr>
        <w:jc w:val="both"/>
        <w:ind w:left="992" w:right="300" w:firstLine="391"/>
        <w:spacing w:after="0" w:line="286" w:lineRule="auto"/>
        <w:tabs>
          <w:tab w:leader="none" w:pos="1730"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In the event that a Sponsor transfers Restricted Shares in accordance with the terms of this </w:t>
      </w:r>
      <w:r>
        <w:rPr>
          <w:rFonts w:ascii="Arial" w:cs="Arial" w:eastAsia="Arial" w:hAnsi="Arial"/>
          <w:sz w:val="17"/>
          <w:szCs w:val="17"/>
          <w:u w:val="single" w:color="auto"/>
          <w:color w:val="auto"/>
        </w:rPr>
        <w:t>Section 1.2(b)</w:t>
      </w:r>
      <w:r>
        <w:rPr>
          <w:rFonts w:ascii="Arial" w:cs="Arial" w:eastAsia="Arial" w:hAnsi="Arial"/>
          <w:sz w:val="17"/>
          <w:szCs w:val="17"/>
          <w:color w:val="auto"/>
        </w:rPr>
        <w:t xml:space="preserve">, the recipient shall deliver a customary joinder agreement in form and substance reasonably acceptable to the Company and PWP, and become bound by the transfer restrictions and sale obligations set forth herein, including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532" w:hanging="532"/>
        <w:spacing w:after="0" w:line="296" w:lineRule="auto"/>
        <w:tabs>
          <w:tab w:leader="none" w:pos="53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Except as otherwise expressly provided or contemplated by this Amendment, all of the terms, conditions and provisions of the Agreement remain unaltered and in full force and effect. The Agreement and this Amendment shall be read and construed as one agreement. All references to the Agreement in any other agreement or document shall be deemed to mean the Agreement as modified by this Amendment. This Amendment may be executed in two or more counterparts (any of which may be delivered by facsimile or electronic transmission), each of which shall constitute an original, and all of which taken together shall constitute one and the same instrument.</w:t>
      </w:r>
    </w:p>
    <w:p>
      <w:pPr>
        <w:spacing w:after="0" w:line="161" w:lineRule="exact"/>
        <w:rPr>
          <w:sz w:val="20"/>
          <w:szCs w:val="20"/>
          <w:color w:val="auto"/>
        </w:rPr>
      </w:pPr>
    </w:p>
    <w:p>
      <w:pPr>
        <w:ind w:left="3332"/>
        <w:spacing w:after="0"/>
        <w:rPr>
          <w:sz w:val="20"/>
          <w:szCs w:val="20"/>
          <w:color w:val="auto"/>
        </w:rPr>
      </w:pPr>
      <w:r>
        <w:rPr>
          <w:rFonts w:ascii="Arial" w:cs="Arial" w:eastAsia="Arial" w:hAnsi="Arial"/>
          <w:sz w:val="18"/>
          <w:szCs w:val="18"/>
          <w:i w:val="1"/>
          <w:iCs w:val="1"/>
          <w:color w:val="auto"/>
        </w:rPr>
        <w:t>[Remainder of this page intentionally left blank]</w:t>
      </w:r>
    </w:p>
    <w:p>
      <w:pPr>
        <w:sectPr>
          <w:pgSz w:w="11900" w:h="16838" w:orient="portrait"/>
          <w:cols w:equalWidth="0" w:num="1">
            <w:col w:w="10592"/>
          </w:cols>
          <w:pgMar w:left="868"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FINTECH ACQUISITION CORP. IV</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J. McEntee, III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FINTECH INVESTOR HOLDINGS IV,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Cohen Sponsor Interests IV, LLC, its Manager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FinTech Masala, LLC, its sole member</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G. Cohen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FINTECH MASALA ADVISORS IV,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Cohen Sponsor Interests IV, LLC, its Manager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FinTech Masala, LLC, its sole member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Daniel G. Cohen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Sponsor Share Surrender and Share Restriction Agreement</w:t>
      </w:r>
      <w:r>
        <w:rPr>
          <w:rFonts w:ascii="Arial" w:cs="Arial" w:eastAsia="Arial" w:hAnsi="Arial"/>
          <w:sz w:val="18"/>
          <w:szCs w:val="18"/>
          <w:color w:val="auto"/>
        </w:rPr>
        <w:t>]</w:t>
      </w:r>
    </w:p>
    <w:p>
      <w:pPr>
        <w:sectPr>
          <w:pgSz w:w="11900" w:h="16838" w:orient="portrait"/>
          <w:cols w:equalWidth="0" w:num="1">
            <w:col w:w="10580"/>
          </w:cols>
          <w:pgMar w:left="880" w:top="274" w:right="439" w:bottom="1440" w:gutter="0" w:footer="0" w:header="0"/>
        </w:sectPr>
      </w:pPr>
    </w:p>
    <w:bookmarkStart w:id="8" w:name="page9"/>
    <w:bookmarkEnd w:id="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 Betsy Z.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BETSY Z. COHEN,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G. COHEN,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JAMES J. MCENTEE III, individually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DOUGLAS LISTMAN,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Laura S.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LAURA S. KOHN,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Jan Rock Zubrow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JAN ROCK ZUBROW,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Brittain Ezzes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BRITTAIN EZZES,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Madelyn Antoncic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MADELYN ANTONCIC, individually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to Sponsor Share Surrender and Share Restriction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9" w:name="page10"/>
    <w:bookmarkEnd w:id="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PWP HOLDINGS LP</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PWP GP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9"/>
              </w:rPr>
              <w:t>PWP Professional Partners LP, its sole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4"/>
              </w:rPr>
              <w:t>Perella Weinberg Partners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Barancik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Gary Barancik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20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Sponsor Share Surrender and Share Restriction Agreement</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10" w:name="page11"/>
    <w:bookmarkEnd w:id="10"/>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execution and delivery hereof, the undersigned, being the “Representatives” under that certain Underwriting Agreement dated September 24, 2020, among FinTech Acquisition Corp. IV and the undersigned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hereby consent to the amendments to the “Insider Letter” (as such term is defined in the Underwriting Agreement) effected by this Amendment, including pursuant to Sections 2.22.1, 3.28 and 7.3.1 of the Underwriting Agreement.</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CANTOR FITZGERALD &amp; CO</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Batalion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Batalion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Tobin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Sponsor Share Surrender and Share Restriction Agreement</w:t>
      </w:r>
      <w:r>
        <w:rPr>
          <w:rFonts w:ascii="Arial" w:cs="Arial" w:eastAsia="Arial" w:hAnsi="Arial"/>
          <w:sz w:val="18"/>
          <w:szCs w:val="18"/>
          <w:color w:val="auto"/>
        </w:rPr>
        <w:t>]</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Roman"/>
      <w:start w:val="4"/>
    </w:lvl>
  </w:abstractNum>
  <w:abstractNum w:abstractNumId="5">
    <w:nsid w:val="507ED7AB"/>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2021-05-05T05:24:44Z</dcterms:created>
  <dcterms:modified xsi:type="dcterms:W3CDTF">2021-05-05T05:24:44Z</dcterms:modified>
</cp:coreProperties>
</file>