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80" w:hanging="440"/>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6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4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0" w:lineRule="exact"/>
        <w:rPr>
          <w:sz w:val="24"/>
          <w:szCs w:val="24"/>
          <w:color w:val="auto"/>
        </w:rPr>
      </w:pPr>
    </w:p>
    <w:tbl>
      <w:tblPr>
        <w:tblLayout w:type="fixed"/>
        <w:tblInd w:w="2200" w:type="dxa"/>
        <w:tblCellMar>
          <w:top w:w="0" w:type="dxa"/>
          <w:left w:w="0" w:type="dxa"/>
          <w:bottom w:w="0" w:type="dxa"/>
          <w:right w:w="0" w:type="dxa"/>
        </w:tblCellMar>
      </w:tblPr>
      <w:tr>
        <w:trPr>
          <w:trHeight w:val="23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84-1770732</w:t>
            </w:r>
          </w:p>
        </w:tc>
      </w:tr>
      <w:tr>
        <w:trPr>
          <w:trHeight w:val="26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20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77"/>
        </w:trPr>
        <w:tc>
          <w:tcPr>
            <w:tcW w:w="410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040" w:type="dxa"/>
            <w:vAlign w:val="bottom"/>
          </w:tcPr>
          <w:p>
            <w:pPr>
              <w:spacing w:after="0"/>
              <w:rPr>
                <w:sz w:val="24"/>
                <w:szCs w:val="24"/>
                <w:color w:val="auto"/>
              </w:rPr>
            </w:pPr>
          </w:p>
        </w:tc>
      </w:tr>
      <w:tr>
        <w:trPr>
          <w:trHeight w:val="23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04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10153</w:t>
            </w:r>
          </w:p>
        </w:tc>
      </w:tr>
      <w:tr>
        <w:trPr>
          <w:trHeight w:val="166"/>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4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7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1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6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160"/>
              <w:spacing w:after="0"/>
              <w:rPr>
                <w:sz w:val="20"/>
                <w:szCs w:val="20"/>
                <w:color w:val="auto"/>
              </w:rPr>
            </w:pPr>
            <w:r>
              <w:rPr>
                <w:rFonts w:ascii="Wingdings" w:cs="Wingdings" w:eastAsia="Wingdings" w:hAnsi="Wingdings"/>
                <w:sz w:val="16"/>
                <w:szCs w:val="16"/>
                <w:b w:val="1"/>
                <w:bCs w:val="1"/>
                <w:color w:val="auto"/>
              </w:rPr>
              <w:t>o</w:t>
            </w:r>
          </w:p>
        </w:tc>
        <w:tc>
          <w:tcPr>
            <w:tcW w:w="36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rPr>
              <w:t>o</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160"/>
              <w:spacing w:after="0"/>
              <w:rPr>
                <w:sz w:val="20"/>
                <w:szCs w:val="20"/>
                <w:color w:val="auto"/>
              </w:rPr>
            </w:pPr>
            <w:r>
              <w:rPr>
                <w:rFonts w:ascii="Wingdings" w:cs="Wingdings" w:eastAsia="Wingdings" w:hAnsi="Wingdings"/>
                <w:sz w:val="16"/>
                <w:szCs w:val="16"/>
                <w:b w:val="1"/>
                <w:bCs w:val="1"/>
                <w:color w:val="auto"/>
              </w:rPr>
              <w:t>x</w:t>
            </w:r>
          </w:p>
        </w:tc>
        <w:tc>
          <w:tcPr>
            <w:tcW w:w="36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r>
        <w:trPr>
          <w:trHeight w:val="216"/>
        </w:trPr>
        <w:tc>
          <w:tcPr>
            <w:tcW w:w="2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54"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0" w:lineRule="exact"/>
        <w:rPr>
          <w:sz w:val="24"/>
          <w:szCs w:val="24"/>
          <w:color w:val="auto"/>
        </w:rPr>
      </w:pPr>
    </w:p>
    <w:p>
      <w:pPr>
        <w:spacing w:after="0"/>
        <w:tabs>
          <w:tab w:leader="none" w:pos="79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86"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As of November 2, 2022, the registrant had 42,375,596 shares of Class A common stock, par value $0.0001 per share, and 44,925,877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gridSpan w:val="2"/>
            <w:vMerge w:val="restart"/>
          </w:tcPr>
          <w:p>
            <w:pPr>
              <w:spacing w:after="0"/>
              <w:rPr>
                <w:sz w:val="2"/>
                <w:szCs w:val="2"/>
                <w:color w:val="auto"/>
              </w:rPr>
            </w:pP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480" w:type="dxa"/>
            <w:vAlign w:val="bottom"/>
            <w:gridSpan w:val="10"/>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40" w:type="dxa"/>
            <w:vAlign w:val="bottom"/>
            <w:tcBorders>
              <w:bottom w:val="single" w:sz="8" w:color="0000FF"/>
            </w:tcBorders>
            <w:gridSpan w:val="3"/>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0" w:type="dxa"/>
            <w:vAlign w:val="bottom"/>
            <w:tcBorders>
              <w:bottom w:val="single" w:sz="8" w:color="0000FF"/>
            </w:tcBorders>
            <w:gridSpan w:val="9"/>
            <w:vMerge w:val="continue"/>
          </w:tcPr>
          <w:p>
            <w:pPr>
              <w:spacing w:after="0"/>
              <w:rPr>
                <w:sz w:val="17"/>
                <w:szCs w:val="17"/>
                <w:color w:val="auto"/>
              </w:rPr>
            </w:pPr>
          </w:p>
        </w:tc>
        <w:tc>
          <w:tcPr>
            <w:tcW w:w="6480" w:type="dxa"/>
            <w:vAlign w:val="bottom"/>
            <w:gridSpan w:val="10"/>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00" w:type="dxa"/>
            <w:vAlign w:val="bottom"/>
            <w:gridSpan w:val="4"/>
          </w:tcPr>
          <w:p>
            <w:pPr>
              <w:spacing w:after="0"/>
              <w:rPr>
                <w:sz w:val="22"/>
                <w:szCs w:val="22"/>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Condition as of September 30, 2022 and December 31, 2021</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2022 and 2021</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30, 2022 and 2021</w:t>
            </w:r>
          </w:p>
        </w:tc>
        <w:tc>
          <w:tcPr>
            <w:tcW w:w="4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40" w:type="dxa"/>
            <w:vAlign w:val="bottom"/>
            <w:tcBorders>
              <w:top w:val="single" w:sz="8" w:color="0000FF"/>
            </w:tcBorders>
            <w:gridSpan w:val="3"/>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540" w:type="dxa"/>
            <w:vAlign w:val="bottom"/>
            <w:tcBorders>
              <w:top w:val="single" w:sz="8" w:color="0000FF"/>
            </w:tcBorders>
          </w:tcPr>
          <w:p>
            <w:pPr>
              <w:spacing w:after="0"/>
              <w:rPr>
                <w:sz w:val="19"/>
                <w:szCs w:val="19"/>
                <w:color w:val="auto"/>
              </w:rPr>
            </w:pPr>
          </w:p>
        </w:tc>
        <w:tc>
          <w:tcPr>
            <w:tcW w:w="14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and Nine Months Ended September 30, 2022 and</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bottom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000" w:type="dxa"/>
            <w:vAlign w:val="bottom"/>
            <w:gridSpan w:val="2"/>
          </w:tcPr>
          <w:p>
            <w:pPr>
              <w:spacing w:after="0"/>
              <w:rPr>
                <w:sz w:val="22"/>
                <w:szCs w:val="22"/>
                <w:color w:val="auto"/>
              </w:rPr>
            </w:pPr>
          </w:p>
        </w:tc>
        <w:tc>
          <w:tcPr>
            <w:tcW w:w="960" w:type="dxa"/>
            <w:vAlign w:val="bottom"/>
            <w:gridSpan w:val="4"/>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80" w:type="dxa"/>
            <w:vAlign w:val="bottom"/>
            <w:gridSpan w:val="3"/>
          </w:tcPr>
          <w:p>
            <w:pPr>
              <w:spacing w:after="0"/>
              <w:rPr>
                <w:sz w:val="22"/>
                <w:szCs w:val="22"/>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5"/>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2"/>
                <w:szCs w:val="22"/>
                <w:color w:val="auto"/>
              </w:rPr>
            </w:pPr>
          </w:p>
        </w:tc>
        <w:tc>
          <w:tcPr>
            <w:tcW w:w="780" w:type="dxa"/>
            <w:vAlign w:val="bottom"/>
            <w:gridSpan w:val="2"/>
          </w:tcPr>
          <w:p>
            <w:pPr>
              <w:spacing w:after="0"/>
              <w:rPr>
                <w:sz w:val="22"/>
                <w:szCs w:val="22"/>
                <w:color w:val="auto"/>
              </w:rPr>
            </w:pPr>
          </w:p>
        </w:tc>
        <w:tc>
          <w:tcPr>
            <w:tcW w:w="43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2"/>
          </w:tcPr>
          <w:p>
            <w:pPr>
              <w:spacing w:after="0"/>
              <w:rPr>
                <w:sz w:val="22"/>
                <w:szCs w:val="22"/>
                <w:color w:val="auto"/>
              </w:rPr>
            </w:pPr>
          </w:p>
        </w:tc>
        <w:tc>
          <w:tcPr>
            <w:tcW w:w="2420" w:type="dxa"/>
            <w:vAlign w:val="bottom"/>
            <w:gridSpan w:val="5"/>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900" w:type="dxa"/>
            <w:vAlign w:val="bottom"/>
            <w:gridSpan w:val="4"/>
          </w:tcPr>
          <w:p>
            <w:pPr>
              <w:spacing w:after="0"/>
              <w:rPr>
                <w:sz w:val="22"/>
                <w:szCs w:val="22"/>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100" w:type="dxa"/>
            <w:vAlign w:val="bottom"/>
            <w:gridSpan w:val="13"/>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20" w:type="dxa"/>
            <w:vAlign w:val="bottom"/>
            <w:tcBorders>
              <w:top w:val="single" w:sz="8" w:color="0000FF"/>
            </w:tcBorders>
            <w:gridSpan w:val="2"/>
          </w:tcPr>
          <w:p>
            <w:pPr>
              <w:spacing w:after="0"/>
              <w:rPr>
                <w:sz w:val="22"/>
                <w:szCs w:val="22"/>
                <w:color w:val="auto"/>
              </w:rPr>
            </w:pPr>
          </w:p>
        </w:tc>
        <w:tc>
          <w:tcPr>
            <w:tcW w:w="660" w:type="dxa"/>
            <w:vAlign w:val="bottom"/>
          </w:tcPr>
          <w:p>
            <w:pPr>
              <w:spacing w:after="0"/>
              <w:rPr>
                <w:sz w:val="22"/>
                <w:szCs w:val="22"/>
                <w:color w:val="auto"/>
              </w:rPr>
            </w:pP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0" w:type="dxa"/>
            <w:vAlign w:val="bottom"/>
            <w:tcBorders>
              <w:top w:val="single" w:sz="8" w:color="0000FF"/>
            </w:tcBorders>
            <w:gridSpan w:val="3"/>
          </w:tcPr>
          <w:p>
            <w:pPr>
              <w:spacing w:after="0"/>
              <w:rPr>
                <w:sz w:val="22"/>
                <w:szCs w:val="22"/>
                <w:color w:val="auto"/>
              </w:rPr>
            </w:pPr>
          </w:p>
        </w:tc>
        <w:tc>
          <w:tcPr>
            <w:tcW w:w="6860" w:type="dxa"/>
            <w:vAlign w:val="bottom"/>
            <w:gridSpan w:val="12"/>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tcPr>
          <w:p>
            <w:pPr>
              <w:spacing w:after="0"/>
              <w:rPr>
                <w:sz w:val="22"/>
                <w:szCs w:val="22"/>
                <w:color w:val="auto"/>
              </w:rPr>
            </w:pPr>
          </w:p>
        </w:tc>
        <w:tc>
          <w:tcPr>
            <w:tcW w:w="660" w:type="dxa"/>
            <w:vAlign w:val="bottom"/>
          </w:tcPr>
          <w:p>
            <w:pPr>
              <w:spacing w:after="0"/>
              <w:rPr>
                <w:sz w:val="22"/>
                <w:szCs w:val="22"/>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20" w:type="dxa"/>
            <w:vAlign w:val="bottom"/>
            <w:gridSpan w:val="8"/>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80" w:type="dxa"/>
            <w:vAlign w:val="bottom"/>
            <w:gridSpan w:val="3"/>
          </w:tcPr>
          <w:p>
            <w:pPr>
              <w:spacing w:after="0"/>
              <w:rPr>
                <w:sz w:val="22"/>
                <w:szCs w:val="22"/>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56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880" w:type="dxa"/>
            <w:vAlign w:val="bottom"/>
            <w:gridSpan w:val="3"/>
          </w:tcPr>
          <w:p>
            <w:pPr>
              <w:spacing w:after="0"/>
              <w:rPr>
                <w:sz w:val="22"/>
                <w:szCs w:val="22"/>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2"/>
          </w:tcPr>
          <w:p>
            <w:pPr>
              <w:spacing w:after="0"/>
              <w:rPr>
                <w:sz w:val="22"/>
                <w:szCs w:val="22"/>
                <w:color w:val="auto"/>
              </w:rPr>
            </w:pPr>
          </w:p>
        </w:tc>
        <w:tc>
          <w:tcPr>
            <w:tcW w:w="6560" w:type="dxa"/>
            <w:vAlign w:val="bottom"/>
            <w:gridSpan w:val="11"/>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880" w:type="dxa"/>
            <w:vAlign w:val="bottom"/>
            <w:gridSpan w:val="3"/>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22"/>
                <w:szCs w:val="22"/>
                <w:color w:val="auto"/>
              </w:rPr>
            </w:pPr>
          </w:p>
        </w:tc>
        <w:tc>
          <w:tcPr>
            <w:tcW w:w="7100" w:type="dxa"/>
            <w:vAlign w:val="bottom"/>
            <w:gridSpan w:val="13"/>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880" w:type="dxa"/>
            <w:vAlign w:val="bottom"/>
            <w:gridSpan w:val="3"/>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60" w:type="dxa"/>
            <w:vAlign w:val="bottom"/>
            <w:gridSpan w:val="15"/>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24, 2021 (the “Closing Date” or the “Closing”), Perella Weinberg Partners (formerly known as FinTech Acquisition Corp. IV (“FTIV”)) consummated its previously announced business combination pursuant to that certain Business Combination Agreement, dated as of December 29, 2020 (the “Business Combination Agreement”).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8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on Nasdaq following the Business Combination;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225" w:lineRule="exact"/>
        <w:rPr>
          <w:rFonts w:ascii="Times New Roman" w:cs="Times New Roman" w:eastAsia="Times New Roman" w:hAnsi="Times New Roman"/>
          <w:sz w:val="18"/>
          <w:szCs w:val="18"/>
          <w:color w:val="auto"/>
        </w:rPr>
      </w:pPr>
    </w:p>
    <w:p>
      <w:pPr>
        <w:ind w:left="1960" w:hanging="332"/>
        <w:spacing w:after="0" w:line="282" w:lineRule="auto"/>
        <w:tabs>
          <w:tab w:leader="none" w:pos="1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7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225"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20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6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6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7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225" w:lineRule="exact"/>
        <w:rPr>
          <w:rFonts w:ascii="Times New Roman" w:cs="Times New Roman" w:eastAsia="Times New Roman" w:hAnsi="Times New Roman"/>
          <w:sz w:val="18"/>
          <w:szCs w:val="18"/>
          <w:color w:val="auto"/>
        </w:rPr>
      </w:pPr>
    </w:p>
    <w:p>
      <w:pPr>
        <w:ind w:left="1960" w:hanging="332"/>
        <w:spacing w:after="0" w:line="282" w:lineRule="auto"/>
        <w:tabs>
          <w:tab w:leader="none" w:pos="1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Company’s operations, financial results, financial condition, business prospects, growth strategy and liquidity;</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73" w:lineRule="exact"/>
        <w:rPr>
          <w:rFonts w:ascii="Times New Roman" w:cs="Times New Roman" w:eastAsia="Times New Roman" w:hAnsi="Times New Roman"/>
          <w:sz w:val="18"/>
          <w:szCs w:val="18"/>
          <w:color w:val="auto"/>
        </w:rPr>
      </w:pPr>
    </w:p>
    <w:p>
      <w:pPr>
        <w:ind w:left="1960" w:right="20" w:hanging="332"/>
        <w:spacing w:after="0" w:line="284" w:lineRule="auto"/>
        <w:tabs>
          <w:tab w:leader="none" w:pos="19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Amendment No. 1 to our Annual Report on Form 10-K/A.</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Perella Weinberg Partners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502,773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8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46,914</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631,599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311,500</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programs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357,417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446,975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51,810,154 issued and</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43,108,599 outstanding at September 30, 2022; 1,500,000,000 shares authorized, 43,649,319 issued and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42,649,319 outstanding at December 31, 2021)</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44,925,877 issued and</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September 30, 2022; 600,000,000 shares authorized, 50,154,199 issued and outstanding at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(8,701,555 and 1,000,000 shares of Class A common stock at September 30, 2022 and</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145,033</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274,182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271,352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631,599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131"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5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448,359</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602,749</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387,196</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438,468</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0" w:type="dxa"/>
            <w:vAlign w:val="bottom"/>
          </w:tcPr>
          <w:p>
            <w:pPr>
              <w:spacing w:after="0"/>
              <w:rPr>
                <w:sz w:val="1"/>
                <w:szCs w:val="1"/>
                <w:color w:val="auto"/>
              </w:rPr>
            </w:pPr>
          </w:p>
        </w:tc>
      </w:tr>
      <w:tr>
        <w:trPr>
          <w:trHeight w:val="250"/>
        </w:trPr>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154,197</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187,754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476,549</w:t>
            </w: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535,546</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67,203</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0" w:type="dxa"/>
            <w:vAlign w:val="bottom"/>
          </w:tcPr>
          <w:p>
            <w:pPr>
              <w:spacing w:after="0"/>
              <w:rPr>
                <w:sz w:val="1"/>
                <w:szCs w:val="1"/>
                <w:color w:val="auto"/>
              </w:rPr>
            </w:pPr>
          </w:p>
        </w:tc>
      </w:tr>
      <w:tr>
        <w:trPr>
          <w:trHeight w:val="250"/>
        </w:trPr>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29,756</w:t>
            </w: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shareholders </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Weighted-average shares of Class A common stock outstanding </w:t>
            </w:r>
            <w:r>
              <w:rPr>
                <w:rFonts w:ascii="Times New Roman" w:cs="Times New Roman" w:eastAsia="Times New Roman" w:hAnsi="Times New Roman"/>
                <w:sz w:val="23"/>
                <w:szCs w:val="23"/>
                <w:b w:val="1"/>
                <w:bCs w:val="1"/>
                <w:color w:val="auto"/>
                <w:vertAlign w:val="superscript"/>
              </w:rPr>
              <w:t>(1)</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42,263,427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42,572,813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44,241,794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42,599,954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87,745,776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92,727,012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90,535,232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92,754,153</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61"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 as defined in Note 1—Organization and Nature of Business. For more information, refer to Note 15—Net Income (Loss) Per Share Attributable to Class A Common Shareholders.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36"/>
        </w:trPr>
        <w:tc>
          <w:tcPr>
            <w:tcW w:w="5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0" w:type="dxa"/>
            <w:vAlign w:val="bottom"/>
            <w:gridSpan w:val="5"/>
            <w:vMerge w:val="continue"/>
          </w:tcPr>
          <w:p>
            <w:pPr>
              <w:spacing w:after="0"/>
              <w:rPr>
                <w:sz w:val="3"/>
                <w:szCs w:val="3"/>
                <w:color w:val="auto"/>
              </w:rPr>
            </w:pPr>
          </w:p>
        </w:tc>
        <w:tc>
          <w:tcPr>
            <w:tcW w:w="340" w:type="dxa"/>
            <w:vAlign w:val="bottom"/>
          </w:tcPr>
          <w:p>
            <w:pPr>
              <w:spacing w:after="0"/>
              <w:rPr>
                <w:sz w:val="3"/>
                <w:szCs w:val="3"/>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vMerge w:val="continue"/>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57"/>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20,503</w:t>
            </w:r>
          </w:p>
        </w:tc>
        <w:tc>
          <w:tcPr>
            <w:tcW w:w="0" w:type="dxa"/>
            <w:vAlign w:val="bottom"/>
          </w:tcPr>
          <w:p>
            <w:pPr>
              <w:spacing w:after="0"/>
              <w:rPr>
                <w:sz w:val="1"/>
                <w:szCs w:val="1"/>
                <w:color w:val="auto"/>
              </w:rPr>
            </w:pPr>
          </w:p>
        </w:tc>
      </w:tr>
      <w:tr>
        <w:trPr>
          <w:trHeight w:val="25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30,474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0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(9,971)</w:t>
            </w:r>
          </w:p>
        </w:tc>
        <w:tc>
          <w:tcPr>
            <w:tcW w:w="0" w:type="dxa"/>
            <w:vAlign w:val="bottom"/>
          </w:tcPr>
          <w:p>
            <w:pPr>
              <w:spacing w:after="0"/>
              <w:rPr>
                <w:sz w:val="1"/>
                <w:szCs w:val="1"/>
                <w:color w:val="auto"/>
              </w:rPr>
            </w:pPr>
          </w:p>
        </w:tc>
      </w:tr>
      <w:tr>
        <w:trPr>
          <w:trHeight w:val="26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340" w:type="dxa"/>
            <w:vAlign w:val="bottom"/>
            <w:tcBorders>
              <w:bottom w:val="single" w:sz="8" w:color="auto"/>
            </w:tcBorders>
            <w:vMerge w:val="continue"/>
            <w:shd w:val="clear" w:color="auto" w:fill="CCEEFF"/>
          </w:tcPr>
          <w:p>
            <w:pPr>
              <w:spacing w:after="0"/>
              <w:rPr>
                <w:sz w:val="23"/>
                <w:szCs w:val="23"/>
                <w:color w:val="auto"/>
              </w:rPr>
            </w:pPr>
          </w:p>
        </w:tc>
        <w:tc>
          <w:tcPr>
            <w:tcW w:w="11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vMerge w:val="continue"/>
            <w:shd w:val="clear" w:color="auto" w:fill="CCEEFF"/>
          </w:tcPr>
          <w:p>
            <w:pPr>
              <w:spacing w:after="0"/>
              <w:rPr>
                <w:sz w:val="23"/>
                <w:szCs w:val="23"/>
                <w:color w:val="auto"/>
              </w:rPr>
            </w:pPr>
          </w:p>
        </w:tc>
        <w:tc>
          <w:tcPr>
            <w:tcW w:w="960" w:type="dxa"/>
            <w:vAlign w:val="bottom"/>
            <w:tcBorders>
              <w:bottom w:val="single" w:sz="8" w:color="auto"/>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vMerge w:val="continue"/>
            <w:shd w:val="clear" w:color="auto" w:fill="CCEEFF"/>
          </w:tcPr>
          <w:p>
            <w:pPr>
              <w:spacing w:after="0"/>
              <w:rPr>
                <w:sz w:val="23"/>
                <w:szCs w:val="23"/>
                <w:color w:val="auto"/>
              </w:rPr>
            </w:pPr>
          </w:p>
        </w:tc>
        <w:tc>
          <w:tcPr>
            <w:tcW w:w="11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vMerge w:val="continue"/>
            <w:shd w:val="clear" w:color="auto" w:fill="CCEEFF"/>
          </w:tcPr>
          <w:p>
            <w:pPr>
              <w:spacing w:after="0"/>
              <w:rPr>
                <w:sz w:val="23"/>
                <w:szCs w:val="23"/>
                <w:color w:val="auto"/>
              </w:rPr>
            </w:pPr>
          </w:p>
        </w:tc>
        <w:tc>
          <w:tcPr>
            <w:tcW w:w="94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12"/>
                <w:szCs w:val="12"/>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Partners’</w:t>
            </w:r>
          </w:p>
        </w:tc>
        <w:tc>
          <w:tcPr>
            <w:tcW w:w="7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2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76,509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74,183</w:t>
            </w:r>
          </w:p>
        </w:tc>
        <w:tc>
          <w:tcPr>
            <w:tcW w:w="0" w:type="dxa"/>
            <w:vAlign w:val="bottom"/>
          </w:tcPr>
          <w:p>
            <w:pPr>
              <w:spacing w:after="0"/>
              <w:rPr>
                <w:sz w:val="1"/>
                <w:szCs w:val="1"/>
                <w:color w:val="auto"/>
              </w:rPr>
            </w:pPr>
          </w:p>
        </w:tc>
      </w:tr>
      <w:tr>
        <w:trPr>
          <w:trHeight w:val="153"/>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22,507</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22,507</w:t>
            </w: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6,157</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6,157</w:t>
            </w:r>
          </w:p>
        </w:tc>
        <w:tc>
          <w:tcPr>
            <w:tcW w:w="0" w:type="dxa"/>
            <w:vAlign w:val="bottom"/>
          </w:tcPr>
          <w:p>
            <w:pPr>
              <w:spacing w:after="0"/>
              <w:rPr>
                <w:sz w:val="1"/>
                <w:szCs w:val="1"/>
                <w:color w:val="auto"/>
              </w:rPr>
            </w:pPr>
          </w:p>
        </w:tc>
      </w:tr>
      <w:tr>
        <w:trPr>
          <w:trHeight w:val="153"/>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(9,816)</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(9,816)</w:t>
            </w: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384</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384</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36"/>
        </w:trPr>
        <w:tc>
          <w:tcPr>
            <w:tcW w:w="1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95,741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93,643</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 prior to Business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Combination</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37,350</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37,350</w:t>
            </w: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compensation prior to</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Business 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5,604</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5,604</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(loss) prior to Business Combination</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298</w:t>
            </w: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(37,573)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(37,573)</w:t>
            </w:r>
          </w:p>
        </w:tc>
        <w:tc>
          <w:tcPr>
            <w:tcW w:w="0" w:type="dxa"/>
            <w:vAlign w:val="bottom"/>
          </w:tcPr>
          <w:p>
            <w:pPr>
              <w:spacing w:after="0"/>
              <w:rPr>
                <w:sz w:val="1"/>
                <w:szCs w:val="1"/>
                <w:color w:val="auto"/>
              </w:rPr>
            </w:pPr>
          </w:p>
        </w:tc>
      </w:tr>
      <w:tr>
        <w:trPr>
          <w:trHeight w:val="153"/>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Effect of Business 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(101,112)</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42,956,667</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133,832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154,619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188,322</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 after Business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Combination</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(15,851)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(28,350)</w:t>
            </w: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compensation after</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Business 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1,461</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(loss) after Business Combination</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36"/>
        </w:trPr>
        <w:tc>
          <w:tcPr>
            <w:tcW w:w="1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42,956,667</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135,293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(12,499)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138,778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260,763</w:t>
            </w: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(9,462)</w:t>
            </w:r>
          </w:p>
        </w:tc>
        <w:tc>
          <w:tcPr>
            <w:tcW w:w="0" w:type="dxa"/>
            <w:vAlign w:val="bottom"/>
          </w:tcPr>
          <w:p>
            <w:pPr>
              <w:spacing w:after="0"/>
              <w:rPr>
                <w:sz w:val="1"/>
                <w:szCs w:val="1"/>
                <w:color w:val="auto"/>
              </w:rPr>
            </w:pPr>
          </w:p>
        </w:tc>
      </w:tr>
      <w:tr>
        <w:trPr>
          <w:trHeight w:val="35"/>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21,094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38,227</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(2,086)</w:t>
            </w:r>
          </w:p>
        </w:tc>
        <w:tc>
          <w:tcPr>
            <w:tcW w:w="0" w:type="dxa"/>
            <w:vAlign w:val="bottom"/>
          </w:tcPr>
          <w:p>
            <w:pPr>
              <w:spacing w:after="0"/>
              <w:rPr>
                <w:sz w:val="1"/>
                <w:szCs w:val="1"/>
                <w:color w:val="auto"/>
              </w:rPr>
            </w:pPr>
          </w:p>
        </w:tc>
      </w:tr>
      <w:tr>
        <w:trPr>
          <w:trHeight w:val="35"/>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(7,007)</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Liability awards reclassification to</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3,912</w:t>
            </w:r>
          </w:p>
        </w:tc>
        <w:tc>
          <w:tcPr>
            <w:tcW w:w="0" w:type="dxa"/>
            <w:vAlign w:val="bottom"/>
          </w:tcPr>
          <w:p>
            <w:pPr>
              <w:spacing w:after="0"/>
              <w:rPr>
                <w:sz w:val="1"/>
                <w:szCs w:val="1"/>
                <w:color w:val="auto"/>
              </w:rPr>
            </w:pPr>
          </w:p>
        </w:tc>
      </w:tr>
      <w:tr>
        <w:trPr>
          <w:trHeight w:val="35"/>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 vested PWP Incentive Plan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Awards</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535,831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payments on vested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PWP Incentive Plan Awards</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(7,983)</w:t>
            </w:r>
          </w:p>
        </w:tc>
        <w:tc>
          <w:tcPr>
            <w:tcW w:w="0" w:type="dxa"/>
            <w:vAlign w:val="bottom"/>
          </w:tcPr>
          <w:p>
            <w:pPr>
              <w:spacing w:after="0"/>
              <w:rPr>
                <w:sz w:val="1"/>
                <w:szCs w:val="1"/>
                <w:color w:val="auto"/>
              </w:rPr>
            </w:pPr>
          </w:p>
        </w:tc>
      </w:tr>
      <w:tr>
        <w:trPr>
          <w:trHeight w:val="35"/>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 Class A common stock)</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(4,200)</w:t>
            </w:r>
          </w:p>
        </w:tc>
        <w:tc>
          <w:tcPr>
            <w:tcW w:w="0" w:type="dxa"/>
            <w:vAlign w:val="bottom"/>
          </w:tcPr>
          <w:p>
            <w:pPr>
              <w:spacing w:after="0"/>
              <w:rPr>
                <w:sz w:val="1"/>
                <w:szCs w:val="1"/>
                <w:color w:val="auto"/>
              </w:rPr>
            </w:pPr>
          </w:p>
        </w:tc>
      </w:tr>
      <w:tr>
        <w:trPr>
          <w:trHeight w:val="153"/>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1,819</w:t>
            </w:r>
          </w:p>
        </w:tc>
        <w:tc>
          <w:tcPr>
            <w:tcW w:w="0" w:type="dxa"/>
            <w:vAlign w:val="bottom"/>
          </w:tcPr>
          <w:p>
            <w:pPr>
              <w:spacing w:after="0"/>
              <w:rPr>
                <w:sz w:val="1"/>
                <w:szCs w:val="1"/>
                <w:color w:val="auto"/>
              </w:rPr>
            </w:pPr>
          </w:p>
        </w:tc>
      </w:tr>
      <w:tr>
        <w:trPr>
          <w:trHeight w:val="35"/>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0" w:type="dxa"/>
            <w:vAlign w:val="bottom"/>
          </w:tcPr>
          <w:p>
            <w:pPr>
              <w:spacing w:after="0"/>
              <w:rPr>
                <w:sz w:val="1"/>
                <w:szCs w:val="1"/>
                <w:color w:val="auto"/>
              </w:rPr>
            </w:pPr>
          </w:p>
        </w:tc>
      </w:tr>
      <w:tr>
        <w:trPr>
          <w:trHeight w:val="153"/>
        </w:trPr>
        <w:tc>
          <w:tcPr>
            <w:tcW w:w="1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1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43,492,498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152,308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136,776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261,983</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0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6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43,649,319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158,131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145,033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271,352</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1,052</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22,695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18,710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41,405</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(15,823)</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601,098</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8"/>
              </w:rPr>
              <w:t>Withholding payments on vested PWP Incentive Plan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Awards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(4,113)</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(2,102)</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1,999</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and exchange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PWP OpCo Units with corresponding Class B</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 for cash using Offering proceeds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(Note 11—Stockholders' Equity)</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3,502,033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(3,498,534)</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11—Stockholders' Equity)</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337,048</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(336,712)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(172,303)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2022</w:t>
            </w: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48,089,498</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46,318,953</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(1,172,303)</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(13,598)</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179,745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135,616</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285,577</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9,265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2,666</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18,432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18,525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36,957</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(2,856)</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66,116</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98"/>
              </w:rPr>
              <w:t>Withholding payments on vested PWP Incentive Plan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(4,555)</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(5,177)</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11 - Stockholders’ Equity)</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629,591</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(628,965)</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w:t>
            </w: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(6,267,904)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(43,689)</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5,654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2022</w:t>
            </w: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48,785,205</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45,689,988</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(7,440,207)</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(57,287)</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203,861</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(8,834)</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(5,334)</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136,397</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268,813</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(13,999)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(12,859)</w:t>
            </w: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18,860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37,608</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(6,129)</w:t>
            </w: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(10,052)</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694,128</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28,111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8"/>
              </w:rPr>
              <w:t>Withholding payments on vested PWP Incentive Plan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Awards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9"/>
        </w:trPr>
        <w:tc>
          <w:tcPr>
            <w:tcW w:w="2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(4,378)</w:t>
            </w:r>
          </w:p>
        </w:tc>
      </w:tr>
      <w:tr>
        <w:trPr>
          <w:trHeight w:val="153"/>
        </w:trPr>
        <w:tc>
          <w:tcPr>
            <w:tcW w:w="24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36"/>
        </w:trPr>
        <w:tc>
          <w:tcPr>
            <w:tcW w:w="2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48"/>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0"/>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4"/>
        </w:trPr>
        <w:tc>
          <w:tcPr>
            <w:tcW w:w="2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11 - Stockholders’ Equity)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764,873</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(764,111)</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447</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446</w:t>
            </w:r>
          </w:p>
        </w:tc>
      </w:tr>
      <w:tr>
        <w:trPr>
          <w:trHeight w:val="153"/>
        </w:trPr>
        <w:tc>
          <w:tcPr>
            <w:tcW w:w="24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 exchange for Class A 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1,565,948</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11,999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11,999</w:t>
            </w:r>
          </w:p>
        </w:tc>
      </w:tr>
      <w:tr>
        <w:trPr>
          <w:trHeight w:val="36"/>
        </w:trPr>
        <w:tc>
          <w:tcPr>
            <w:tcW w:w="2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69"/>
        </w:trPr>
        <w:tc>
          <w:tcPr>
            <w:tcW w:w="2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97"/>
              </w:rPr>
              <w:t>(1,289,459)</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(8,538)</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(8,538)</w:t>
            </w:r>
          </w:p>
        </w:tc>
      </w:tr>
      <w:tr>
        <w:trPr>
          <w:trHeight w:val="153"/>
        </w:trPr>
        <w:tc>
          <w:tcPr>
            <w:tcW w:w="24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6,274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24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51,810,154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44,925,877</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97"/>
              </w:rPr>
              <w:t>(8,701,555)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(65,488)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225,978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(8,293)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134,185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274,182</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9"/>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6"/>
        </w:trPr>
        <w:tc>
          <w:tcPr>
            <w:tcW w:w="8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22,045</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51,449</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11,081</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debt discounts and deferred financing costs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13,036</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(25,730)</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(15,615)</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57,038</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compensation programs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(8,694)</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(13,570)</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126,041</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investments in short-term marketable debt securities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r>
      <w:tr>
        <w:trPr>
          <w:trHeight w:val="200"/>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(147,406)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Business Combination, including PIPE Investment</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355,021</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 of Business Combination costs</w:t>
            </w:r>
          </w:p>
        </w:tc>
        <w:tc>
          <w:tcPr>
            <w:tcW w:w="8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(20,570)</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payment on Revolving Credit Facility</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(27,690)</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Redemption of Convertible Notes</w:t>
            </w:r>
          </w:p>
        </w:tc>
        <w:tc>
          <w:tcPr>
            <w:tcW w:w="8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(160,930)</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Redemption of partners’ interests</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(104,540)</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the Offering, net of underwriting discount</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 using Offering proceeds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 of offering costs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(54,396)</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 payments for vested PWP Incentive Plan Awards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(7,983)</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 purchases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Debt issuance costs</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partner promissory notes</w:t>
            </w: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r>
      <w:tr>
        <w:trPr>
          <w:trHeight w:val="200"/>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(102,641)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(34,670)</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(359,262)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86,766</w:t>
            </w: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330,908</w:t>
            </w: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145,513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417,674</w:t>
            </w:r>
          </w:p>
        </w:tc>
      </w:tr>
      <w:tr>
        <w:trPr>
          <w:trHeight w:val="25"/>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6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645"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9"/>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131,586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37"/>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dividends and dividend equivalent units on unvested PWP Incentive Plan Awards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tax effect resulting from exchanges of PWP OpCo Units, net of amounts payable under tax receivable agreement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treasury stock purchases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Pending broker-to-broker trades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12,815</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Liability awards reclassification to equity</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r>
      <w:tr>
        <w:trPr>
          <w:trHeight w:val="37"/>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assets of deconsolidated affiliate</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7"/>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w:t>
            </w: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5,483</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condensed consolidated financial statements.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2021 included in Amendment No. 1 to the Company’s Annual Report on Form 10-K/A. The condensed consolidated financial statements reflect all material adjustments of a normal recurring nature that, in the opinion of management, are necessary for a fair presentation of the results for the interim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September 30, 2022 and December 31, 2021, the net assets of PWP OpCo were $263.1 million and $268.5 million, respectively. As of September 30, 2022 and December 31, 2021, the Company did not consolidate any VIEs other than PWP OpCo.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preparing the condensed consolidated financial statements, management makes estimates regarding the following:</w:t>
      </w:r>
    </w:p>
    <w:p>
      <w:pPr>
        <w:spacing w:after="0" w:line="225" w:lineRule="exact"/>
        <w:rPr>
          <w:sz w:val="20"/>
          <w:szCs w:val="20"/>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amount due pursuant to the tax receivable agreement;</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timing of revenue recognition;</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the allowance for credit losses;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realization of deferred taxes;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equity-based awards;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goodwill and intangible assets;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of financial instruments; and</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affect the reported amounts and disclosures of contingencies in the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with original maturities of three months or less from the date of purchase. As of September 30, 2022 and December 31, 2021, the Company had no cash equivalents. The Company maintains cash with banks and brokerage firms, which from time to time may exceed federally insured limits.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represents cash that is not readily available for general purpose cash needs. As of September 30, 2022 and December 31, 2021, the Company had restricted cash of $2.7 million and $2.0 million, respectively, maintained as collateral for letters of credit related to certain office leases.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Company’s cash, cash equivalents and restricted cash as of September 30, 2022 and September 30, 2021 is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415,839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shown on statements of cash flows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Short-Term Marketable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invests in short-term marketable debt securities to manage excess liquidity. As of September 30, 2022, these investments consisted solely of U.S. Treasury securities held by a consolidated broker-dealer subsidiary and were carried at fair value with changes in fair value included in Other income (expense) on the Condensed Consolidated Statements of Operations, as is required for broker-dealers. In general, these investments are recorded on the Condensed Consolidated 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September 30, 2022 and December 31, 2021, $12.8 million and $2.5 million, respectively, of accrued revenue was included in Accounts receivable, net of allowance on the Condensed Consolidated Statements of Financial Condition. These amounts represent amounts due from clients and recognized as revenue in accordance with the Company’s revenue recognition policies but unbilled at the end of the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represent amounts due from clients from various industry and geographic backgrounds. As of September 30, 2022, certain accounts receivable in the aggregate amount of $9.6 million were individually greater than 10% of the Company’s gross accounts receivable and were concentrated with one client. Of that amount, all was subsequently received after September 30, 2022. As of December 31, 2021, certain accounts receivable in the aggregate amount of $13.6 million, were greater than 10% of the Company’s gross accounts receivable and were concentrated with two clients. Of that amount, all was subsequently received after year 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Generally, prepaid expenses comprise the majority of Prepaid expenses and other assets on the Condensed Consolidated Statements of Financial Condition and represent upfront payments for various services, including subscriptions, cloud computing arrangements, software licenses and insurance, which are amortized over the life, related service period or policy. When applicable, deferred offering costs are also presented within Prepaid expenses and other assets. As of December 31, 2021, Prepaid expenses and other assets included deferred offering costs of $0.9 million related to a primary offering of shares of the Company’s Class A common stock. There were no deferred offering costs included in Prepaid expenses and other assets as of September 30, 2022. Total deferred offering costs of $1.3 million for this primary offering were netted against the proceeds of the offering in Additional paid-in-capital on the Condensed Consolidated Statements of Financial Condition. Refer to Note 11—Stockholders' Equity for additional information regarding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entities held by PWP OpCo that are disregarded for U.S. federal and state tax purposes. Certain non-U.S. subsidiaries are subject to income taxes in their respective local jurisdictions, and therefore, the related income tax provision is reported in the Condensed Consolidated Statements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benefit (expense)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analyzes its tax positions for all U.S. federal, state and local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General, administrative and other expenses in the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may enter into transactions denominated in a non-functional currency. The Company recognized net foreign exchange gains (losses) arising from such transactions of $5.6 million and $10.8 million during the three and nine months ended September 30, 2022, respectively, and $2.2 million and $0.4 million during the three and nine months ended September 30, 2021, respectively, which are included in Other income (expense) in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generally translated using the average exchange rate throughout the period. Cumulative translation adjustments arising from the translation of non-U.S. dollar denominated operations are included as a component of Accumulated other comprehensive loss in the Condensed Consolidated Statements of Changes in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Advisory Services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Fairness Opinion Services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Trading Services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various ways – by direct payment (the amount of which is typically at the client’s discretion based upon the perceived value of the research services provided),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Services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 and Contract Balances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typically reimbursed by the client for certain of these out-of-pocket expenses, which is recorded within Revenues in the Condensed Consolidated Statements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13—Equity-Based Compensation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changes to U.S. GAAP that went into effect during the nine months ended September 30, 2022 had a material effect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changes to U.S. GAAP that are not yet effective are expected to have a material effect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consummation of the Business Combination, the following occurred:</w:t>
      </w:r>
    </w:p>
    <w:p>
      <w:pPr>
        <w:spacing w:after="0" w:line="225" w:lineRule="exact"/>
        <w:rPr>
          <w:sz w:val="20"/>
          <w:szCs w:val="20"/>
          <w:color w:val="auto"/>
        </w:rPr>
      </w:pPr>
    </w:p>
    <w:p>
      <w:pPr>
        <w:jc w:val="both"/>
        <w:ind w:left="1140" w:hanging="484"/>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140" w:hanging="484"/>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7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FTIV;</w:t>
      </w:r>
    </w:p>
    <w:p>
      <w:pPr>
        <w:spacing w:after="0" w:line="22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175"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was renamed “Perella Weinberg Partners.”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date of the Closing,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 The Business Combination resulted in an increase to the Company’s deferred tax assets, with a corresponding payable pursuant to the tax receivable agreement, primarily related to a step-up in the tax basis of certain assets that will be recovered as those assets are amortized.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time of the Closing, there were 42,956,667 shares of Class A common stock and 50,154,199 shares of Class B common stock outstanding. The number of shares of Class B common stock outstanding corresponds to the number of PWP OpCo Units attributable to the Professional Partners and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Concurrent with the Closing, the Company entered into certain other related agreements which are discussed further in Note 11—Stockholders' Equity and Note 17—Related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 and Receivables from Contracts with Customers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440,325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562,286</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40,463</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448,359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5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Reimbursable expenses billed to clients were $0.4 million and $1.7 million for the three and nine months ended September 30, 2022, respectively, and $1.2 million and $4.0 million for the three and nine months ended September 30,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Revenue Recognized from Past Performance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aggregate amount of the transaction price allocated to performance obligations yet to be satisfied was $3.3 million and the Company generally expects to recognize this revenue within the next twelve months. Such amounts primarily relate to the Company’s performance obligations of providing transaction-related advisory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$40.0 million and $263.6 million during the three and nine months ended September 30, 2022, respectively, and $53.5 million and $309.0 million during the three and nine months ended September 30, 2021, respectively, related to performance obligations that were satisfied or partially satisfied in prior periods. These amounts were recognized upon the resolution of revenue constraints and uncertainties in the respective current period and generally related to transaction-related advisory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the Company recorded $3.9 million and $7.8 million, respectively, for contract liabilities which are presented as Deferred revenue on the Condensed Consolidated Statements of Financial Condition. The Company recognized revenue of $1.7 million and $5.8 million for the three and nine months ended September 30, 2022, respectively, and $2.2 million and $9.6 million for the three and nine months ended September 30, 2021, respectively, of the respective beginning deferred revenue balance, which was primarily related to transaction-related advisory services that are recognized over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activity for the three and nine months ended September 30, 2022 and 2021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5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0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5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94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2021, the Company extended the term of its New York office lease by five months, which resulted in an increase to Lease liabilities and a corresponding increase to Right-of-use lease assets of $5.1 million. In July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PWP Capital Holdings LP was terminated in conjunction with this lease amendment.</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half of 2022, the Company entered into amendments to its New York and Los Angeles office leases, as well as a new 12-year lease agreement related to the relocation of the Company’s U.K. office in London. The New York lease amendment extended the term of the lease by approximately 16 years with an expiration of December 31, 2039. The amended term of the Los Angeles lease is scheduled to expire on December 31, 2032. In the second quarter of 2022, the Company’s amended Los Angeles lease commenced and the amended New York lease partially commenced resulting in an increase to Lease liabilities and a corresponding increase to Right-of-use lease assets of $66.3 million. In the third quarter of 2022, the New York lease became fully commenced and the U.K. lease also commenced, which resulted in an additional $62.3 million increase to Lease liabilities and a corresponding increase to Right-of-use lease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5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15.1 years</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3.3 years</w:t>
            </w:r>
          </w:p>
        </w:tc>
      </w:tr>
      <w:tr>
        <w:trPr>
          <w:trHeight w:val="392"/>
        </w:trPr>
        <w:tc>
          <w:tcPr>
            <w:tcW w:w="5160" w:type="dxa"/>
            <w:vAlign w:val="bottom"/>
          </w:tcPr>
          <w:p>
            <w:pPr>
              <w:spacing w:after="0"/>
              <w:rPr>
                <w:sz w:val="24"/>
                <w:szCs w:val="24"/>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2"/>
        </w:trPr>
        <w:tc>
          <w:tcPr>
            <w:tcW w:w="5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9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5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lease obligation</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22"/>
                <w:szCs w:val="22"/>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2022, the maturities of undiscounted operating lease liabilities of the Company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1"/>
                <w:szCs w:val="21"/>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Sublease Income</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72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204,125</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242,642</w:t>
            </w:r>
          </w:p>
        </w:tc>
        <w:tc>
          <w:tcPr>
            <w:tcW w:w="7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(83,007)</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860" w:right="1260" w:hanging="5690"/>
        <w:spacing w:after="0" w:line="970" w:lineRule="auto"/>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future lease payments are presented net of expected lease incentives, including landlord contributions to tenant improvements.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6—Intangible Assets</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jc w:val="right"/>
        <w:ind w:right="2140"/>
        <w:spacing w:after="0"/>
        <w:rPr>
          <w:sz w:val="20"/>
          <w:szCs w:val="20"/>
          <w:color w:val="auto"/>
        </w:rPr>
      </w:pPr>
      <w:r>
        <w:rPr>
          <w:rFonts w:ascii="Times New Roman" w:cs="Times New Roman" w:eastAsia="Times New Roman" w:hAnsi="Times New Roman"/>
          <w:sz w:val="18"/>
          <w:szCs w:val="18"/>
          <w:color w:val="auto"/>
        </w:rPr>
        <w:t>Below is the detail of the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3"/>
                <w:szCs w:val="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3"/>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2"/>
                <w:szCs w:val="22"/>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0" w:type="dxa"/>
            <w:vAlign w:val="bottom"/>
          </w:tcPr>
          <w:p>
            <w:pPr>
              <w:spacing w:after="0"/>
              <w:rPr>
                <w:sz w:val="1"/>
                <w:szCs w:val="1"/>
                <w:color w:val="auto"/>
              </w:rPr>
            </w:pPr>
          </w:p>
        </w:tc>
      </w:tr>
      <w:tr>
        <w:trPr>
          <w:trHeight w:val="283"/>
        </w:trPr>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4"/>
                <w:szCs w:val="14"/>
                <w:color w:val="auto"/>
              </w:rPr>
            </w:pPr>
          </w:p>
        </w:tc>
        <w:tc>
          <w:tcPr>
            <w:tcW w:w="12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36"/>
        </w:trPr>
        <w:tc>
          <w:tcPr>
            <w:tcW w:w="140" w:type="dxa"/>
            <w:vAlign w:val="bottom"/>
          </w:tcPr>
          <w:p>
            <w:pPr>
              <w:spacing w:after="0"/>
              <w:rPr>
                <w:sz w:val="3"/>
                <w:szCs w:val="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3"/>
                <w:szCs w:val="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4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2"/>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-1971040</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-1610995</wp:posOffset>
            </wp:positionV>
            <wp:extent cx="71323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-590550</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-222250</wp:posOffset>
            </wp:positionV>
            <wp:extent cx="713232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17" w:right="339" w:bottom="1440" w:gutter="0" w:footer="0" w:header="0"/>
          <w:type w:val="continuous"/>
        </w:sectPr>
      </w:pP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intangible assets are amortized over an average useful life of 10 years. Intangible amortization expense was $1.6 million and $4.9 million for the three and nine months ended September 30, 2022, respectively, and $1.6 million and $4.9 million for the three and nine months ended September 30, 2021, respectively, which is included in Depreciation and amortization in the Condensed Consolidated Statements of Operations. Amortization of intangible assets held at September 30, 2022 is expected to be $6.6 million for each of the years ending December 31, 2022, 2023, 2024 and 2025, and $6.0 million for the year ending December 31, 2026. These intangible assets will be fully amortized by November 30,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7—Regulatory Requirements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None of the SEC regulated subsidiaries hold funds or securities for, or owe money or securities to, clients or carry accounts of or for clients, and as such are all exempt from the SEC Customer Protection Rule (Rule 15c3-3). As of September 30, 2022 and December 31, 2021, all regulated subsidiaries were in excess of their applicable minimum capital requirements.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8—Fixed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82,348</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(71,986)</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related to fixed assets was $0.6 million and $2.4 million for the three and nine months ended September 30, 2022, respectively, and $1.6 million and $5.2 million for the three and nine months ended September 30, 2021, respectively. Amortization expense related to software development costs was $0.3 million and $0.8 million for the three and nine months ended September 30, 2022, respectively, and $0.2 million and $0.9 million for the three and nine months ended September 30, 2021, respectively.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Substantially all leasehold improvement assets capitalized during the nine months ended September 30, 2022 were related to build-out projects associated with new or amended office leases in New York, Los Angeles, and the U.K. Refer to Note 5—Leases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 position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8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52"/>
        </w:trPr>
        <w:tc>
          <w:tcPr>
            <w:tcW w:w="4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24,740</w:t>
            </w: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683.7 %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
        </w:trPr>
        <w:tc>
          <w:tcPr>
            <w:tcW w:w="4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determined that the year-to-date actual effective tax rate represents the Company’s best estimate of the annual effective tax rate. This is due to the Company’s significant permanent differences as compared to estimated pre-tax income.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(iv) tax deductions for the delivery of shares for vested equity-based awards are computed at fair market value at the time of vesting rather than at the amortized cost recorded in accordance with GAAP.</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recorded a liability for unrecognized tax benefits of $5.1 million and $6.1 million, respectively, related to the potential double inclusion of income on its foreign income tax returns. The Company does not expect there to be any material changes to uncertain tax positions within 12 months of the reporting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debt as of September 30, 2022 and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Unamortized debt discount and issuance costs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500" w:hanging="330"/>
        <w:spacing w:after="0" w:line="266"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and December 31, 2021, the Company included unamortized debt issuance costs within Prepaid expenses and other assets on the Condensed Consolidated Statements of Financial Position since there were no outstanding borrowings under the Revolving Credit Facility, as defined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revolving credit facility (the “Revolving Credit Facility”) with Cadence Bank, N.A. (“Cadence Bank”) with an available line of credit of $50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Applicable Rate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Leverage Ratio</w:t>
            </w:r>
          </w:p>
        </w:tc>
        <w:tc>
          <w:tcPr>
            <w:tcW w:w="25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Eurodollar Rate</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w:t>
            </w:r>
          </w:p>
        </w:tc>
      </w:tr>
      <w:tr>
        <w:trPr>
          <w:trHeight w:val="237"/>
        </w:trPr>
        <w:tc>
          <w:tcPr>
            <w:tcW w:w="61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0.50 : 1.00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1.00, but &lt; 1.50 : 1.00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2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2"/>
        </w:trPr>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4"/>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w:t>
            </w: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w:t>
            </w:r>
          </w:p>
        </w:tc>
        <w:tc>
          <w:tcPr>
            <w:tcW w:w="30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6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r>
      <w:tr>
        <w:trPr>
          <w:trHeight w:val="22"/>
        </w:trPr>
        <w:tc>
          <w:tcPr>
            <w:tcW w:w="500" w:type="dxa"/>
            <w:vAlign w:val="bottom"/>
            <w:shd w:val="clear" w:color="auto" w:fill="CCEEFF"/>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w:t>
      </w:r>
    </w:p>
    <w:p>
      <w:pPr>
        <w:spacing w:after="0" w:line="3" w:lineRule="exact"/>
        <w:rPr>
          <w:sz w:val="20"/>
          <w:szCs w:val="20"/>
          <w:color w:val="auto"/>
        </w:rPr>
      </w:pPr>
    </w:p>
    <w:p>
      <w:pPr>
        <w:jc w:val="both"/>
        <w:ind w:firstLine="8"/>
        <w:spacing w:after="0" w:line="253"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 million of the Revolving Credit Facility may be used for the issuance of letters of credit, (iv) up to $20.0 million of incremental revolving commitments may be incurred under the Credit Agreement, and (v) certain financial covenants were amended. The Credit Agreement provides that the benchmark of LIBOR will be replaced with a SOFR-based rate on or prior to the date that the LIBOR benchmark is unavailable. As of September 30, 2022, the Company had no outstanding balance related to the Revolving Credit Facility and no incremental revolving commitments were incurred.</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for the Revolving Credit Facility for the applicable periods prior to the Closing Date was 2.6% for the period from January 1, 2021 through June 24, 2021 (the Closing Date).</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Debt Issuance Costs </w:t>
      </w:r>
      <w:r>
        <w:rPr>
          <w:rFonts w:ascii="Times New Roman" w:cs="Times New Roman" w:eastAsia="Times New Roman" w:hAnsi="Times New Roman"/>
          <w:sz w:val="18"/>
          <w:szCs w:val="18"/>
          <w:color w:val="auto"/>
        </w:rPr>
        <w:t>– Prior to the Business Combination, the Company incurred $1.8 million in issuance costs related to the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amortized to Interest expense using the effective interest method over the life of the Revolving Credit Facility. The effective interest rate of the Revolving Credit Facility, taking into account these issuance costs, was 3.7% for the period from January 1, 2021 through June 24, 2021.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$0.1 million and $0.2 million during the three and nine months ended September 30, 2022, respectively, and $0.1 million and $0.6 million during the three and nine months ended September 30,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 Outstanding Prior to 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redeemed its 7.0% subordinated unsecured convertible notes (the “Convertible Notes”) for $161.6 million, which included the total outstanding $150.0 million aggregate principal, an applicable premium for redeeming noteholders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interest rate of the Convertible Notes, considering the cash coupon rate of 7.0% as well as amortization of the debt discount and issuance costs, was 12.0% for the period from January 1, 2021 through June 24, 2021 (the date such Convertible Notes were redeemed). The aggregate interest expense related to the Convertible Notes was $6.9 million for the period from January 1, 2021 through June 24, 2021.</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of the persons who held Convertible Notes (each herein referred to as a “Holder”) are partners. Refer to Note 17—Related Party Transactions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11—Stockholders' Equity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Shares of Class A common stock and Class B common stock are not subject to any conversion right and holders of the Class A common stock and Class B common stock do not have preemptive or subscription rights. Additionally, the Company had 7,869,975 warrants outstanding as of December 31, 2021, all of which were exchanged for shares of Class A common stock during the third quarter of 2022. As of September 30, 2022, no warrants remained outstanding. See Note 12—Warrants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Board of Directors declared dividends of $0.07 and $0.21 per share of Class A common stock, respectively, totaling $4.5 million and $13.4 million, respectively, including dividends paid, accrued dividends and dividend equivalent units on unvested PWP Incentive Plan Awards (as defined in Note 13—Equity-Based Compensation). During the three and nine months ended September 30, 2021, the Board of Directors declared dividends of $0.07 and $0.07 per share of Class A common stock, respectively, totaling $4.3 million and $4.3 million, respectively, including dividends paid, accrued dividends and dividend equivalent units on unvested PWP Incentive Plan Awards. Holders of Class B common stock also receive dividends equal to the amount of dividends declared on 0.001 shares of Class A common stock, and such dividends are included in the aforementioned total dividends declared.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and nine months ended September 30, 2022, the Company purchased 1,289,459 and 7,729,666 shares, respectively, resulting in an increase of $8.5 million and $53.8 million, respectively, at cost, to Treasury stock on the Company’s Condensed Consolidated Statement of Financial Condition. The 7,729,666 shares purchased since inception of the share repurchase program through September 30, 2022 were purchased at an average price per share of $6.96.</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Non-controlling interests represents the ownership interests in PWP OpCo held by holders other than Perella Weinberg Partners. Professional Partners and the ILPs own 44,925,877 PWP OpCo Units as of September 30, 2022, which represent a 51.0% non-controlling ownership interest in PWP OpCo. These PWP OpCo Units are exchangeable into PWP Class A common stock on a one-for-one basis. Class B-1 and Class B-2 common stock have de minimis economic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the Company entered into a registration rights agreement among the Sponsor, Professional Partners and the ILPs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On July 7, 2022, the Company filed a post-effective amendment to the registration statement on Form S-3 for the purpose of converting the prior registration statement on Form S-1 into a registration statement on Form S-3.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the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whichever occurs first. On January 7, 2022, the Sponsor distributed 5,456,667 shares of Class A common stock to its members (the “Sponsor Distribution”), after which the Sponsor owns 1,000,000 founder shares. The 1,000,000 founder shares retained by the Sponsor and 1,738,680 of the founder shares distributed in the Sponsor Distribution remain subject to the transfer restrictions referred to above.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transferees, as applicable.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Limited Partnership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Voting and Economic Rights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21, 2022, the Company closed a follow-on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settle an exchange of certain PWP OpCo Units and certain shares of Class B common stock. Under the terms of the underwriting agreement, directors, officers and certain significant shareholders signed customary lockup agreements with respect to their ownership of Class A common stock. Total deferred offering costs of $1.3 million for the Offering were netted against the proceeds of the offering in Additional paid-in-capital on the Condensed Consolidated Statements of Financial Condition.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2022, May 31, 2022 and September 6, 2022, the Company settled exchanges of certain PWP OpCo Units and certain shares of Class B common stock for 337,048, 629,591 and 764,873 shares of Class A common stock,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exchanges created a step-up in tax basis for which the Company recorded an increase in Deferred tax assets, net, as well as a related increase in Amounts due pursuant to the tax receivable agreement resulting in a net increase to Additional paid-in-capital.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23, 2022, the Company concluded an offer to holders of its outstanding warrants which provided such holders the opportunity to receive 0.20 shares of the Company’s Class A common stock in exchange for each warrant tendered by such holders. This offer coincided with a solicitation of consents from holders of the public warrants to amend the warrant agreement (together, the “Warrant Exchange Offer”). As a result, 7,388,071 public warrants and 80,456 private warrants were exchanged, collectively, for 1,493,688 shares of the Company’s Class A common stock, with a minimal cash settlement in lieu of partial shares. Subsequently, as a result of the warrant amendment, each remaining outstanding warrant was converted into 0.18 shares of Class A common stock for a total of 72,260 shares of the Company’s Class A common stock with a minimal cash settlement in lieu of partial shares, and subsequently, no warrants remained outstanding.</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incurred $1.3 million of costs directly related to the Warrant Exchange Offer, consisting primarily of dealer manager fees and professional, legal, printing, filing, regulatory, and other costs. The costs were recorded in Professional fees on the Condensed Consolidated Statements of Operations as the transactions did not generate any proceeds to the Company and therefore the costs did not qualify to be deferred or charged to Additional paid-in-capital under ASC 340-10-S99-1. Immediately prior to exchange, the warrants were marked to fair value on the respective date of settlement, which was recorded within Change in fair value of warrant liabilities on the Condensed Consolidated Statements of Operations. Upon exchange, the warrant liabilities were removed from the Condensed Consolidated Statements of Financial Condition and the issuance of shares of Class A common stock was reflected within equity. No public or private warrants remained outstanding as of September 30, 2022.</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 Prior to Exchange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Warrant Exchange Offer, each public warrant entitled the registered holder to purchase one share of Class A common stock at an exercise price of $11.50 per share, subject to adjustment, and became exercisable on September 29, 2021, the one-year anniversary of FTIV’s initial public offering. A warrant holder could exercise its warrants only for a whole number of shares of Class A common stock. This meant that only a whole warrant could be exercised at any given time by a warrant holder. The warrants were set to expire five years after the Business Combination, or earlier upon redemption or liquidation.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private warrants were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 private warrants were non-redeemable so long as they were held by the Sponsor or its permitted transferees. If the private warrants were held by someone other than the Sponsor or its permitted transferees, the private warrants were redeemable by the Company and exercisable by such holders on the same basis as the public warrants.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Warrant Exchange Offer, the public and private warrants met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Fair Value Measurements and Investments for descriptions of the valuation methodology and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(“PWP Incentive Plan Awards”). Under the PWP Incentive Plan, the Company may grant options, stock appreciation rights, restricted stock, restricted stock units (“RSUs”), performance restricted stock units (“PSUs”), stock bonuses, other stock-based awards, cash awards or any combination of the foregoing. The PWP Incentive Plan established a reserve for a one-time grant of awards that occurred in connection with the Business Combination (the “Transaction Pool Reserve”) as well as a reserve for general purpose grants (the “General Share Reserve”). The maximum aggregate number of shares of Class A common stock reserved for issuance from the General Share Reserve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The Company uses newly issued shares of Class A common stock to satisfy vested awards under the PWP Incentive Plan, with the exception of vested awards for certain employees in France which are issued out of the Company’s shares of treasury stock. As of September 30, 2022, 7,970,006 total shares remained reserved and available for future issuance under the PWP Incentive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(“Long-Term Incentive Awards”).</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 Pool PSUs – </w:t>
      </w:r>
      <w:r>
        <w:rPr>
          <w:rFonts w:ascii="Times New Roman" w:cs="Times New Roman" w:eastAsia="Times New Roman" w:hAnsi="Times New Roman"/>
          <w:sz w:val="18"/>
          <w:szCs w:val="18"/>
          <w:color w:val="auto"/>
        </w:rPr>
        <w:t>The service condition requirement with respect to the Transaction Pool PSUs is generally satisfied over three to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September 30, 2022, the $12 and $13.50 market condition requirements were satisfied.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Transaction Pool PSUs for the nine months ended September 30,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Transaction Pool PSUs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1"/>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3"/>
        </w:trPr>
        <w:tc>
          <w:tcPr>
            <w:tcW w:w="8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3,208,126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8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3,068,832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500" w:hanging="330"/>
        <w:spacing w:after="0" w:line="282" w:lineRule="auto"/>
        <w:tabs>
          <w:tab w:leader="none" w:pos="4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dividend equivalent units that have been awarded in the form of additional Transaction Pool PSUs that were granted from the General Share Reserve.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total unrecognized compensation expense related to unvested Transaction Pool PSUs was $27.8 million, which is expected to be recognized over a weighted average period of 3.0 years.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 Pool RSUs – </w:t>
      </w:r>
      <w:r>
        <w:rPr>
          <w:rFonts w:ascii="Times New Roman" w:cs="Times New Roman" w:eastAsia="Times New Roman" w:hAnsi="Times New Roman"/>
          <w:sz w:val="18"/>
          <w:szCs w:val="18"/>
          <w:color w:val="auto"/>
        </w:rPr>
        <w:t>The Transaction Pool RSUs generally vest in equal annual installments over the requisite service period of three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September 30, 2022, total unrecognized compensation expense related to unvested Transaction Pool RSUs was $32.5 million, which is expected to be recognized over a weighted average period of 2.1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Transaction Pool RSUs for the nine months ended September 30,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Transaction Pool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1"/>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0"/>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52"/>
        </w:trPr>
        <w:tc>
          <w:tcPr>
            <w:tcW w:w="8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5,450,604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8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2,639,068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left="500" w:hanging="330"/>
        <w:spacing w:after="0" w:line="282" w:lineRule="auto"/>
        <w:tabs>
          <w:tab w:leader="none" w:pos="4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dividend equivalents units that have been awarded in the form of additional Transaction Pool RSUs that were granted from the General Share Reserve.</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2021, certain employee offer letter awards that were initially accounted for as liability awards due to a cash settlement option were settled using Transaction Pool RSUs. This settlement was treated as a modification of the awards. As such, the $3.9 million liability balance of the awards was reclassified to Additional paid-in capital, which is reflected on the Condensed Consolidated Statements of Changes in Equity for the three months ended September 30, 2021.</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Incentive Awards – </w:t>
      </w:r>
      <w:r>
        <w:rPr>
          <w:rFonts w:ascii="Times New Roman" w:cs="Times New Roman" w:eastAsia="Times New Roman" w:hAnsi="Times New Roman"/>
          <w:sz w:val="18"/>
          <w:szCs w:val="18"/>
          <w:color w:val="auto"/>
        </w:rPr>
        <w:t>The service condition requirement with respect to the Long-Term Incentive Awards is generally satisfied in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installments subject to 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Long-Term Incentive Awards for the nine months ended September 30,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Long-Term Incentive Awards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1"/>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8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3"/>
        </w:trPr>
        <w:tc>
          <w:tcPr>
            <w:tcW w:w="8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total unrecognized compensation expense related to unvested Long-Term Incentive Awards was $56.7 million, which is expected to be recognized over a weighted average period of 3.0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grants RSU awards out of the General Share Reserve that vest upon the achievement of service conditions (the “General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grant General RSUs from time to time in the ordinary course of business.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General RSUs vest over the requisite service period, which is generally one to five years. The grant date fair value of the General RSUs granted during the nine months ended September 30, 2022 was $66.1 million, which was based on the PWP stock price on the date of grant. As of September 30, 2022, total unrecognized compensation expense related to unvested General RSUs was $51.9 million, which is expected to be recognized over a weighted average period of 2.3 years.</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General RSUs for the nine months ended September 30,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General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8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6,724,820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7,024,808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500" w:right="640" w:hanging="330"/>
        <w:spacing w:after="0" w:line="282" w:lineRule="auto"/>
        <w:tabs>
          <w:tab w:leader="none" w:pos="4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dividend equivalent units that have been awarded in the form of additional General RSUs that were granted from the General Share Reserve.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and Dividend Equivalent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Grantees of the Company’s PWP Incentive Plan Awards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 equivalent units in the form of award grants that match the underlying award from which the dividends were generated. The remaining employees receive dividends in the form of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a related internal reorganization of Professional Partners, an ownership structure was implemented that includes a class of partnership units that tracks PWP’s advisory business (including increases and decreases in value) and allocates income/distributions with respect to the advisory business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$12.9 million of unrecognized compensation cost associated with the Legacy Awards that is expected to be recognized over a weighted-average period of 1.0 years. As of September 30, 2022, there was $221.6 million of unrecognized compensation expense related to unvested Professional Partners Awards, which is expected to be recognized over a weighted-average period of 3.6 years.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41"/>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0"/>
        </w:trPr>
        <w:tc>
          <w:tcPr>
            <w:tcW w:w="5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Professional fees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8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Legacy Awards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r>
      <w:tr>
        <w:trPr>
          <w:trHeight w:val="28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Professional Partners Awards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45,967</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36,999</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7"/>
        </w:trPr>
        <w:tc>
          <w:tcPr>
            <w:tcW w:w="5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500" w:hanging="330"/>
        <w:spacing w:after="0" w:line="282" w:lineRule="auto"/>
        <w:tabs>
          <w:tab w:leader="none" w:pos="4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14—Other Compensation and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Deferred compensation liabilities will be paid at various intervals through 2023 and are presented within Deferred compensation programs on the Condensed Consolidated Statements of Financial Condition. During the nine months ended September 30, 2022, the Company settled $5.8 million of the deferred compensation liability, of which $2.6 million was settled through a reduction of certain partners’ outstanding promissory notes and interest receivable. Refer to Note 17—Related Party Transactions for more information. There were no forfeitures of deferred compensation awards during each of the three and nine months ended September 30, 2022 and September 30, 2021. As of September 30, 2022, substantially all deferred amounts were vested, and as such, there was nominal compensation expense related to these deferred compensations plans during the three and nine months ended September 30, 2022. For the three and nine months ended September 30, 2021, deferred compensation expense was $0.3 million and $1.0 million, respectively, which is presented within Compensation and benefits in the Condensed Consolidated Statements of Operations.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Expenses related to the Company’s employee benefit plans were $1.5 million and $4.4 million for the three and nine months ended September 30, 2022, respectively, and $1.2 million and $3.8 million for the three and nine months ended September 30, 2021, respectively, and are included in Compensation and benefits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15—Net Income (Loss) Per Share Attributable to Class A Common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nine months ended September 31, 2021, as presented on the Condensed Consolidated Statements of Operations, represent only the period after the Business Combination through September 30, 2021.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Period After</w:t>
            </w: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20"/>
                <w:szCs w:val="20"/>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20"/>
                <w:szCs w:val="20"/>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8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Combination</w:t>
            </w: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Ended</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Ended</w:t>
            </w: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0" w:lineRule="exact"/>
              <w:rPr>
                <w:sz w:val="20"/>
                <w:szCs w:val="20"/>
                <w:color w:val="auto"/>
              </w:rPr>
            </w:pPr>
            <w:r>
              <w:rPr>
                <w:rFonts w:ascii="Times New Roman" w:cs="Times New Roman" w:eastAsia="Times New Roman" w:hAnsi="Times New Roman"/>
                <w:sz w:val="16"/>
                <w:szCs w:val="16"/>
                <w:b w:val="1"/>
                <w:bCs w:val="1"/>
                <w:color w:val="auto"/>
              </w:rPr>
              <w:t>Ended</w:t>
            </w:r>
          </w:p>
        </w:tc>
        <w:tc>
          <w:tcPr>
            <w:tcW w:w="180" w:type="dxa"/>
            <w:vAlign w:val="bottom"/>
          </w:tcPr>
          <w:p>
            <w:pPr>
              <w:spacing w:after="0"/>
              <w:rPr>
                <w:sz w:val="12"/>
                <w:szCs w:val="12"/>
                <w:color w:val="auto"/>
              </w:rPr>
            </w:pPr>
          </w:p>
        </w:tc>
        <w:tc>
          <w:tcPr>
            <w:tcW w:w="13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1"/>
                <w:szCs w:val="11"/>
                <w:color w:val="auto"/>
              </w:rPr>
            </w:pPr>
          </w:p>
        </w:tc>
        <w:tc>
          <w:tcPr>
            <w:tcW w:w="1480" w:type="dxa"/>
            <w:vAlign w:val="bottom"/>
            <w:gridSpan w:val="2"/>
            <w:vMerge w:val="restart"/>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4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0" w:type="dxa"/>
            <w:vAlign w:val="bottom"/>
          </w:tcPr>
          <w:p>
            <w:pPr>
              <w:spacing w:after="0"/>
              <w:rPr>
                <w:sz w:val="1"/>
                <w:szCs w:val="1"/>
                <w:color w:val="auto"/>
              </w:rPr>
            </w:pP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100" w:type="dxa"/>
            <w:vAlign w:val="bottom"/>
          </w:tcPr>
          <w:p>
            <w:pPr>
              <w:spacing w:after="0"/>
              <w:rPr>
                <w:sz w:val="20"/>
                <w:szCs w:val="2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20"/>
                <w:szCs w:val="2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tcPr>
          <w:p>
            <w:pPr>
              <w:spacing w:after="0"/>
              <w:rPr>
                <w:sz w:val="20"/>
                <w:szCs w:val="20"/>
                <w:color w:val="auto"/>
              </w:rPr>
            </w:pPr>
          </w:p>
        </w:tc>
        <w:tc>
          <w:tcPr>
            <w:tcW w:w="1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0" w:type="dxa"/>
            <w:vAlign w:val="bottom"/>
          </w:tcPr>
          <w:p>
            <w:pPr>
              <w:spacing w:after="0"/>
              <w:rPr>
                <w:sz w:val="1"/>
                <w:szCs w:val="1"/>
                <w:color w:val="auto"/>
              </w:rPr>
            </w:pPr>
          </w:p>
        </w:tc>
      </w:tr>
      <w:tr>
        <w:trPr>
          <w:trHeight w:val="24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42,263,427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42,572,813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44,241,794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42,599,954</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of PWP OpCo Units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45,482,349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50,154,199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46,293,438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50,154,199</w:t>
            </w:r>
          </w:p>
        </w:tc>
        <w:tc>
          <w:tcPr>
            <w:tcW w:w="0" w:type="dxa"/>
            <w:vAlign w:val="bottom"/>
          </w:tcPr>
          <w:p>
            <w:pPr>
              <w:spacing w:after="0"/>
              <w:rPr>
                <w:sz w:val="1"/>
                <w:szCs w:val="1"/>
                <w:color w:val="auto"/>
              </w:rPr>
            </w:pP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87,745,776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92,727,012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90,535,232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92,754,153</w:t>
            </w:r>
          </w:p>
        </w:tc>
        <w:tc>
          <w:tcPr>
            <w:tcW w:w="0" w:type="dxa"/>
            <w:vAlign w:val="bottom"/>
          </w:tcPr>
          <w:p>
            <w:pPr>
              <w:spacing w:after="0"/>
              <w:rPr>
                <w:sz w:val="1"/>
                <w:szCs w:val="1"/>
                <w:color w:val="auto"/>
              </w:rPr>
            </w:pPr>
          </w:p>
        </w:tc>
      </w:t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Class A common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outstanding warrants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 To the extent the warrants were dilutive prior to the Warrant Exchange Offer, the Company adjusted the net income (loss) attributable to Class A common shareholders under the treasury stock method to reverse the effect on earnings of classifying the warrants as liabilities. All adjustments are presented net of any tax impact.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After</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15"/>
                <w:szCs w:val="15"/>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Business</w:t>
            </w: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Combination</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6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8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0" w:type="dxa"/>
            <w:vAlign w:val="bottom"/>
          </w:tcPr>
          <w:p>
            <w:pPr>
              <w:spacing w:after="0"/>
              <w:rPr>
                <w:sz w:val="1"/>
                <w:szCs w:val="1"/>
                <w:color w:val="auto"/>
              </w:rPr>
            </w:pPr>
          </w:p>
        </w:tc>
      </w:tr>
      <w:tr>
        <w:trPr>
          <w:trHeight w:val="27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3"/>
                <w:szCs w:val="23"/>
                <w:color w:val="auto"/>
                <w:vertAlign w:val="superscript"/>
              </w:rPr>
              <w:t>(1)</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1,075,327</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1,075,327</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155,527</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1,091,439</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1,091,439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500" w:right="180" w:hanging="330"/>
        <w:spacing w:after="0" w:line="266"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assessed for the three and nine months ended September 30, 2022, the warrants were out-of-the-money prior to the Warrant Exchange Offer, which resulted in no potentially dilutive shares under the treasury stock method. Refer to Note 12—Warrants for further information regarding the Warrant Exchange Offer.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 and Investments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inputs: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are available in active markets for identical financial instruments as of the reporting date.</w:t>
      </w:r>
    </w:p>
    <w:p>
      <w:pPr>
        <w:spacing w:after="0" w:line="22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162"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cash, restricted cash, accounts receivable, due from related parties, accounts payable and certain accrued liabilities approximate their carrying amounts due to the short-term nature of these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are measured on a recurring basis pursuant to the above fair value hierarchy levels as of September 30, 2022 and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138,863</w:t>
            </w:r>
          </w:p>
        </w:tc>
        <w:tc>
          <w:tcPr>
            <w:tcW w:w="100" w:type="dxa"/>
            <w:vAlign w:val="bottom"/>
          </w:tcPr>
          <w:p>
            <w:pPr>
              <w:spacing w:after="0"/>
              <w:rPr>
                <w:sz w:val="22"/>
                <w:szCs w:val="22"/>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138,863</w:t>
            </w:r>
          </w:p>
        </w:tc>
      </w:tr>
      <w:tr>
        <w:trPr>
          <w:trHeight w:val="27"/>
        </w:trPr>
        <w:tc>
          <w:tcPr>
            <w:tcW w:w="6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139,341</w:t>
            </w:r>
          </w:p>
        </w:tc>
        <w:tc>
          <w:tcPr>
            <w:tcW w:w="10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139,341</w:t>
            </w:r>
          </w:p>
        </w:tc>
      </w:tr>
      <w:tr>
        <w:trPr>
          <w:trHeight w:val="21"/>
        </w:trPr>
        <w:tc>
          <w:tcPr>
            <w:tcW w:w="6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mutual funds and other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the three and nine months ended September 30, 2022 and 2021.</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2022, a consolidated broker-dealer subsidiary held investments in U.S. Treasury securities with maturities of less than 12 months, which are included in Investments in short-term marketable debt securities on the Condensed Consolidated Statements of Financial Condition. These securities are carried at fair value with changes in fair value included in Other income (expense) on the Condensed Consolidated Statements of Operations, as required for broker-dealers. The aggregate cost basis of these securities was $139.2 million as of September 30, 2022. As of December 31, 2021, the Company held investments related to a legacy deferred compensation program and other securities, which are carried at fair value and included in Prepaid expenses and other assets on the Condensed Consolidated Statements of Financial Condition. The Company had net realized and unrealized gains (losses) on these investments of $0.3 million and $0.1 million for the three and nine months ended September 30, 2022, respectively, and nominal amounts for each of the three and nine months ended September 30, 2021.</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cash surrender value of company-owned life insurance is included in Prepaid expenses and other assets on the Condensed Consolidated Statements of Financial Condition at the amount that could be realized under the contract as of September 30, 2022 and December 31, 2021, which approximates fair value.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Warrant Exchange Offer, the public warrants were valued using quoted market prices on the Nasdaq Global Select Market under the ticker PWPPW and were included in Warrant liabilities on the Condensed Consolidated Statements of Financial Condition. Management determined the fair value of the private warrants using the Black-Scholes option pricing valuation model (“Valuation Model”). The private warrants were classified as Level 3 because of the use of significant unobservable inputs in the Valuation Model.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changes in Level 3 financial liabilities measured at fair value for nine months ended September 30,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Private Warrants</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8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 exchanged for shares of Class A common stock</w:t>
            </w:r>
          </w:p>
        </w:tc>
        <w:tc>
          <w:tcPr>
            <w:tcW w:w="26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5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Changes in fair value of the private and public warrants are presented within Change in fair value of warrant liabilities on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the equity method of accounting to its investment in PFAC Holdings I LLC (“PFAC Holdings”), an indirect parent of PWP Forward Acquisition Corp. I (“PFAC”), a special purpose acquisition company. As of September 30, 2022 and December 31, 2021, the Company’s investment in PFAC Holdings was $2.1 million and $1.3 million, respectively, which is presented within Prepaid expenses and other assets on the Condensed Consolidated Statements of Financial Condition. The Company’s share of earnings of PFAC Holdings is included in Other income (expense) on the Condensed Consolidated Statements of Operations for the three and nine months ended September 30, 2022 and 2021.</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TSA Agreement </w:t>
      </w:r>
      <w:r>
        <w:rPr>
          <w:rFonts w:ascii="Times New Roman" w:cs="Times New Roman" w:eastAsia="Times New Roman" w:hAnsi="Times New Roman"/>
          <w:sz w:val="18"/>
          <w:szCs w:val="18"/>
          <w:color w:val="auto"/>
        </w:rPr>
        <w:t>– In connection with the Separation, the Company entered into a transition services agreement (the “TSA”) with PWP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Sublease Income </w:t>
      </w:r>
      <w:r>
        <w:rPr>
          <w:rFonts w:ascii="Times New Roman" w:cs="Times New Roman" w:eastAsia="Times New Roman" w:hAnsi="Times New Roman"/>
          <w:sz w:val="18"/>
          <w:szCs w:val="18"/>
          <w:color w:val="auto"/>
        </w:rPr>
        <w:t>– In connection with the Separation, the Company subleases a portion of its office space at its New York location to PWP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Arrangements </w:t>
      </w:r>
      <w:r>
        <w:rPr>
          <w:rFonts w:ascii="Times New Roman" w:cs="Times New Roman" w:eastAsia="Times New Roman" w:hAnsi="Times New Roman"/>
          <w:sz w:val="18"/>
          <w:szCs w:val="18"/>
          <w:color w:val="auto"/>
        </w:rPr>
        <w:t>– In addition, PWP Capital Holdings LP has entered into an arrangement with certain employees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services provided directly to PWP Capital Holdings LP. With respect to services provided to PWP Capital Holdings LP, the amounts paid and payable to such employees now and in the future are recognized by PWP Capital Holdings LP. All compensation related to services these employees provide to the Company are included in Compensation and benefits in the Condensed Consolidated Statements of Operations.</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Amounts due from PWP Capital Holdings LP are reflected as Due from related parties on the Condensed Consolidated Statements of Financial Condition.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TSA income reported within Related party income in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periods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40"/>
        </w:trPr>
        <w:tc>
          <w:tcPr>
            <w:tcW w:w="5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0"/>
        </w:trPr>
        <w:tc>
          <w:tcPr>
            <w:tcW w:w="5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7"/>
        </w:trPr>
        <w:tc>
          <w:tcPr>
            <w:tcW w:w="5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TSA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TSA income – Compensation related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income – Non-compensation related</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7"/>
        </w:trPr>
        <w:tc>
          <w:tcPr>
            <w:tcW w:w="5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0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TSA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5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September 30, 2022, the Company had an amount due of $23.8 million pursuant to the tax receivable agreement, which represents management’s best estimate of the amounts currently expected to be owed in connection with the tax receivable agreement and is reported within Amount due pursuant to tax receivable agreement on the Condensed Consolidated Statement of Financial Condition. The Company expects to make the following payments with respect to the tax receivable agreement, which may differ significantly from actual payments made: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r>
      <w:tr>
        <w:trPr>
          <w:trHeight w:val="252"/>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18,287</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Condensed Consolidated Statements of Financial Condition in the amount of $3.5 million and $6.0 million as of September 30, 2022 and December 31, 2021, respectively.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certain partners effectively repaid $2.6 million of principal and interest related to Partner Promissory Notes by foregoing the amount due from their respective deferred compensation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Partner Loans and Loan Guarantees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$3.4 million and $3.3 million, respectively, of outstanding loans to certain partners are recognized in Due from related parties on the Condensed Consolidated Statements of Financial Condition.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Refer to Note 18—Commitments and Contingencies for additional information on the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Principal amounts of $8.7 million related to the Convertible Notes were held by partners prior to redemption upon closing of the Business Combination. Refer to Note 10—Debt for additional information on the Convertible Notes.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2022, the Company paid $0.5 million to an entity controlled by a member of the Board of Directors to reimburse a portion of expenses incurred by that entity in connection with the joint pursuit of a potential investment opportunity.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minority interest in PFAC Holdings, an indirect parent of PFAC. The Company earned an advisory fee related to PFAC’s initial public offering of $0.6 million during the nine months ended September 30, 2021.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Perella Weinberg UK Limited, Professional Partners and certain partners (including one partner who serves as a Company director and co-president) are party 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(“Lender”) whereby it will pay the Lender upon the occurrence of a default event. The total guarantees related to partners was $1.6 million and $3.3 million as of September 30, 2022 and December 31, 2021, respectively. These guarantees are secured by the partners’ interests in Professional Partners. As of September 30, 2022 and December 31, 2021, no loans were in default.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September 30, 2022 and December 31, 2021, the Company expects no claims or losses pursuant to these contracts; therefore, no liability has been recorded related to these indemnification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September 30, 2022 and December 31, 2021 and for the three and nine months ended September 30, 2022 and 2021.</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Legal and professional fees incurred related to this litigation are presented net of expected insurance reimbursement within Professional fees in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19—Business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revenues of $50.0 million related to two individual clients accounted for more than 10% of aggregate revenue. For the nine months ended September 30, 2022, no individual client accounted for more than 10% of aggregate revenue. For the three months ended September 30, 2021, revenues of $54.1 million related to two individual clients accounted for more than 10% of aggregate revenue. For the nine months ended September 30, 2021, no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40"/>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0"/>
        </w:trPr>
        <w:tc>
          <w:tcPr>
            <w:tcW w:w="5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128,409</w:t>
            </w:r>
          </w:p>
        </w:tc>
        <w:tc>
          <w:tcPr>
            <w:tcW w:w="8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350,226</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494,976</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107,773</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145,379</w:t>
            </w:r>
          </w:p>
        </w:tc>
        <w:tc>
          <w:tcPr>
            <w:tcW w:w="80" w:type="dxa"/>
            <w:vAlign w:val="bottom"/>
          </w:tcPr>
          <w:p>
            <w:pPr>
              <w:spacing w:after="0"/>
              <w:rPr>
                <w:sz w:val="21"/>
                <w:szCs w:val="21"/>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448,359</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602,749</w:t>
            </w: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1">
            <w:col w:w="11240"/>
          </w:cols>
          <w:pgMar w:left="320" w:top="117" w:right="339" w:bottom="1440" w:gutter="0" w:footer="0" w:header="0"/>
        </w:sectPr>
      </w:pPr>
    </w:p>
    <w:p>
      <w:pPr>
        <w:jc w:val="center"/>
        <w:ind w:left="83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4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81" w:lineRule="exact"/>
        <w:rPr>
          <w:sz w:val="20"/>
          <w:szCs w:val="20"/>
          <w:color w:val="auto"/>
        </w:rPr>
      </w:pPr>
    </w:p>
    <w:p>
      <w:pPr>
        <w:sectPr>
          <w:pgSz w:w="11900" w:h="16838" w:orient="portrait"/>
          <w:cols w:equalWidth="0" w:num="2">
            <w:col w:w="9460" w:space="520"/>
            <w:col w:w="126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480,157</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552,865</w:t>
            </w:r>
          </w:p>
        </w:tc>
      </w:tr>
      <w:tr>
        <w:trPr>
          <w:trHeight w:val="27"/>
        </w:trPr>
        <w:tc>
          <w:tcPr>
            <w:tcW w:w="8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151,442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631,599</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r>
      <w:tr>
        <w:trPr>
          <w:trHeight w:val="27"/>
        </w:trPr>
        <w:tc>
          <w:tcPr>
            <w:tcW w:w="8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condensed consolidated financial statements.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 2022, the Board of Directors of PWP declared a cash dividend of $0.07 per share of Class A common stock. This dividend will be paid on December 9, 2022 to Class A common stockholders of record on November 25, 2022.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w:t>
      </w:r>
    </w:p>
    <w:p>
      <w:pPr>
        <w:jc w:val="both"/>
        <w:ind w:firstLine="8"/>
        <w:spacing w:after="0" w:line="251" w:lineRule="auto"/>
        <w:tabs>
          <w:tab w:leader="none" w:pos="3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(“PWP OpCo Units”). The non-controlling interest owners of PWP OpCo receive a portion of its economics through their ownership of PWP OpCo Units. See Note 3—Business Combination and Note 11—Stockholders' Equity in the notes to condensed consolidated financial statements included elsewhere in this Form 10-Q for additional discussion related to the transaction.</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in Part I “Item1A. Risk Factors” in Amendment No. 1 to the Company’s Annual Report on Form 10-K/A for the year ended December 31, 2021 as filed with the SEC on July 7,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Global macroeconomic headwinds coupled with elevated geopolitical risks have caused a break in M&amp;A momentum off of record 2021 levels. Announced global M&amp;A volumes during the first nine months of 2022 were down more than a third as compared to the same period of 2021. Closing volumes across the market also dropped during this period as timeframes from announcement to close experienced extensions.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level of M&amp;A advisory dialogue remains active across industries and geographies of focus, the tough macroeconomic environment may persist in the near-term and continue to affect M&amp;A and financing volumes. Headwinds which are impacting 2022 industry volumes include rising interest rates and inflation, a more aggressive anti-trust policy stance, supply chain disruptions and elevated geopolitical risks associated with Russia’s invasion of Ukraine, amongst others.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Near-term headwinds aside,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 over the long-term.</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7" w:name="page48"/>
    <w:bookmarkEnd w:id="47"/>
    <w:p>
      <w:pPr>
        <w:ind w:firstLine="648"/>
        <w:spacing w:after="0" w:line="284" w:lineRule="auto"/>
        <w:rPr>
          <w:sz w:val="20"/>
          <w:szCs w:val="20"/>
          <w:color w:val="auto"/>
        </w:rPr>
      </w:pPr>
      <w:r>
        <w:rPr>
          <w:rFonts w:ascii="Times New Roman" w:cs="Times New Roman" w:eastAsia="Times New Roman" w:hAnsi="Times New Roman"/>
          <w:sz w:val="18"/>
          <w:szCs w:val="18"/>
          <w:color w:val="auto"/>
        </w:rPr>
        <w:t>Economic and global financial conditions can materially affect our operational and financial performance.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Form 10-Q for a discussion of some of the factors that can affect our performance.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320" w:type="dxa"/>
            <w:vAlign w:val="bottom"/>
          </w:tcPr>
          <w:p>
            <w:pPr>
              <w:spacing w:after="0"/>
              <w:rPr>
                <w:sz w:val="19"/>
                <w:szCs w:val="19"/>
                <w:color w:val="auto"/>
              </w:rPr>
            </w:pPr>
          </w:p>
        </w:tc>
      </w:tr>
      <w:tr>
        <w:trPr>
          <w:trHeight w:val="238"/>
        </w:trPr>
        <w:tc>
          <w:tcPr>
            <w:tcW w:w="2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320" w:type="dxa"/>
            <w:vAlign w:val="bottom"/>
          </w:tcPr>
          <w:p>
            <w:pPr>
              <w:spacing w:after="0"/>
              <w:rPr>
                <w:sz w:val="20"/>
                <w:szCs w:val="20"/>
                <w:color w:val="auto"/>
              </w:rPr>
            </w:pPr>
          </w:p>
        </w:tc>
      </w:tr>
      <w:tr>
        <w:trPr>
          <w:trHeight w:val="40"/>
        </w:trPr>
        <w:tc>
          <w:tcPr>
            <w:tcW w:w="24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2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448,359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602,749</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(26)%</w:t>
            </w:r>
          </w:p>
        </w:tc>
      </w:tr>
      <w:tr>
        <w:trPr>
          <w:trHeight w:val="25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
        </w:trPr>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3"/>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387,196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(32)%</w:t>
            </w:r>
          </w:p>
        </w:tc>
      </w:tr>
      <w:tr>
        <w:trPr>
          <w:trHeight w:val="284"/>
        </w:trPr>
        <w:tc>
          <w:tcPr>
            <w:tcW w:w="2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123%</w:t>
            </w:r>
          </w:p>
        </w:tc>
      </w:tr>
      <w:tr>
        <w:trPr>
          <w:trHeight w:val="232"/>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7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438,468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(14)%</w:t>
            </w:r>
          </w:p>
        </w:tc>
      </w:tr>
      <w:tr>
        <w:trPr>
          <w:trHeight w:val="283"/>
        </w:trPr>
        <w:tc>
          <w:tcPr>
            <w:tcW w:w="2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36,382</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97,078</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1%</w:t>
            </w:r>
          </w:p>
        </w:tc>
      </w:tr>
      <w:tr>
        <w:trPr>
          <w:trHeight w:val="277"/>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187,754</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476,549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535,546</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(11)%</w:t>
            </w:r>
          </w:p>
        </w:tc>
      </w:tr>
      <w:tr>
        <w:trPr>
          <w:trHeight w:val="27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NM</w:t>
            </w:r>
          </w:p>
        </w:tc>
      </w:tr>
      <w:tr>
        <w:trPr>
          <w:trHeight w:val="24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40"/>
        </w:trPr>
        <w:tc>
          <w:tcPr>
            <w:tcW w:w="2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r>
    </w:tbl>
    <w:p>
      <w:pPr>
        <w:spacing w:after="0" w:line="22" w:lineRule="exact"/>
        <w:rPr>
          <w:sz w:val="20"/>
          <w:szCs w:val="20"/>
          <w:color w:val="auto"/>
        </w:rPr>
      </w:pPr>
    </w:p>
    <w:p>
      <w:pPr>
        <w:sectPr>
          <w:pgSz w:w="11900" w:h="16838" w:orient="portrait"/>
          <w:cols w:equalWidth="0" w:num="1">
            <w:col w:w="11240"/>
          </w:cols>
          <w:pgMar w:left="320" w:top="1361" w:right="339" w:bottom="1440" w:gutter="0" w:footer="0" w:header="0"/>
        </w:sectPr>
      </w:pPr>
    </w:p>
    <w:p>
      <w:pPr>
        <w:ind w:left="60" w:right="740"/>
        <w:spacing w:after="0" w:line="328" w:lineRule="auto"/>
        <w:rPr>
          <w:sz w:val="20"/>
          <w:szCs w:val="20"/>
          <w:color w:val="auto"/>
        </w:rPr>
      </w:pPr>
      <w:r>
        <w:rPr>
          <w:rFonts w:ascii="Times New Roman" w:cs="Times New Roman" w:eastAsia="Times New Roman" w:hAnsi="Times New Roman"/>
          <w:sz w:val="18"/>
          <w:szCs w:val="18"/>
          <w:color w:val="auto"/>
        </w:rPr>
        <w:t>Related party income Other income (expense)</w:t>
      </w:r>
    </w:p>
    <w:p>
      <w:pPr>
        <w:spacing w:after="0" w:line="1" w:lineRule="exact"/>
        <w:rPr>
          <w:sz w:val="20"/>
          <w:szCs w:val="20"/>
          <w:color w:val="auto"/>
        </w:rPr>
      </w:pPr>
    </w:p>
    <w:p>
      <w:pPr>
        <w:ind w:left="60" w:right="220"/>
        <w:spacing w:after="0" w:line="297" w:lineRule="auto"/>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14" w:lineRule="exact"/>
        <w:rPr>
          <w:sz w:val="20"/>
          <w:szCs w:val="20"/>
          <w:color w:val="auto"/>
        </w:rPr>
      </w:pPr>
    </w:p>
    <w:p>
      <w:pPr>
        <w:ind w:left="60" w:right="400"/>
        <w:spacing w:after="0" w:line="326" w:lineRule="auto"/>
        <w:rPr>
          <w:sz w:val="20"/>
          <w:szCs w:val="20"/>
          <w:color w:val="auto"/>
        </w:rPr>
      </w:pPr>
      <w:r>
        <w:rPr>
          <w:rFonts w:ascii="Times New Roman" w:cs="Times New Roman" w:eastAsia="Times New Roman" w:hAnsi="Times New Roman"/>
          <w:sz w:val="18"/>
          <w:szCs w:val="18"/>
          <w:color w:val="auto"/>
        </w:rPr>
        <w:t>Loss on debt extinguishment Interest expense</w:t>
      </w:r>
    </w:p>
    <w:p>
      <w:pPr>
        <w:spacing w:after="0" w:line="1" w:lineRule="exact"/>
        <w:rPr>
          <w:sz w:val="20"/>
          <w:szCs w:val="20"/>
          <w:color w:val="auto"/>
        </w:rPr>
      </w:pPr>
    </w:p>
    <w:p>
      <w:pPr>
        <w:ind w:left="20" w:right="400"/>
        <w:spacing w:after="0" w:line="302" w:lineRule="auto"/>
        <w:rPr>
          <w:sz w:val="20"/>
          <w:szCs w:val="20"/>
          <w:color w:val="auto"/>
        </w:rPr>
      </w:pPr>
      <w:r>
        <w:rPr>
          <w:rFonts w:ascii="Times New Roman" w:cs="Times New Roman" w:eastAsia="Times New Roman" w:hAnsi="Times New Roman"/>
          <w:sz w:val="18"/>
          <w:szCs w:val="18"/>
          <w:b w:val="1"/>
          <w:bCs w:val="1"/>
          <w:color w:val="auto"/>
        </w:rPr>
        <w:t>Total non-operating income (expenses)</w:t>
      </w:r>
    </w:p>
    <w:p>
      <w:pPr>
        <w:spacing w:after="0" w:line="6" w:lineRule="exact"/>
        <w:rPr>
          <w:sz w:val="20"/>
          <w:szCs w:val="20"/>
          <w:color w:val="auto"/>
        </w:rPr>
      </w:pPr>
    </w:p>
    <w:p>
      <w:pPr>
        <w:ind w:left="20" w:right="380"/>
        <w:spacing w:after="0" w:line="302" w:lineRule="auto"/>
        <w:rPr>
          <w:sz w:val="20"/>
          <w:szCs w:val="20"/>
          <w:color w:val="auto"/>
        </w:rPr>
      </w:pPr>
      <w:r>
        <w:rPr>
          <w:rFonts w:ascii="Times New Roman" w:cs="Times New Roman" w:eastAsia="Times New Roman" w:hAnsi="Times New Roman"/>
          <w:sz w:val="18"/>
          <w:szCs w:val="18"/>
          <w:b w:val="1"/>
          <w:bCs w:val="1"/>
          <w:color w:val="auto"/>
        </w:rPr>
        <w:t>Income (loss) before income taxes</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54" w:lineRule="exact"/>
        <w:rPr>
          <w:sz w:val="20"/>
          <w:szCs w:val="20"/>
          <w:color w:val="auto"/>
        </w:rPr>
      </w:pPr>
    </w:p>
    <w:p>
      <w:pPr>
        <w:ind w:left="20" w:right="340"/>
        <w:spacing w:after="0" w:line="222" w:lineRule="auto"/>
        <w:rPr>
          <w:sz w:val="20"/>
          <w:szCs w:val="20"/>
          <w:color w:val="auto"/>
        </w:rPr>
      </w:pPr>
      <w:r>
        <w:rPr>
          <w:rFonts w:ascii="Times New Roman" w:cs="Times New Roman" w:eastAsia="Times New Roman" w:hAnsi="Times New Roman"/>
          <w:sz w:val="18"/>
          <w:szCs w:val="18"/>
          <w:color w:val="auto"/>
        </w:rPr>
        <w:t>Less: Net income (loss) attributable to non-controlling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interests</w:t>
      </w:r>
    </w:p>
    <w:p>
      <w:pPr>
        <w:spacing w:after="0" w:line="7"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Perella Weinberg Partners </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r>
      <w:tr>
        <w:trPr>
          <w:trHeight w:val="283"/>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6,152</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863%</w:t>
            </w:r>
          </w:p>
        </w:tc>
      </w:tr>
      <w:tr>
        <w:trPr>
          <w:trHeight w:val="527"/>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(6,294)</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NM</w:t>
            </w:r>
          </w:p>
        </w:tc>
      </w:tr>
      <w:tr>
        <w:trPr>
          <w:trHeight w:val="283"/>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NM</w:t>
            </w:r>
          </w:p>
        </w:tc>
      </w:tr>
      <w:tr>
        <w:trPr>
          <w:trHeight w:val="283"/>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(97)%</w:t>
            </w:r>
          </w:p>
        </w:tc>
      </w:tr>
      <w:tr>
        <w:trPr>
          <w:trHeight w:val="506"/>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80" w:type="dxa"/>
            <w:vAlign w:val="bottom"/>
          </w:tcPr>
          <w:p>
            <w:pPr>
              <w:spacing w:after="0"/>
              <w:rPr>
                <w:sz w:val="24"/>
                <w:szCs w:val="24"/>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NM</w:t>
            </w:r>
          </w:p>
        </w:tc>
      </w:tr>
      <w:tr>
        <w:trPr>
          <w:trHeight w:val="507"/>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(8,289)</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r>
      <w:tr>
        <w:trPr>
          <w:trHeight w:val="283"/>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(4,570)</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4"/>
                <w:szCs w:val="24"/>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297%</w:t>
            </w:r>
          </w:p>
        </w:tc>
      </w:tr>
      <w:tr>
        <w:trPr>
          <w:trHeight w:val="277"/>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(12,859)</w:t>
            </w: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80" w:type="dxa"/>
            <w:vAlign w:val="bottom"/>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80" w:type="dxa"/>
            <w:vAlign w:val="bottom"/>
          </w:tcPr>
          <w:p>
            <w:pPr>
              <w:spacing w:after="0"/>
              <w:rPr>
                <w:sz w:val="24"/>
                <w:szCs w:val="24"/>
                <w:color w:val="auto"/>
              </w:rPr>
            </w:pPr>
          </w:p>
        </w:tc>
        <w:tc>
          <w:tcPr>
            <w:tcW w:w="14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NM</w:t>
            </w:r>
          </w:p>
        </w:tc>
      </w:tr>
      <w:tr>
        <w:trPr>
          <w:trHeight w:val="594"/>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(13,999)</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8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80" w:type="dxa"/>
            <w:vAlign w:val="bottom"/>
          </w:tcPr>
          <w:p>
            <w:pPr>
              <w:spacing w:after="0"/>
              <w:rPr>
                <w:sz w:val="24"/>
                <w:szCs w:val="24"/>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NM</w:t>
            </w:r>
          </w:p>
        </w:tc>
      </w:tr>
      <w:tr>
        <w:trPr>
          <w:trHeight w:val="372"/>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80" w:type="dxa"/>
            <w:vAlign w:val="bottom"/>
          </w:tcPr>
          <w:p>
            <w:pPr>
              <w:spacing w:after="0"/>
              <w:rPr>
                <w:sz w:val="24"/>
                <w:szCs w:val="24"/>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-2571115</wp:posOffset>
            </wp:positionV>
            <wp:extent cx="71323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-2056765</wp:posOffset>
            </wp:positionV>
            <wp:extent cx="71323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-1028065</wp:posOffset>
            </wp:positionV>
            <wp:extent cx="7132320" cy="1191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-1696720</wp:posOffset>
            </wp:positionV>
            <wp:extent cx="7132320" cy="342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2540" w:space="600"/>
            <w:col w:w="8100"/>
          </w:cols>
          <w:pgMar w:left="320" w:top="1361" w:right="339" w:bottom="1440" w:gutter="0" w:footer="0" w:header="0"/>
          <w:type w:val="continuous"/>
        </w:sectPr>
      </w:pPr>
    </w:p>
    <w:p>
      <w:pPr>
        <w:spacing w:after="0" w:line="3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76"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8"/>
          <w:szCs w:val="18"/>
          <w:color w:val="auto"/>
        </w:rPr>
        <w:t xml:space="preserve">We do not present our revenue by the type of advice we provide because of the complexity of the transactions on which we may earn revenue and our holistic approach to client service. For example, a traditional M&amp;A engagement may also </w:t>
      </w:r>
      <w:r>
        <w:rPr>
          <w:rFonts w:ascii="Calibri" w:cs="Calibri" w:eastAsia="Calibri" w:hAnsi="Calibri"/>
          <w:sz w:val="19"/>
          <w:szCs w:val="19"/>
          <w:color w:val="auto"/>
        </w:rPr>
        <w:t>r</w:t>
      </w:r>
      <w:r>
        <w:rPr>
          <w:rFonts w:ascii="Times New Roman" w:cs="Times New Roman" w:eastAsia="Times New Roman" w:hAnsi="Times New Roman"/>
          <w:sz w:val="18"/>
          <w:szCs w:val="18"/>
          <w:color w:val="auto"/>
        </w:rPr>
        <w:t>equire capital markets or liability management advice, or an engagement to raise private capital could also be followed by a business combination. These engagements may call for cross-functional expertise from a number of our professionals across M&amp;A advisory and/or capital solutions advisory.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to Three Months Ended September 30,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Revenues were $145.4 million for the three months ended September 30, 2022 as compared with $177.4 million for the same period in 2021, representing a decrease of 18%. The quarter-on-quarter decrease in revenue was driven by a reduction in mergers and acquisitions activity across most industry groups. This decrease was partially offset by increased activity in our capital solutions advisory business, which includes restructuring and liability management services and capital markets advisory, as compared to the prior year period. The decrease in revenues can be attributed to both fewer advisory transaction completions and a decrease in average fee size per client.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and 2021, we earned revenues from 78 and 90 advisory clients, respectively. The number of advisory clients who paid fees equal to or greater than $1.0 million decreased to 24 for the three months ended September 30, 2022 compared to 38 advisory clients for the three months ended September 30, 2021. The average fee size decreased to $1.8 million for the three months ended September 30, 2022 from $1.9 million for the three months ended September 30,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to Nine Months Ended September 30, 2021</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for the nine months ended September 30, 2022 were $448.4 million, a decrease of 26% from the nine months ended September 30, 2021 of $602.7 million. The period-over-period decline was driven by a reduction in mergers and acquisitions activity across most industry groups as compared to the prior period. The decrease in revenues can be attributed to both fewer advisory transaction completions and a decrease in average fee size per client.</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9" w:name="page50"/>
    <w:bookmarkEnd w:id="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and 2021, we earned revenues from 151 and 188 advisory clients, respectively. The number of advisory clients who paid fees equal to or greater than $1.0 million decreased to 86 advisory clients for the nine months ended September 30, 2022 compared to 106 advisory clients for the nine months ended September 30, 2021. The average fee size decreased to $2.9 million for the nine months ended September 30, 2022 from $3.2 million for the nine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operating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40" w:type="dxa"/>
            <w:vAlign w:val="bottom"/>
          </w:tcPr>
          <w:p>
            <w:pPr>
              <w:spacing w:after="0"/>
              <w:rPr>
                <w:sz w:val="19"/>
                <w:szCs w:val="19"/>
                <w:color w:val="auto"/>
              </w:rPr>
            </w:pPr>
          </w:p>
        </w:tc>
      </w:tr>
      <w:tr>
        <w:trPr>
          <w:trHeight w:val="238"/>
        </w:trPr>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40" w:type="dxa"/>
            <w:vAlign w:val="bottom"/>
          </w:tcPr>
          <w:p>
            <w:pPr>
              <w:spacing w:after="0"/>
              <w:rPr>
                <w:sz w:val="20"/>
                <w:szCs w:val="20"/>
                <w:color w:val="auto"/>
              </w:rPr>
            </w:pPr>
          </w:p>
        </w:tc>
      </w:tr>
      <w:tr>
        <w:trPr>
          <w:trHeight w:val="41"/>
        </w:trPr>
        <w:tc>
          <w:tcPr>
            <w:tcW w:w="2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83"/>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86,260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113,322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264,092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387,196</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84"/>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36,999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114,316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51,272</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83"/>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r>
      <w:tr>
        <w:trPr>
          <w:trHeight w:val="232"/>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compensation and</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5"/>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123,259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151,372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378,408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438,468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3"/>
        </w:trPr>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83"/>
        </w:trPr>
        <w:tc>
          <w:tcPr>
            <w:tcW w:w="2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Non-compensation expenses $</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30,938</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36,382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98,141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97,078</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83"/>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r>
      <w:tr>
        <w:trPr>
          <w:trHeight w:val="26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154,197</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187,754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476,549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535,546</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bl>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 Headcount is a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technology and infrastructure, rent and occupancy, travel and related expenses, general, administrative and other expenses and depreciation and amortization generally have been less significant in comparison with compensation and benefits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to Three Months Ended September 30,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were $154.2 million for the three months ended September 30, 2022 and represented 106% of revenues, compared with $187.8 million for the three months ended September 30, 2021, which also represented 106% of revenues. The decrease in operating expenses was primarily driven by a decrease in total compensation and benefits which was $123.3 million for the three months ended September 30, 2022 compared to $151.4 million for the three months ended September 30, 2021 as well as lower non-compensation expenses which were $30.9 million for the three months ended September 30, 2022 compared to $36.4 million for the three months ended September 30, 2021.</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to Nine Months Ended September 30,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were $476.5 million for the nine months ended September 30, 2022 and represented 106% of revenues, compared with $535.5 million for the nine months ended September 30, 2021, which represented 89% of revenues. The decrease in operating expenses was primarily driven by a decrease in total compensation and benefits which was $378.4 million for the nine months ended September 30, 2022 compared to $438.5 million for the nine months ended September 30, 2021, partially offset by an increase non-compensation expenses which were $98.1 million for the nine months ended September 30, 2022 compared to $97.1 million for the nine months ended September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revenues earned,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$60.3 million for the Transaction Pool RSUs and Transaction Pool PSUs and $56.7 million for the Long-Term Incentive Awards granted in conjunction with the Business Combination.</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to Three Months Ended September 30,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total compensation and benefits expenses of $123.3 million represented 85% of revenues, compared with $151.4 million, which also represented 85% of revenues for the three months ended September 30, 2021. Included in total compensation-related expense was $37.0 million and $38.1 million of amortization of equity awards for the three months ended September 30, 2022 and 2021, respectively. The decrease in total compensation and benefit expenses was due to a smaller bonus accrual associated with lower revenues, partially offset by increased base salaries and benefits due to increased headcount.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to Nine Months Ended September 30, 2021</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2022, total compensation and benefits expenses of $378.4 million represented 84% of revenues, compared with $438.5 million, which represented 73% of revenues for the nine months ended September 30, 2021. Included in total compensation-related expense was $114.3 million and $51.3 million of amortization of equity awards for the nine months ended September 30, 2022 and 2021, respectively. The decrease in total compensation and benefit expenses was due to a smaller bonus accrual associated with lower revenues partially offset by both an increase in equity-based compensation related to awards granted in connection with or subsequent to the Business Combination and increased base salaries and benefits due to increased headcount.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 depreciation and amortization and general, administrative and other expenses including certain co-advisory fees and expenses reimbursed by our clients. Revenues related to co-advisory fees and expenses reimbursed by clients are presented within revenues on our Condensed Consolidated Statements of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Historically, our non-compensation expenses associated with business development have increased as we have increased our headcount. These costs include costs such as travel and related expenses which have increased due to increasing headcount, increasing prices charged by travel vendors and an increased volume of travel as COVID-19 pandemic-related travel restrictions have eased.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there are some temporary factors causing rent and occupancy as well as professional fees to be lower period over period, and while we expect to continue to reduce certain costs associated with being a newly public company, over the long term we expect our non-compensation expenses will trend upward with growth in headcount and inflation. However, we also expect to realize economies of scale such that over the long term, we expect that the pace of growth in non-compensation expense will be slower than the pace of revenue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to Three Months Ended September 30, 2021</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2022, non-compensation expenses of $30.9 million represented 21% of revenues, compared with $36.4 million, which also represented 21% of revenues, for the three months ended September 30, 2021. The decrease in non-compensation expense was primarily driven by a $2.8 million decrease in professional fees related to reduced consulting and legal spending which was higher in the prior year in connection with the Business Combination. General administrative and other expenses were $2.5 million lower, largely due to bad debt reserves recognized in the third quarter of the prior year as well as lower D&amp;O insurance costs this year as compared to the costs which were incurred last year as a newly-public company. Additionally, depreciation and amortization were temporarily lower by $1.0 million as certain leasehold improvements became fully depreciated due to our New York and London headquarters each reaching the end of their initial lease term. New leasehold improvement activities have not yet been completed and therefore have not begun depreciating. These decreases were partially offset by a $1.3 million increase in travel and related expenses due to the return to more normalized travel levels as well as increased headcount and the higher cost of travel.</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to Nine Months Ended September 30, 2021</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2022, non-compensation expenses of $98.1 million represented 22% of revenues, compared with $97.1 million, which represented 16% of revenues, for the nine months ended September 30, 2021. The increase in non-compensation expenses included a $5.3 million increase in travel related expenses due to the return to more normalized travel levels, increased headcount and the higher cost of travel, as well as a $3.4 million increase in general administrative and other expenses resulting from three full quarters of public company costs such as D&amp;O insurance incurred in the current year and the recognition of a bad debt reserve in the second quarter of the current year. These increases were partially offset by decreases in professional fees of $3.1 million, depreciation and amortization of $3.0 million and rent and occupancy of $2.6 million. The decrease in professional fees included a $5.8 million decrease in legal and consulting fees from the previous year’s elevated levels which included costs associated with the Business Combination, while recruiting fees increased year over year by $2.4 million with increased hiring activities. The reduction in rent and occupancy as well as depreciation and amortization expense, are temporary decreases as certain leasehold improvements became fully depreciated in the current year with our New York and London headquarters each reaching the end of their initial lease term. New leasehold improvement activities have not yet been completed and therefore have not begun depreciating. Additionally, some lease amendment and extension negotiations resulted in favorable leasehold incentives.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including related party income, loss on debt extinguishment, interest expense, and other income (expense), which includes gains (losses) on foreign exchange rate fluctuations. Also included in non-operating income (expenses) was the change in fair value of warrant liabilities prior to the Warrant Exchange Offer, which concluded on August 23, 2022. The Warrant Exchange Offer resulted in the exchange of all outstanding warrants for shares of the Company’s Class A common stock with a minimal cash settlement in lieu of partial shares. As a result, the warrant liabilities were removed from the Condensed Consolidated Statements of Financial Condition and the issuance of shares of Class A common stock was reflected within equity. There will be no future change in the fair value of warrant liabilities. Refer to Note 12—Warrants in the notes to condensed consolidated financial statements included elsewhere in this Form 10-Q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to Three Months Ended September 30,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non-operating income (expenses) was $0.5 million of income compared to $1.0 million of income for the three months ended September 30, 2021. The change in non-operating income (expenses) included a $3.3 million increase in the loss on change in fair value of warrant liabilities prior to the Warrant Exchange Offer. Additionally, foreign exchange rate fluctuations recorded in Other income (expense) resulted in a $3.4 million increased gain, primarily related to U.S. dollar-denominated cash and intercompany receivables held by our foreign subsidiaries as the U.S. dollar strengthened.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to Nine Months Ended September 30, 2021</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2022, non-operating income (expenses) was $29.8 million of income compared to $42.5 million of expense for the nine months ended September 30, 2021. For the nine months ended September 30, 2021, non-operating income (expenses) included a $39.4 million loss on debt extinguishment related to the redemption of the $150.0 million aggregate principal of the Convertible Notes concurrent with the Business Combination. The loss was composed of the $10.9 million premium and $28.5 million of unamortized debt discount and issuance costs. The change in non-operating income (expenses) also included a $17.9 million increased gain from the change in fair value of warrant liabilities as the warrant price fell year over year prior to the Warrant Exchange Offer, as well as a decrease of $7.3 million of interest expense related to the repayment of all indebtedness in connection with the Business Combination. Additionally, foreign exchange rate fluctuations recorded in Other income (expense) resulted in a $10.4 million increased gain, primarily related to U.S. dollar-denominated cash and intercompany receivables held by our foreign subsidiaries as the U.S. dollar strengthened.</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income tax provision and the corresponding effective tax rate are based on U.S. GAAP income adjusted for permanent book-tax differences at the currently enacted statutory tax rates in the various jurisdictions in which the Company operates. For the three and nine months ending September 30, 2022, the Company determined that the year-to-date actual effective tax rate represents the Company’s best estimate of the annual effective tax rate. This is due to the Company’s significant permanent differences as compared to estimated pre-tax income.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were primarily influenced by the payment of dividends, distributions to partners, purchase of treasury shares and withholding payments for vesting of PWP Incentive Plan Awards in the nine months ended September 30, 2022.</w:t>
      </w:r>
    </w:p>
    <w:p>
      <w:pPr>
        <w:sectPr>
          <w:pgSz w:w="11900" w:h="16838" w:orient="portrait"/>
          <w:cols w:equalWidth="0" w:num="1">
            <w:col w:w="11240"/>
          </w:cols>
          <w:pgMar w:left="320" w:top="1359" w:right="339" w:bottom="1440" w:gutter="0" w:footer="0" w:header="0"/>
        </w:sectPr>
      </w:pPr>
    </w:p>
    <w:p>
      <w:pPr>
        <w:spacing w:after="0" w:line="183"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13335</wp:posOffset>
            </wp:positionV>
            <wp:extent cx="19456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3" w:lineRule="exact"/>
        <w:rPr>
          <w:sz w:val="20"/>
          <w:szCs w:val="20"/>
          <w:color w:val="auto"/>
        </w:rPr>
      </w:pPr>
    </w:p>
    <w:p>
      <w:pPr>
        <w:ind w:left="5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80" w:val="left"/>
          <w:tab w:leader="none" w:pos="156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(9,141)</w:t>
        <w:tab/>
        <w:t>$</w:t>
      </w:r>
      <w:r>
        <w:rPr>
          <w:sz w:val="20"/>
          <w:szCs w:val="20"/>
          <w:color w:val="auto"/>
        </w:rPr>
        <w:tab/>
      </w:r>
      <w:r>
        <w:rPr>
          <w:rFonts w:ascii="Times New Roman" w:cs="Times New Roman" w:eastAsia="Times New Roman" w:hAnsi="Times New Roman"/>
          <w:sz w:val="17"/>
          <w:szCs w:val="17"/>
          <w:color w:val="auto"/>
        </w:rPr>
        <w:t>22,045</w:t>
      </w:r>
    </w:p>
    <w:p>
      <w:pPr>
        <w:spacing w:after="0" w:line="77" w:lineRule="exact"/>
        <w:rPr>
          <w:sz w:val="20"/>
          <w:szCs w:val="20"/>
          <w:color w:val="auto"/>
        </w:rPr>
      </w:pPr>
    </w:p>
    <w:p>
      <w:pPr>
        <w:ind w:left="820"/>
        <w:spacing w:after="0"/>
        <w:tabs>
          <w:tab w:leader="none" w:pos="2380" w:val="left"/>
        </w:tabs>
        <w:rPr>
          <w:sz w:val="20"/>
          <w:szCs w:val="20"/>
          <w:color w:val="auto"/>
        </w:rPr>
      </w:pPr>
      <w:r>
        <w:rPr>
          <w:rFonts w:ascii="Times New Roman" w:cs="Times New Roman" w:eastAsia="Times New Roman" w:hAnsi="Times New Roman"/>
          <w:sz w:val="18"/>
          <w:szCs w:val="18"/>
          <w:color w:val="auto"/>
        </w:rPr>
        <w:t>110,496</w:t>
      </w:r>
      <w:r>
        <w:rPr>
          <w:sz w:val="20"/>
          <w:szCs w:val="20"/>
          <w:color w:val="auto"/>
        </w:rPr>
        <w:tab/>
      </w:r>
      <w:r>
        <w:rPr>
          <w:rFonts w:ascii="Times New Roman" w:cs="Times New Roman" w:eastAsia="Times New Roman" w:hAnsi="Times New Roman"/>
          <w:sz w:val="18"/>
          <w:szCs w:val="18"/>
          <w:color w:val="auto"/>
        </w:rPr>
        <w:t>117,992</w:t>
      </w:r>
    </w:p>
    <w:p>
      <w:pPr>
        <w:spacing w:after="0" w:line="77" w:lineRule="exact"/>
        <w:rPr>
          <w:sz w:val="20"/>
          <w:szCs w:val="20"/>
          <w:color w:val="auto"/>
        </w:rPr>
      </w:pPr>
    </w:p>
    <w:p>
      <w:pPr>
        <w:jc w:val="both"/>
        <w:ind w:left="720"/>
        <w:spacing w:after="0"/>
        <w:tabs>
          <w:tab w:leader="none" w:pos="2380" w:val="left"/>
        </w:tabs>
        <w:rPr>
          <w:sz w:val="20"/>
          <w:szCs w:val="20"/>
          <w:color w:val="auto"/>
        </w:rPr>
      </w:pPr>
      <w:r>
        <w:rPr>
          <w:rFonts w:ascii="Times New Roman" w:cs="Times New Roman" w:eastAsia="Times New Roman" w:hAnsi="Times New Roman"/>
          <w:sz w:val="18"/>
          <w:szCs w:val="18"/>
          <w:color w:val="auto"/>
        </w:rPr>
        <w:t>(200,047)</w:t>
      </w:r>
      <w:r>
        <w:rPr>
          <w:sz w:val="20"/>
          <w:szCs w:val="20"/>
          <w:color w:val="auto"/>
        </w:rPr>
        <w:tab/>
      </w:r>
      <w:r>
        <w:rPr>
          <w:rFonts w:ascii="Times New Roman" w:cs="Times New Roman" w:eastAsia="Times New Roman" w:hAnsi="Times New Roman"/>
          <w:sz w:val="18"/>
          <w:szCs w:val="18"/>
          <w:color w:val="auto"/>
        </w:rPr>
        <w:t>(13,996)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ind w:left="820"/>
        <w:spacing w:after="0"/>
        <w:tabs>
          <w:tab w:leader="none" w:pos="2360" w:val="left"/>
        </w:tabs>
        <w:rPr>
          <w:sz w:val="20"/>
          <w:szCs w:val="20"/>
          <w:color w:val="auto"/>
        </w:rPr>
      </w:pPr>
      <w:r>
        <w:rPr>
          <w:rFonts w:ascii="Times New Roman" w:cs="Times New Roman" w:eastAsia="Times New Roman" w:hAnsi="Times New Roman"/>
          <w:sz w:val="18"/>
          <w:szCs w:val="18"/>
          <w:color w:val="auto"/>
        </w:rPr>
        <w:t>(98,692)</w:t>
      </w:r>
      <w:r>
        <w:rPr>
          <w:sz w:val="20"/>
          <w:szCs w:val="20"/>
          <w:color w:val="auto"/>
        </w:rPr>
        <w:tab/>
      </w:r>
      <w:r>
        <w:rPr>
          <w:rFonts w:ascii="Times New Roman" w:cs="Times New Roman" w:eastAsia="Times New Roman" w:hAnsi="Times New Roman"/>
          <w:sz w:val="18"/>
          <w:szCs w:val="18"/>
          <w:color w:val="auto"/>
        </w:rPr>
        <w:t>126,041</w:t>
      </w:r>
    </w:p>
    <w:p>
      <w:pPr>
        <w:spacing w:after="0" w:line="77" w:lineRule="exact"/>
        <w:rPr>
          <w:sz w:val="20"/>
          <w:szCs w:val="20"/>
          <w:color w:val="auto"/>
        </w:rPr>
      </w:pPr>
    </w:p>
    <w:p>
      <w:pPr>
        <w:ind w:left="720"/>
        <w:spacing w:after="0"/>
        <w:tabs>
          <w:tab w:leader="none" w:pos="2460" w:val="left"/>
        </w:tabs>
        <w:rPr>
          <w:sz w:val="20"/>
          <w:szCs w:val="20"/>
          <w:color w:val="auto"/>
        </w:rPr>
      </w:pPr>
      <w:r>
        <w:rPr>
          <w:rFonts w:ascii="Times New Roman" w:cs="Times New Roman" w:eastAsia="Times New Roman" w:hAnsi="Times New Roman"/>
          <w:sz w:val="18"/>
          <w:szCs w:val="18"/>
          <w:color w:val="auto"/>
        </w:rPr>
        <w:t>(147,406)</w:t>
      </w:r>
      <w:r>
        <w:rPr>
          <w:sz w:val="20"/>
          <w:szCs w:val="20"/>
          <w:color w:val="auto"/>
        </w:rPr>
        <w:tab/>
      </w:r>
      <w:r>
        <w:rPr>
          <w:rFonts w:ascii="Times New Roman" w:cs="Times New Roman" w:eastAsia="Times New Roman" w:hAnsi="Times New Roman"/>
          <w:sz w:val="18"/>
          <w:szCs w:val="18"/>
          <w:color w:val="auto"/>
        </w:rPr>
        <w:t>(1,662)</w:t>
      </w:r>
    </w:p>
    <w:p>
      <w:pPr>
        <w:spacing w:after="0" w:line="77" w:lineRule="exact"/>
        <w:rPr>
          <w:sz w:val="20"/>
          <w:szCs w:val="20"/>
          <w:color w:val="auto"/>
        </w:rPr>
      </w:pPr>
    </w:p>
    <w:p>
      <w:pPr>
        <w:jc w:val="both"/>
        <w:ind w:left="720"/>
        <w:spacing w:after="0"/>
        <w:tabs>
          <w:tab w:leader="none" w:pos="2380" w:val="left"/>
        </w:tabs>
        <w:rPr>
          <w:sz w:val="20"/>
          <w:szCs w:val="20"/>
          <w:color w:val="auto"/>
        </w:rPr>
      </w:pPr>
      <w:r>
        <w:rPr>
          <w:rFonts w:ascii="Times New Roman" w:cs="Times New Roman" w:eastAsia="Times New Roman" w:hAnsi="Times New Roman"/>
          <w:sz w:val="18"/>
          <w:szCs w:val="18"/>
          <w:color w:val="auto"/>
        </w:rPr>
        <w:t>(102,641)</w:t>
      </w:r>
      <w:r>
        <w:rPr>
          <w:sz w:val="20"/>
          <w:szCs w:val="20"/>
          <w:color w:val="auto"/>
        </w:rPr>
        <w:tab/>
      </w:r>
      <w:r>
        <w:rPr>
          <w:rFonts w:ascii="Times New Roman" w:cs="Times New Roman" w:eastAsia="Times New Roman" w:hAnsi="Times New Roman"/>
          <w:sz w:val="18"/>
          <w:szCs w:val="18"/>
          <w:color w:val="auto"/>
        </w:rPr>
        <w:t>(34,670)</w:t>
      </w:r>
    </w:p>
    <w:p>
      <w:pPr>
        <w:spacing w:after="0" w:line="77" w:lineRule="exact"/>
        <w:rPr>
          <w:sz w:val="20"/>
          <w:szCs w:val="20"/>
          <w:color w:val="auto"/>
        </w:rPr>
      </w:pPr>
    </w:p>
    <w:p>
      <w:pPr>
        <w:ind w:left="820"/>
        <w:spacing w:after="0"/>
        <w:tabs>
          <w:tab w:leader="none" w:pos="2460" w:val="left"/>
        </w:tabs>
        <w:rPr>
          <w:sz w:val="20"/>
          <w:szCs w:val="20"/>
          <w:color w:val="auto"/>
        </w:rPr>
      </w:pPr>
      <w:r>
        <w:rPr>
          <w:rFonts w:ascii="Times New Roman" w:cs="Times New Roman" w:eastAsia="Times New Roman" w:hAnsi="Times New Roman"/>
          <w:sz w:val="18"/>
          <w:szCs w:val="18"/>
          <w:color w:val="auto"/>
        </w:rPr>
        <w:t>(10,523)</w:t>
      </w:r>
      <w:r>
        <w:rPr>
          <w:sz w:val="20"/>
          <w:szCs w:val="20"/>
          <w:color w:val="auto"/>
        </w:rPr>
        <w:tab/>
      </w:r>
      <w:r>
        <w:rPr>
          <w:rFonts w:ascii="Times New Roman" w:cs="Times New Roman" w:eastAsia="Times New Roman" w:hAnsi="Times New Roman"/>
          <w:sz w:val="18"/>
          <w:szCs w:val="18"/>
          <w:color w:val="auto"/>
        </w:rPr>
        <w:t>(2,943)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2460" w:val="left"/>
        </w:tabs>
        <w:rPr>
          <w:sz w:val="20"/>
          <w:szCs w:val="20"/>
          <w:color w:val="auto"/>
        </w:rPr>
      </w:pPr>
      <w:r>
        <w:rPr>
          <w:rFonts w:ascii="Times New Roman" w:cs="Times New Roman" w:eastAsia="Times New Roman" w:hAnsi="Times New Roman"/>
          <w:sz w:val="18"/>
          <w:szCs w:val="18"/>
          <w:color w:val="auto"/>
        </w:rPr>
        <w:t>(359,262)</w:t>
      </w:r>
      <w:r>
        <w:rPr>
          <w:sz w:val="20"/>
          <w:szCs w:val="20"/>
          <w:color w:val="auto"/>
        </w:rPr>
        <w:tab/>
      </w:r>
      <w:r>
        <w:rPr>
          <w:rFonts w:ascii="Times New Roman" w:cs="Times New Roman" w:eastAsia="Times New Roman" w:hAnsi="Times New Roman"/>
          <w:sz w:val="18"/>
          <w:szCs w:val="18"/>
          <w:color w:val="auto"/>
        </w:rPr>
        <w:t>86,766</w:t>
      </w:r>
    </w:p>
    <w:p>
      <w:pPr>
        <w:spacing w:after="0" w:line="77" w:lineRule="exact"/>
        <w:rPr>
          <w:sz w:val="20"/>
          <w:szCs w:val="20"/>
          <w:color w:val="auto"/>
        </w:rPr>
      </w:pPr>
    </w:p>
    <w:p>
      <w:pPr>
        <w:ind w:left="800"/>
        <w:spacing w:after="0"/>
        <w:tabs>
          <w:tab w:leader="none" w:pos="2360" w:val="left"/>
        </w:tabs>
        <w:rPr>
          <w:sz w:val="20"/>
          <w:szCs w:val="20"/>
          <w:color w:val="auto"/>
        </w:rPr>
      </w:pPr>
      <w:r>
        <w:rPr>
          <w:rFonts w:ascii="Times New Roman" w:cs="Times New Roman" w:eastAsia="Times New Roman" w:hAnsi="Times New Roman"/>
          <w:sz w:val="18"/>
          <w:szCs w:val="18"/>
          <w:color w:val="auto"/>
        </w:rPr>
        <w:t>504,775</w:t>
      </w:r>
      <w:r>
        <w:rPr>
          <w:sz w:val="20"/>
          <w:szCs w:val="20"/>
          <w:color w:val="auto"/>
        </w:rPr>
        <w:tab/>
      </w:r>
      <w:r>
        <w:rPr>
          <w:rFonts w:ascii="Times New Roman" w:cs="Times New Roman" w:eastAsia="Times New Roman" w:hAnsi="Times New Roman"/>
          <w:sz w:val="18"/>
          <w:szCs w:val="18"/>
          <w:color w:val="auto"/>
        </w:rPr>
        <w:t>330,908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0" w:lineRule="exact"/>
        <w:rPr>
          <w:sz w:val="20"/>
          <w:szCs w:val="20"/>
          <w:color w:val="auto"/>
        </w:rPr>
      </w:pPr>
    </w:p>
    <w:p>
      <w:pPr>
        <w:spacing w:after="0"/>
        <w:tabs>
          <w:tab w:leader="none" w:pos="780" w:val="left"/>
          <w:tab w:leader="none" w:pos="1560" w:val="left"/>
          <w:tab w:leader="none" w:pos="2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145,513</w:t>
        <w:tab/>
        <w:t>$</w:t>
      </w:r>
      <w:r>
        <w:rPr>
          <w:sz w:val="20"/>
          <w:szCs w:val="20"/>
          <w:color w:val="auto"/>
        </w:rPr>
        <w:tab/>
      </w:r>
      <w:r>
        <w:rPr>
          <w:rFonts w:ascii="Times New Roman" w:cs="Times New Roman" w:eastAsia="Times New Roman" w:hAnsi="Times New Roman"/>
          <w:sz w:val="17"/>
          <w:szCs w:val="17"/>
          <w:color w:val="auto"/>
        </w:rPr>
        <w:t>417,674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4564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720"/>
            <w:col w:w="3040"/>
          </w:cols>
          <w:pgMar w:left="320" w:top="1359" w:right="339" w:bottom="1440" w:gutter="0" w:footer="0" w:header="0"/>
          <w:type w:val="continuous"/>
        </w:sect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and restricted cash were $145.5 million as of September 30, 2022, a decrease of $359.3 million from $504.8 million as of December 31, 2021. The Company reported a net loss of $9.1 million for the nine months ended September 30, 2022 which includes $110.5 million of non-cash charges and other adjustments, largely comprised of equity-based awards vesting expense, depreciation and amortization, the change in fair value of warrant liabilities, foreign currency revaluation and non-cash operating lease expense. This operating cash inflow was offset by working capital needs predominantly due to the payment of annual bonus compensation in the first quarter of the year as well as payments for lease liabilities, resulting in a net operating outflow of cash of $98.7 million during the nine months ended September 30, 2022. Investing activities resulted in a net outflow of $147.4 million largely attributable to investments of cash in treasury securities as well as the purchase of fixed assets. Financing activities resulted in a net outflow of $102.6 million primarily related to the repurchase of shares pursuant to the stock repurchase program, distributions to partners, withholding payments for vesting of PWP Incentive Plan Awards and the payment of dividends.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2021</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and restricted cash were $417.7 million as of September 30, 2021, an increase of $86.8 million from $330.9 million as of December 31, 2020. Operating activities resulted in a net inflow of $126.0 million largely attributable to net income generated during the nine months ended September 30, 2021, partially offset by changes in working capital. Net income included $78.6 million of non-cash charges as well as a $39.4 million loss on debt extinguishment related to the redemption of the Convertible Notes concurrent with the Business Combination. Investing activities resulted in a net outflow of $1.7 million attributable to the Company’s deconsolidation in PFAC Holdings and the purchases of fixed assets. Financing activities resulted in a net outflow of $34.7 million primarily related to the transactions associated with the Business Combination, the payoff of all outstanding debt, tax distributions to limited partners of PWP OpCo, the repurchase of founder shares held as treasury shares, withholding payments for vesting of PWP Incentive Plan Awards and the payment of dividends.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 liquidity requirements. Our primary sources of liquidity are our cash balances, our investments in short-term marketable debt securities, the net cash generated from operations and the available borrowing capacity under our Revolving Credit Facility.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current assets are primarily composed of cash, investments in short-term marketable debt securities, receivables related to fees earned from providing advisory services, certain prepaid expenses and certain amounts due from related parties. Our current liabilities are primarily composed of accrued and deferred employee compensation, accounts payable and other accrued expenses. We generally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makes quarterly partner tax distributions as required under the Amended and Restated Agreement of Limited Partnership of PWP OpCo, dated as of June 24, 2021 (as amended, restated, modified or supplemented from time to time, the “PWP OpCo LPA”). These distributions totaled $10.1 million and $28.7 million during the three and nine months ended September 30, 2022, respectively, and $7.0 million and $54.4 million during the three and nine months ended September 30, 2021, respectively. Additionally, we intend to pay dividends throughout each year and may continue our share repurchases from time to time. During the three and nine months ended September 30, 2022, the Company paid $3.3 million and $9.9 million, respectively, in cash dividends. The Company has the option to net settle shares upon the vesting of PWP Incentive Plan Awards in order to remit required employee withholding taxes using cash on hand. During the three and nine months ended September 30, 2022, the Company paid $2.7 million and $9.1 million, respectively, in withholding payments for the net settlement of 373,939 and 986,101 shares on vested PWP Incentive Plan Awards. Additionally, during the three and nine months ended September 30, 2022, the Company purchased 1,289,459 and 7,729,666 shares of Class A common stock at a cost of $8.5 million and $53.8 million, respectively, pursuant to the stock repurchase program described below.</w:t>
      </w:r>
    </w:p>
    <w:p>
      <w:pPr>
        <w:spacing w:after="0" w:line="200" w:lineRule="exact"/>
        <w:rPr>
          <w:sz w:val="20"/>
          <w:szCs w:val="20"/>
          <w:color w:val="auto"/>
        </w:rPr>
      </w:pPr>
    </w:p>
    <w:p>
      <w:pPr>
        <w:spacing w:after="0" w:line="37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55" w:name="page56"/>
    <w:bookmarkEnd w:id="5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evaluate our cash needs on a regular basis in light of current market and business conditions and regulatory requirements. Cash and cash equivalents include short-term highly liquid investments that are readily convertible to known amounts of cash and have original maturities of three months or less from the date of purchase. The Company had no cash equivalents as of September 30, 2022 and December 31, 2021. As of September 30, 2022 and December 31, 2021, the Company had cash balances of $142.9 million and $502.8 million, respectively, maintained in U.S. and non-U.S. bank accounts, of which most bank account balances exceeded the U.S. Federal Deposit Insurance Corporation (“FDIC”) and U.K. Financial Services Compensation Scheme (“FSCS”) coverage limits. Additionally, as of September 30, 2022, the Company held investments in short-term marketable debt securities, consisting entirely of U.S. Treasury securities, of $138.9 million.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generally have net terms of 30 days. Accounts receivable were $46.7 million, net of a $2.6 million allowance for credit losses balance as of September 30, 2022. Accounts receivable were $46.9 million, net of a $1.9 million allowance for credit losses balance as of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Revolving Credit Facility with Cadence Bank with an available line of credit of $50.0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Applicable Rate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00" w:type="dxa"/>
            <w:vAlign w:val="bottom"/>
            <w:tcBorders>
              <w:top w:val="single" w:sz="8" w:color="auto"/>
            </w:tcBorders>
          </w:tcPr>
          <w:p>
            <w:pPr>
              <w:spacing w:after="0"/>
              <w:rPr>
                <w:sz w:val="22"/>
                <w:szCs w:val="22"/>
                <w:color w:val="auto"/>
              </w:rPr>
            </w:pPr>
          </w:p>
        </w:tc>
        <w:tc>
          <w:tcPr>
            <w:tcW w:w="5880" w:type="dxa"/>
            <w:vAlign w:val="bottom"/>
            <w:tcBorders>
              <w:top w:val="single" w:sz="8" w:color="auto"/>
            </w:tcBorders>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Combined Leverage Ratio</w:t>
            </w:r>
          </w:p>
        </w:tc>
        <w:tc>
          <w:tcPr>
            <w:tcW w:w="260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Eurodollar Rate</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w:t>
            </w:r>
          </w:p>
        </w:tc>
      </w:tr>
      <w:tr>
        <w:trPr>
          <w:trHeight w:val="237"/>
        </w:trPr>
        <w:tc>
          <w:tcPr>
            <w:tcW w:w="59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0.50 : 1.00</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1.00, but &lt; 1.50 : 1.00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3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2"/>
        </w:trPr>
        <w:tc>
          <w:tcPr>
            <w:tcW w:w="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4"/>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w:t>
            </w: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w:t>
            </w:r>
          </w:p>
        </w:tc>
        <w:tc>
          <w:tcPr>
            <w:tcW w:w="40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34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r>
      <w:tr>
        <w:trPr>
          <w:trHeight w:val="22"/>
        </w:trPr>
        <w:tc>
          <w:tcPr>
            <w:tcW w:w="50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The Credit Agreement provides that the benchmark of LIBOR will be replaced with a SOFR-based rate on or prior to the date that the LIBOR benchmark is unavailable. As of September 30, 2022, the Company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current market conditions, we believe that our cash on hand, the investments in short-term marketable debt securities,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and nine months ended September 30, 2022, the Company purchased 1,289,459 and 7,729,666 shares, at a cost of $8.5 million and $53.8 million, respectively, pursuant to this stock repurchase program.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restrictions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Share Surrender and Share Restriction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transfers, as applicable.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$12.00 per share for a total purchase price of $12.0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0" w:lineRule="exact"/>
        <w:rPr>
          <w:sz w:val="20"/>
          <w:szCs w:val="20"/>
          <w:color w:val="auto"/>
        </w:rPr>
      </w:pPr>
    </w:p>
    <w:p>
      <w:pPr>
        <w:spacing w:after="0" w:line="3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17—Related Party Transactions and Note 18—Commitments and Contingencies in the notes to condensed consolidated financial statements included elsewhere in this Form 10-Q for further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 Leases in the notes to condensed consolidated financial statements included elsewhere in this Form 10-Q for further information as well as the expected timing of payments. Our London and New York office leases expire in December 2022 and September 2023, respectively. The Company signed new lease agreements in February 2022 for the London office and in April 2022 for the New York office spaces, which expand our square footage meaningfully in both locations in order to accommodate our anticipated growth. This expansion increased our contractual obligations upon lease commencement and will require capital contributions towards the design and construction of these spaces in excess of $50 million, mitigated in part by free rent periods at both locations.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14—Other Compensation and Benefits in the notes to condensed consolidated financial statements included elsewhere in this Form 10-Q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Summary of Significant Accounting Policies in the notes to condensed consolidated financial statements included elsewhere in this Form 10-Q for further information.</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58" w:name="page59"/>
    <w:bookmarkEnd w:id="5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respect to investments, we manage our credit risk exposure by maintaining investment grade credit quality. As of September 30, 2022, the Company held investments of $138.9 million in U.S. Treasury securities with maturities of less than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is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sterling, Euro, and Canadian dollar and our reporting currency, the U.S. dollar. For the nine months ended September 30, 2022 and 2021, the net impact of non functional currency related transaction gains and losses recorded in Other income (expense) on our Condensed Consolidated Statements of Operations was a $10.8 million gain and $0.4 million gain, respectively, primarily related to U.S. dollar-denominated cash and intercompany receivables held by our foreign subsidiaries as the U.S. dollar strengthened. For the nine months ended September 30, 2022 and 2021, the net impact of the fluctuation of foreign currencies recorded in Foreign currency translation gain (loss) within our Condensed Consolidated Statements of Comprehensive Income (Loss) was a $13.4 million loss and $1.5 million loss, respectively. We have not entered into any transactions to hedge our exposure to these foreign currency fluctuations using derivative instruments or other methods but may do so if we deem appropriate in the future.</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we held balances of $30.9 million of non-U.S. dollar denominated currencies, composed of pound sterling, the Euro, and Canadian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should be read together with the section entitled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contained in Amendment No. 1 to the Company’s Annual Report on Form 10-K/A filed on July 7, 2022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critical accounting estimates. For changes to our critical accounting estimates during the nine months ended September 30, 2022, refer to Note 2— Summary of Significant Accounting Policies in the notes to condensed consolidated financial statements included elsewhere in this Form 10-Q.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 - Market Risk and Credit Risk”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September 30, 2022.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nine months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further details on the current legal proceedings, refer to Note 18—Commitments and Contingencies in the notes to condensed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or updates to our risk factors that were previously disclosed in Part I “Item 1A. Risk Factors” in Amendment No. 1 to the Company’s Annual Report on Form 10-K/A for the year ended December 31, 2021 as filed with the SEC on July 7,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repurchase of equity securities during the three months ended September 30,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yet to be Purchased Under</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9"/>
                <w:szCs w:val="19"/>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Publicly Announced Plans or</w:t>
            </w:r>
          </w:p>
        </w:tc>
        <w:tc>
          <w:tcPr>
            <w:tcW w:w="0" w:type="dxa"/>
            <w:vAlign w:val="bottom"/>
          </w:tcPr>
          <w:p>
            <w:pPr>
              <w:spacing w:after="0"/>
              <w:rPr>
                <w:sz w:val="1"/>
                <w:szCs w:val="1"/>
                <w:color w:val="auto"/>
              </w:rPr>
            </w:pPr>
          </w:p>
        </w:tc>
      </w:tr>
      <w:tr>
        <w:trPr>
          <w:trHeight w:val="23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 July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591,972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591,972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51,188,882</w:t>
            </w:r>
          </w:p>
        </w:tc>
        <w:tc>
          <w:tcPr>
            <w:tcW w:w="0" w:type="dxa"/>
            <w:vAlign w:val="bottom"/>
          </w:tcPr>
          <w:p>
            <w:pPr>
              <w:spacing w:after="0"/>
              <w:rPr>
                <w:sz w:val="1"/>
                <w:szCs w:val="1"/>
                <w:color w:val="auto"/>
              </w:rPr>
            </w:pPr>
          </w:p>
        </w:tc>
      </w:tr>
      <w:tr>
        <w:trPr>
          <w:trHeight w:val="25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51,188,882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 September 30,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46,174,936</w:t>
            </w:r>
          </w:p>
        </w:tc>
        <w:tc>
          <w:tcPr>
            <w:tcW w:w="0" w:type="dxa"/>
            <w:vAlign w:val="bottom"/>
          </w:tcPr>
          <w:p>
            <w:pPr>
              <w:spacing w:after="0"/>
              <w:rPr>
                <w:sz w:val="1"/>
                <w:szCs w:val="1"/>
                <w:color w:val="auto"/>
              </w:rPr>
            </w:pPr>
          </w:p>
        </w:tc>
      </w:tr>
      <w:tr>
        <w:trPr>
          <w:trHeight w:val="25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46,174,936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8572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2064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8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4" w:lineRule="exact"/>
        <w:rPr>
          <w:sz w:val="20"/>
          <w:szCs w:val="20"/>
          <w:color w:val="auto"/>
        </w:rPr>
      </w:pPr>
    </w:p>
    <w:p>
      <w:pPr>
        <w:sectPr>
          <w:pgSz w:w="11900" w:h="16838" w:orient="portrait"/>
          <w:cols w:equalWidth="0" w:num="2">
            <w:col w:w="1280" w:space="200"/>
            <w:col w:w="9620"/>
          </w:cols>
          <w:pgMar w:left="320" w:top="1359" w:right="479" w:bottom="1440" w:gutter="0" w:footer="0" w:header="0"/>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60" w:type="dxa"/>
            <w:vAlign w:val="bottom"/>
            <w:vMerge w:val="continue"/>
          </w:tcPr>
          <w:p>
            <w:pPr>
              <w:spacing w:after="0"/>
              <w:rPr>
                <w:sz w:val="24"/>
                <w:szCs w:val="24"/>
                <w:color w:val="auto"/>
              </w:rPr>
            </w:pPr>
          </w:p>
        </w:tc>
        <w:tc>
          <w:tcPr>
            <w:tcW w:w="9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Oxley Act of 2002.</w:t>
            </w:r>
          </w:p>
        </w:tc>
        <w:tc>
          <w:tcPr>
            <w:tcW w:w="82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1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80" w:hanging="1454"/>
        <w:spacing w:after="0"/>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9" w:right="479" w:bottom="1440" w:gutter="0" w:footer="0" w:header="0"/>
          <w:type w:val="continuous"/>
        </w:sectPr>
      </w:pPr>
    </w:p>
    <w:bookmarkStart w:id="62" w:name="page63"/>
    <w:bookmarkEnd w:id="62"/>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Peter A. Weinberg</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9"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Gary S. Barancik</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20"/>
          </w:cols>
          <w:pgMar w:left="320" w:top="1359" w:right="6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Weinberg,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Peter A. Weinberg</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 Barancik,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Gary S. Barancik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Peter A. Weinberg</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Gary S. Barancik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Roman"/>
      <w:start w:val="3"/>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Roman"/>
      <w:start w:val="3"/>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2022-11-07T08:06:20Z</dcterms:created>
  <dcterms:modified xsi:type="dcterms:W3CDTF">2022-11-07T08:06:20Z</dcterms:modified>
</cp:coreProperties>
</file>