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8"/>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473710</wp:posOffset>
            </wp:positionH>
            <wp:positionV relativeFrom="page">
              <wp:posOffset>380365</wp:posOffset>
            </wp:positionV>
            <wp:extent cx="66008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0825" cy="17145"/>
                    </a:xfrm>
                    <a:prstGeom prst="rect">
                      <a:avLst/>
                    </a:prstGeom>
                    <a:noFill/>
                  </pic:spPr>
                </pic:pic>
              </a:graphicData>
            </a:graphic>
          </wp:anchor>
        </w:drawing>
        <w:drawing>
          <wp:anchor simplePos="0" relativeHeight="251657728" behindDoc="1" locked="0" layoutInCell="0" allowOverlap="1">
            <wp:simplePos x="0" y="0"/>
            <wp:positionH relativeFrom="page">
              <wp:posOffset>473710</wp:posOffset>
            </wp:positionH>
            <wp:positionV relativeFrom="page">
              <wp:posOffset>414655</wp:posOffset>
            </wp:positionV>
            <wp:extent cx="66008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0825" cy="17145"/>
                    </a:xfrm>
                    <a:prstGeom prst="rect">
                      <a:avLst/>
                    </a:prstGeom>
                    <a:noFill/>
                  </pic:spPr>
                </pic:pic>
              </a:graphicData>
            </a:graphic>
          </wp:anchor>
        </w:drawing>
        <w:t>UNITED STATES</w:t>
      </w:r>
    </w:p>
    <w:p>
      <w:pPr>
        <w:spacing w:after="0" w:line="63" w:lineRule="exact"/>
        <w:rPr>
          <w:sz w:val="24"/>
          <w:szCs w:val="24"/>
          <w:color w:val="auto"/>
        </w:rPr>
      </w:pPr>
    </w:p>
    <w:p>
      <w:pPr>
        <w:jc w:val="center"/>
        <w:ind w:right="-768"/>
        <w:spacing w:after="0"/>
        <w:rPr>
          <w:sz w:val="20"/>
          <w:szCs w:val="20"/>
          <w:color w:val="auto"/>
        </w:rPr>
      </w:pPr>
      <w:r>
        <w:rPr>
          <w:rFonts w:ascii="Arial" w:cs="Arial" w:eastAsia="Arial" w:hAnsi="Arial"/>
          <w:sz w:val="29"/>
          <w:szCs w:val="29"/>
          <w:b w:val="1"/>
          <w:bCs w:val="1"/>
          <w:color w:val="auto"/>
        </w:rPr>
        <w:t>SECURITIES AND EXCHANGE COMMISSION</w:t>
      </w:r>
    </w:p>
    <w:p>
      <w:pPr>
        <w:spacing w:after="0" w:line="72" w:lineRule="exact"/>
        <w:rPr>
          <w:sz w:val="24"/>
          <w:szCs w:val="24"/>
          <w:color w:val="auto"/>
        </w:rPr>
      </w:pPr>
    </w:p>
    <w:p>
      <w:pPr>
        <w:ind w:left="400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120015</wp:posOffset>
            </wp:positionH>
            <wp:positionV relativeFrom="paragraph">
              <wp:posOffset>157480</wp:posOffset>
            </wp:positionV>
            <wp:extent cx="6489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83" w:lineRule="exact"/>
        <w:rPr>
          <w:sz w:val="24"/>
          <w:szCs w:val="24"/>
          <w:color w:val="auto"/>
        </w:rPr>
      </w:pPr>
    </w:p>
    <w:p>
      <w:pPr>
        <w:ind w:left="4188"/>
        <w:spacing w:after="0"/>
        <w:rPr>
          <w:sz w:val="20"/>
          <w:szCs w:val="20"/>
          <w:color w:val="auto"/>
        </w:rPr>
      </w:pPr>
      <w:r>
        <w:rPr>
          <w:rFonts w:ascii="Arial" w:cs="Arial" w:eastAsia="Arial" w:hAnsi="Arial"/>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92710</wp:posOffset>
            </wp:positionV>
            <wp:extent cx="6686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68"/>
        <w:spacing w:after="0"/>
        <w:rPr>
          <w:sz w:val="20"/>
          <w:szCs w:val="20"/>
          <w:color w:val="auto"/>
        </w:rPr>
      </w:pPr>
      <w:r>
        <w:rPr>
          <w:rFonts w:ascii="Arial" w:cs="Arial" w:eastAsia="Arial" w:hAnsi="Arial"/>
          <w:sz w:val="25"/>
          <w:szCs w:val="25"/>
          <w:b w:val="1"/>
          <w:bCs w:val="1"/>
          <w:color w:val="auto"/>
        </w:rPr>
        <w:t>Proxy Statement Pursuant to Section 14(a)</w:t>
      </w:r>
    </w:p>
    <w:p>
      <w:pPr>
        <w:spacing w:after="0" w:line="36" w:lineRule="exact"/>
        <w:rPr>
          <w:sz w:val="24"/>
          <w:szCs w:val="24"/>
          <w:color w:val="auto"/>
        </w:rPr>
      </w:pPr>
    </w:p>
    <w:p>
      <w:pPr>
        <w:jc w:val="center"/>
        <w:ind w:right="-768"/>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78" w:lineRule="exact"/>
        <w:rPr>
          <w:sz w:val="24"/>
          <w:szCs w:val="24"/>
          <w:color w:val="auto"/>
        </w:rPr>
      </w:pPr>
    </w:p>
    <w:p>
      <w:pPr>
        <w:ind w:left="4208"/>
        <w:spacing w:after="0"/>
        <w:rPr>
          <w:sz w:val="20"/>
          <w:szCs w:val="20"/>
          <w:color w:val="auto"/>
        </w:rPr>
      </w:pPr>
      <w:r>
        <w:rPr>
          <w:rFonts w:ascii="Arial" w:cs="Arial" w:eastAsia="Arial" w:hAnsi="Arial"/>
          <w:sz w:val="25"/>
          <w:szCs w:val="25"/>
          <w:b w:val="1"/>
          <w:bCs w:val="1"/>
          <w:color w:val="auto"/>
        </w:rPr>
        <w:t>(Amendment No. )</w:t>
      </w:r>
    </w:p>
    <w:p>
      <w:pPr>
        <w:spacing w:after="0" w:line="303" w:lineRule="exact"/>
        <w:rPr>
          <w:sz w:val="24"/>
          <w:szCs w:val="24"/>
          <w:color w:val="auto"/>
        </w:rPr>
      </w:pPr>
    </w:p>
    <w:p>
      <w:pPr>
        <w:ind w:left="8"/>
        <w:spacing w:after="0" w:line="230" w:lineRule="exact"/>
        <w:rPr>
          <w:sz w:val="20"/>
          <w:szCs w:val="20"/>
          <w:color w:val="auto"/>
        </w:rPr>
      </w:pPr>
      <w:r>
        <w:rPr>
          <w:rFonts w:ascii="Arial" w:cs="Arial" w:eastAsia="Arial" w:hAnsi="Arial"/>
          <w:sz w:val="20"/>
          <w:szCs w:val="20"/>
          <w:color w:val="auto"/>
        </w:rPr>
        <w:t xml:space="preserve">Filed by the Registrant </w:t>
      </w:r>
      <w:r>
        <w:rPr>
          <w:rFonts w:ascii="MS PGothic" w:cs="MS PGothic" w:eastAsia="MS PGothic" w:hAnsi="MS PGothic"/>
          <w:sz w:val="20"/>
          <w:szCs w:val="20"/>
          <w:color w:val="auto"/>
        </w:rPr>
        <w:t>☒</w:t>
      </w:r>
    </w:p>
    <w:p>
      <w:pPr>
        <w:spacing w:after="0" w:line="108" w:lineRule="exact"/>
        <w:rPr>
          <w:sz w:val="24"/>
          <w:szCs w:val="24"/>
          <w:color w:val="auto"/>
        </w:rPr>
      </w:pPr>
    </w:p>
    <w:p>
      <w:pPr>
        <w:ind w:left="8"/>
        <w:spacing w:after="0" w:line="230" w:lineRule="exact"/>
        <w:rPr>
          <w:sz w:val="20"/>
          <w:szCs w:val="20"/>
          <w:color w:val="auto"/>
        </w:rPr>
      </w:pPr>
      <w:r>
        <w:rPr>
          <w:rFonts w:ascii="Arial" w:cs="Arial" w:eastAsia="Arial" w:hAnsi="Arial"/>
          <w:sz w:val="20"/>
          <w:szCs w:val="20"/>
          <w:color w:val="auto"/>
        </w:rPr>
        <w:t xml:space="preserve">Filed by a party other than the Registrant </w:t>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319" w:lineRule="exact"/>
        <w:rPr>
          <w:sz w:val="24"/>
          <w:szCs w:val="24"/>
          <w:color w:val="auto"/>
        </w:rPr>
      </w:pPr>
    </w:p>
    <w:p>
      <w:pPr>
        <w:ind w:left="8"/>
        <w:spacing w:after="0"/>
        <w:rPr>
          <w:sz w:val="20"/>
          <w:szCs w:val="20"/>
          <w:color w:val="auto"/>
        </w:rPr>
      </w:pPr>
      <w:r>
        <w:rPr>
          <w:rFonts w:ascii="Arial" w:cs="Arial" w:eastAsia="Arial" w:hAnsi="Arial"/>
          <w:sz w:val="20"/>
          <w:szCs w:val="20"/>
          <w:color w:val="auto"/>
        </w:rPr>
        <w:t>Check the appropriate box:</w:t>
      </w:r>
    </w:p>
    <w:p>
      <w:pPr>
        <w:spacing w:after="0" w:line="108" w:lineRule="exact"/>
        <w:rPr>
          <w:sz w:val="24"/>
          <w:szCs w:val="24"/>
          <w:color w:val="auto"/>
        </w:rPr>
      </w:pPr>
    </w:p>
    <w:p>
      <w:pPr>
        <w:ind w:left="388" w:hanging="388"/>
        <w:spacing w:after="0"/>
        <w:tabs>
          <w:tab w:leader="none" w:pos="388"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119" w:lineRule="exact"/>
        <w:rPr>
          <w:sz w:val="24"/>
          <w:szCs w:val="24"/>
          <w:color w:val="auto"/>
        </w:rPr>
      </w:pPr>
    </w:p>
    <w:p>
      <w:pPr>
        <w:ind w:left="388" w:hanging="388"/>
        <w:spacing w:after="0"/>
        <w:tabs>
          <w:tab w:leader="none" w:pos="388"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Confidential, for Use of the Commission Only (as permitted by Rule 14a-6(e)(2))</w:t>
      </w:r>
    </w:p>
    <w:p>
      <w:pPr>
        <w:spacing w:after="0" w:line="109" w:lineRule="exact"/>
        <w:rPr>
          <w:rFonts w:ascii="MS PGothic" w:cs="MS PGothic" w:eastAsia="MS PGothic" w:hAnsi="MS PGothic"/>
          <w:sz w:val="20"/>
          <w:szCs w:val="20"/>
          <w:color w:val="auto"/>
        </w:rPr>
      </w:pPr>
    </w:p>
    <w:p>
      <w:pPr>
        <w:ind w:left="388" w:hanging="388"/>
        <w:spacing w:after="0"/>
        <w:tabs>
          <w:tab w:leader="none" w:pos="388"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Definitive Proxy Statement</w:t>
      </w:r>
    </w:p>
    <w:p>
      <w:pPr>
        <w:spacing w:after="0" w:line="121" w:lineRule="exact"/>
        <w:rPr>
          <w:rFonts w:ascii="MS PGothic" w:cs="MS PGothic" w:eastAsia="MS PGothic" w:hAnsi="MS PGothic"/>
          <w:sz w:val="20"/>
          <w:szCs w:val="20"/>
          <w:color w:val="auto"/>
        </w:rPr>
      </w:pPr>
    </w:p>
    <w:p>
      <w:pPr>
        <w:ind w:left="388" w:hanging="388"/>
        <w:spacing w:after="0"/>
        <w:tabs>
          <w:tab w:leader="none" w:pos="388"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121" w:lineRule="exact"/>
        <w:rPr>
          <w:rFonts w:ascii="MS PGothic" w:cs="MS PGothic" w:eastAsia="MS PGothic" w:hAnsi="MS PGothic"/>
          <w:sz w:val="20"/>
          <w:szCs w:val="20"/>
          <w:color w:val="auto"/>
        </w:rPr>
      </w:pPr>
    </w:p>
    <w:p>
      <w:pPr>
        <w:ind w:left="388" w:hanging="388"/>
        <w:spacing w:after="0"/>
        <w:tabs>
          <w:tab w:leader="none" w:pos="388"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462915</wp:posOffset>
            </wp:positionH>
            <wp:positionV relativeFrom="paragraph">
              <wp:posOffset>708025</wp:posOffset>
            </wp:positionV>
            <wp:extent cx="5795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768"/>
        <w:spacing w:after="0"/>
        <w:rPr>
          <w:sz w:val="20"/>
          <w:szCs w:val="20"/>
          <w:color w:val="auto"/>
        </w:rPr>
      </w:pPr>
      <w:r>
        <w:rPr>
          <w:rFonts w:ascii="Arial" w:cs="Arial" w:eastAsia="Arial" w:hAnsi="Arial"/>
          <w:sz w:val="40"/>
          <w:szCs w:val="40"/>
          <w:b w:val="1"/>
          <w:bCs w:val="1"/>
          <w:color w:val="auto"/>
        </w:rPr>
        <w:t>PERELLA WEINBERG PARTNERS</w:t>
      </w:r>
    </w:p>
    <w:p>
      <w:pPr>
        <w:spacing w:after="0" w:line="81" w:lineRule="exact"/>
        <w:rPr>
          <w:sz w:val="24"/>
          <w:szCs w:val="24"/>
          <w:color w:val="auto"/>
        </w:rPr>
      </w:pPr>
    </w:p>
    <w:p>
      <w:pPr>
        <w:ind w:left="3688"/>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462915</wp:posOffset>
            </wp:positionH>
            <wp:positionV relativeFrom="paragraph">
              <wp:posOffset>157480</wp:posOffset>
            </wp:positionV>
            <wp:extent cx="5795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8"/>
        <w:spacing w:after="0"/>
        <w:rPr>
          <w:sz w:val="20"/>
          <w:szCs w:val="20"/>
          <w:color w:val="auto"/>
        </w:rPr>
      </w:pPr>
      <w:r>
        <w:rPr>
          <w:rFonts w:ascii="Arial" w:cs="Arial" w:eastAsia="Arial" w:hAnsi="Arial"/>
          <w:sz w:val="22"/>
          <w:szCs w:val="22"/>
          <w:color w:val="auto"/>
        </w:rPr>
        <w:t>Payment of Filing Fee (Check all boxes that apply):</w:t>
      </w:r>
    </w:p>
    <w:p>
      <w:pPr>
        <w:spacing w:after="0" w:line="130" w:lineRule="exact"/>
        <w:rPr>
          <w:sz w:val="24"/>
          <w:szCs w:val="24"/>
          <w:color w:val="auto"/>
        </w:rPr>
      </w:pPr>
    </w:p>
    <w:p>
      <w:pPr>
        <w:ind w:left="428" w:hanging="428"/>
        <w:spacing w:after="0"/>
        <w:tabs>
          <w:tab w:leader="none" w:pos="428" w:val="left"/>
        </w:tabs>
        <w:numPr>
          <w:ilvl w:val="0"/>
          <w:numId w:val="3"/>
        </w:numPr>
        <w:rPr>
          <w:rFonts w:ascii="MS PGothic" w:cs="MS PGothic" w:eastAsia="MS PGothic" w:hAnsi="MS PGothic"/>
          <w:sz w:val="22"/>
          <w:szCs w:val="22"/>
          <w:color w:val="auto"/>
        </w:rPr>
      </w:pPr>
      <w:r>
        <w:rPr>
          <w:rFonts w:ascii="Arial" w:cs="Arial" w:eastAsia="Arial" w:hAnsi="Arial"/>
          <w:sz w:val="20"/>
          <w:szCs w:val="20"/>
          <w:color w:val="auto"/>
        </w:rPr>
        <w:t>No fee required</w:t>
      </w:r>
    </w:p>
    <w:p>
      <w:pPr>
        <w:spacing w:after="0" w:line="120" w:lineRule="exact"/>
        <w:rPr>
          <w:sz w:val="24"/>
          <w:szCs w:val="24"/>
          <w:color w:val="auto"/>
        </w:rPr>
      </w:pPr>
    </w:p>
    <w:p>
      <w:pPr>
        <w:ind w:left="388" w:hanging="388"/>
        <w:spacing w:after="0"/>
        <w:tabs>
          <w:tab w:leader="none" w:pos="388" w:val="left"/>
        </w:tabs>
        <w:numPr>
          <w:ilvl w:val="0"/>
          <w:numId w:val="4"/>
        </w:numPr>
        <w:rPr>
          <w:rFonts w:ascii="MS PGothic" w:cs="MS PGothic" w:eastAsia="MS PGothic" w:hAnsi="MS PGothic"/>
          <w:sz w:val="20"/>
          <w:szCs w:val="20"/>
          <w:color w:val="auto"/>
        </w:rPr>
      </w:pPr>
      <w:r>
        <w:rPr>
          <w:rFonts w:ascii="Arial" w:cs="Arial" w:eastAsia="Arial" w:hAnsi="Arial"/>
          <w:sz w:val="20"/>
          <w:szCs w:val="20"/>
          <w:color w:val="auto"/>
        </w:rPr>
        <w:t>Fee paid previously with preliminary materials</w:t>
      </w:r>
    </w:p>
    <w:p>
      <w:pPr>
        <w:spacing w:after="0" w:line="121" w:lineRule="exact"/>
        <w:rPr>
          <w:rFonts w:ascii="MS PGothic" w:cs="MS PGothic" w:eastAsia="MS PGothic" w:hAnsi="MS PGothic"/>
          <w:sz w:val="20"/>
          <w:szCs w:val="20"/>
          <w:color w:val="auto"/>
        </w:rPr>
      </w:pPr>
    </w:p>
    <w:p>
      <w:pPr>
        <w:ind w:left="388" w:hanging="388"/>
        <w:spacing w:after="0"/>
        <w:tabs>
          <w:tab w:leader="none" w:pos="388" w:val="left"/>
        </w:tabs>
        <w:numPr>
          <w:ilvl w:val="0"/>
          <w:numId w:val="4"/>
        </w:numPr>
        <w:rPr>
          <w:rFonts w:ascii="MS PGothic" w:cs="MS PGothic" w:eastAsia="MS PGothic" w:hAnsi="MS PGothic"/>
          <w:sz w:val="19"/>
          <w:szCs w:val="19"/>
          <w:color w:val="auto"/>
        </w:rPr>
      </w:pPr>
      <w:r>
        <w:rPr>
          <w:rFonts w:ascii="Arial" w:cs="Arial" w:eastAsia="Arial" w:hAnsi="Arial"/>
          <w:sz w:val="19"/>
          <w:szCs w:val="19"/>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1358265</wp:posOffset>
            </wp:positionV>
            <wp:extent cx="66865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6550"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1392555</wp:posOffset>
            </wp:positionV>
            <wp:extent cx="66865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6550" cy="17145"/>
                    </a:xfrm>
                    <a:prstGeom prst="rect">
                      <a:avLst/>
                    </a:prstGeom>
                    <a:noFill/>
                  </pic:spPr>
                </pic:pic>
              </a:graphicData>
            </a:graphic>
          </wp:anchor>
        </w:drawing>
      </w:r>
    </w:p>
    <w:p>
      <w:pPr>
        <w:sectPr>
          <w:pgSz w:w="11900" w:h="16838" w:orient="portrait"/>
          <w:cols w:equalWidth="0" w:num="1">
            <w:col w:w="9807"/>
          </w:cols>
          <w:pgMar w:left="652" w:top="72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1714500"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767 FIFTH AVENUE</w:t>
      </w:r>
    </w:p>
    <w:p>
      <w:pPr>
        <w:spacing w:after="0" w:line="3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NEW YORK, NEW YORK 10153</w:t>
      </w:r>
    </w:p>
    <w:p>
      <w:pPr>
        <w:spacing w:after="0" w:line="200" w:lineRule="exact"/>
        <w:rPr>
          <w:sz w:val="20"/>
          <w:szCs w:val="20"/>
          <w:color w:val="auto"/>
        </w:rPr>
      </w:pPr>
    </w:p>
    <w:p>
      <w:pPr>
        <w:spacing w:after="0" w:line="235"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April 1,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cordially invite you to attend our 2024 Annual Meeting of Stockholders, to be held on Wednesday, May 22, 2024, at 10:00 a.m. (Eastern Time) at http://www.virtualshareholdermeeting.com/PWP2024.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Notice of Annual Meeting of Stockholders and the proxy statement that follow describe the business to be conducted at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Your vote is important. We encourage you to submit your votes in advance of the meeting, whether or not you plan to attend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66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Andrew Bednar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1022985</wp:posOffset>
            </wp:positionV>
            <wp:extent cx="171450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767 FIFTH AVENUE</w:t>
      </w:r>
    </w:p>
    <w:p>
      <w:pPr>
        <w:spacing w:after="0" w:line="3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NEW YORK, NEW YORK 10153</w:t>
      </w:r>
    </w:p>
    <w:p>
      <w:pPr>
        <w:spacing w:after="0" w:line="17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9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Meeting Date:</w:t>
      </w:r>
      <w:r>
        <w:rPr>
          <w:sz w:val="20"/>
          <w:szCs w:val="20"/>
          <w:color w:val="auto"/>
        </w:rPr>
        <w:tab/>
      </w:r>
      <w:r>
        <w:rPr>
          <w:rFonts w:ascii="Arial" w:cs="Arial" w:eastAsia="Arial" w:hAnsi="Arial"/>
          <w:sz w:val="17"/>
          <w:szCs w:val="17"/>
          <w:color w:val="auto"/>
        </w:rPr>
        <w:t>Wednesday, May 22, 2024</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Time:</w:t>
        <w:tab/>
        <w:t>10:00 a.m. (Eastern Time)</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Place:</w:t>
        <w:tab/>
        <w:t>http://www.virtualshareholdermeeting.com/PWP2024</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holding our 2024 annual meeting of stockholders for the following purposes, which are described in more detail in the proxy statement:</w:t>
      </w:r>
    </w:p>
    <w:p>
      <w:pPr>
        <w:spacing w:after="0" w:line="15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four directors to our board of directors;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2024;</w:t>
      </w:r>
    </w:p>
    <w:p>
      <w:pPr>
        <w:spacing w:after="0" w:line="152"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Company's Restated Certificate of Incorporation to update the exculpation provision;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other business as may properly come before the meeting or any adjournment or postponement thereof.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Only stockholders of record as of the close of business on March 28, 2024, will be entitled to attend and vote at the annual meeting.</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furnish our proxy materials over the Internet as permitted by the rules of the U.S. Securities and Exchange Commission. As a result, we are sending to certain of our stockholders a Notice of Internet Availability of Proxy Materials rather than a full paper set of the proxy materials. Such notice contains instructions on how to access our proxy materials on the Internet, as well as instructions on how stockholders may obtain a paper copy of the proxy materials. This process will reduce the costs associated with printing and distributing our proxy materials. We expect to mail this notice and our proxy materials on or about April 1, 2024.</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Your vote is important. We encourage you to vote by proxy in advance of the meeting, whether or not you plan to attend the meeting. The Notice of Internet Availability of Proxy Materials includes instructions on how to vote, including by Internet and telephone. If you hold your shares through a brokerage firm, bank, broker-dealer or other similar organization, please follow their instructions.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Justin Kamen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715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Justin Kamen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April 1, 2024</w:t>
      </w:r>
    </w:p>
    <w:p>
      <w:pPr>
        <w:sectPr>
          <w:pgSz w:w="11900" w:h="16838" w:orient="portrait"/>
          <w:cols w:equalWidth="0" w:num="1">
            <w:col w:w="11240"/>
          </w:cols>
          <w:pgMar w:left="320" w:top="1440" w:right="339" w:bottom="1440" w:gutter="0" w:footer="0" w:header="0"/>
        </w:sectPr>
      </w:pPr>
    </w:p>
    <w:bookmarkStart w:id="3" w:name="page4"/>
    <w:bookmarkEnd w:id="3"/>
    <w:p>
      <w:pPr>
        <w:spacing w:after="0" w:line="153"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MAY 22, 2024.</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Company’s Proxy Statement and 2023 Annual Report on Form 10-K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are also available at www.proxyvote.com.</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color w:val="0E32E1"/>
                <w:w w:val="98"/>
              </w:rPr>
              <w:t>GENERAL INFORMATION</w:t>
            </w:r>
          </w:p>
        </w:tc>
        <w:tc>
          <w:tcPr>
            <w:tcW w:w="8740" w:type="dxa"/>
            <w:vAlign w:val="bottom"/>
            <w:gridSpan w:val="10"/>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0E32E1"/>
              </w:rPr>
              <w:t>1</w:t>
            </w:r>
          </w:p>
        </w:tc>
        <w:tc>
          <w:tcPr>
            <w:tcW w:w="0" w:type="dxa"/>
            <w:vAlign w:val="bottom"/>
          </w:tcPr>
          <w:p>
            <w:pPr>
              <w:spacing w:after="0"/>
              <w:rPr>
                <w:sz w:val="1"/>
                <w:szCs w:val="1"/>
                <w:color w:val="auto"/>
              </w:rPr>
            </w:pPr>
          </w:p>
        </w:tc>
      </w:tr>
      <w:tr>
        <w:trPr>
          <w:trHeight w:val="20"/>
        </w:trPr>
        <w:tc>
          <w:tcPr>
            <w:tcW w:w="216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00" w:type="dxa"/>
            <w:vAlign w:val="bottom"/>
            <w:gridSpan w:val="11"/>
          </w:tcPr>
          <w:p>
            <w:pPr>
              <w:spacing w:after="0"/>
              <w:rPr>
                <w:sz w:val="20"/>
                <w:szCs w:val="20"/>
                <w:color w:val="auto"/>
              </w:rPr>
            </w:pPr>
            <w:r>
              <w:rPr>
                <w:rFonts w:ascii="Arial" w:cs="Arial" w:eastAsia="Arial" w:hAnsi="Arial"/>
                <w:sz w:val="18"/>
                <w:szCs w:val="18"/>
                <w:color w:val="0E32E1"/>
              </w:rPr>
              <w:t>PROPOSAL 1: ELECTION OF DIRECTORS</w:t>
            </w:r>
          </w:p>
        </w:tc>
        <w:tc>
          <w:tcPr>
            <w:tcW w:w="200" w:type="dxa"/>
            <w:vAlign w:val="bottom"/>
            <w:gridSpan w:val="2"/>
          </w:tcPr>
          <w:p>
            <w:pPr>
              <w:jc w:val="right"/>
              <w:spacing w:after="0"/>
              <w:rPr>
                <w:sz w:val="20"/>
                <w:szCs w:val="20"/>
                <w:color w:val="auto"/>
              </w:rPr>
            </w:pPr>
            <w:r>
              <w:rPr>
                <w:rFonts w:ascii="Arial" w:cs="Arial" w:eastAsia="Arial" w:hAnsi="Arial"/>
                <w:sz w:val="18"/>
                <w:szCs w:val="18"/>
                <w:color w:val="0E32E1"/>
              </w:rPr>
              <w:t>7</w:t>
            </w:r>
          </w:p>
        </w:tc>
        <w:tc>
          <w:tcPr>
            <w:tcW w:w="0" w:type="dxa"/>
            <w:vAlign w:val="bottom"/>
          </w:tcPr>
          <w:p>
            <w:pPr>
              <w:spacing w:after="0"/>
              <w:rPr>
                <w:sz w:val="1"/>
                <w:szCs w:val="1"/>
                <w:color w:val="auto"/>
              </w:rPr>
            </w:pPr>
          </w:p>
        </w:tc>
      </w:tr>
      <w:tr>
        <w:trPr>
          <w:trHeight w:val="20"/>
        </w:trPr>
        <w:tc>
          <w:tcPr>
            <w:tcW w:w="2280" w:type="dxa"/>
            <w:vAlign w:val="bottom"/>
            <w:gridSpan w:val="2"/>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gridSpan w:val="3"/>
          </w:tcPr>
          <w:p>
            <w:pPr>
              <w:spacing w:after="0"/>
              <w:rPr>
                <w:sz w:val="20"/>
                <w:szCs w:val="20"/>
                <w:color w:val="auto"/>
              </w:rPr>
            </w:pPr>
            <w:r>
              <w:rPr>
                <w:rFonts w:ascii="Arial" w:cs="Arial" w:eastAsia="Arial" w:hAnsi="Arial"/>
                <w:sz w:val="18"/>
                <w:szCs w:val="18"/>
                <w:color w:val="0E32E1"/>
                <w:w w:val="96"/>
              </w:rPr>
              <w:t>CORPORATE GOVERNANCE</w:t>
            </w:r>
          </w:p>
        </w:tc>
        <w:tc>
          <w:tcPr>
            <w:tcW w:w="1120" w:type="dxa"/>
            <w:vAlign w:val="bottom"/>
            <w:gridSpan w:val="3"/>
          </w:tcPr>
          <w:p>
            <w:pPr>
              <w:spacing w:after="0"/>
              <w:rPr>
                <w:sz w:val="18"/>
                <w:szCs w:val="18"/>
                <w:color w:val="auto"/>
              </w:rPr>
            </w:pPr>
          </w:p>
        </w:tc>
        <w:tc>
          <w:tcPr>
            <w:tcW w:w="7360" w:type="dxa"/>
            <w:vAlign w:val="bottom"/>
            <w:gridSpan w:val="5"/>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0E32E1"/>
              </w:rPr>
              <w:t>8</w:t>
            </w:r>
          </w:p>
        </w:tc>
        <w:tc>
          <w:tcPr>
            <w:tcW w:w="0" w:type="dxa"/>
            <w:vAlign w:val="bottom"/>
          </w:tcPr>
          <w:p>
            <w:pPr>
              <w:spacing w:after="0"/>
              <w:rPr>
                <w:sz w:val="1"/>
                <w:szCs w:val="1"/>
                <w:color w:val="auto"/>
              </w:rPr>
            </w:pPr>
          </w:p>
        </w:tc>
      </w:tr>
      <w:tr>
        <w:trPr>
          <w:trHeight w:val="20"/>
        </w:trPr>
        <w:tc>
          <w:tcPr>
            <w:tcW w:w="2280" w:type="dxa"/>
            <w:vAlign w:val="bottom"/>
            <w:gridSpan w:val="2"/>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gridSpan w:val="3"/>
          </w:tcPr>
          <w:p>
            <w:pPr>
              <w:spacing w:after="0"/>
              <w:rPr>
                <w:sz w:val="20"/>
                <w:szCs w:val="20"/>
                <w:color w:val="auto"/>
              </w:rPr>
            </w:pPr>
            <w:r>
              <w:rPr>
                <w:rFonts w:ascii="Arial" w:cs="Arial" w:eastAsia="Arial" w:hAnsi="Arial"/>
                <w:sz w:val="18"/>
                <w:szCs w:val="18"/>
                <w:color w:val="0E32E1"/>
                <w:w w:val="97"/>
              </w:rPr>
              <w:t>DIRECTOR COMPENSATION</w:t>
            </w:r>
          </w:p>
        </w:tc>
        <w:tc>
          <w:tcPr>
            <w:tcW w:w="8480" w:type="dxa"/>
            <w:vAlign w:val="bottom"/>
            <w:gridSpan w:val="8"/>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0E32E1"/>
                <w:w w:val="89"/>
              </w:rPr>
              <w:t>18</w:t>
            </w:r>
          </w:p>
        </w:tc>
        <w:tc>
          <w:tcPr>
            <w:tcW w:w="0" w:type="dxa"/>
            <w:vAlign w:val="bottom"/>
          </w:tcPr>
          <w:p>
            <w:pPr>
              <w:spacing w:after="0"/>
              <w:rPr>
                <w:sz w:val="1"/>
                <w:szCs w:val="1"/>
                <w:color w:val="auto"/>
              </w:rPr>
            </w:pPr>
          </w:p>
        </w:tc>
      </w:tr>
      <w:tr>
        <w:trPr>
          <w:trHeight w:val="20"/>
        </w:trPr>
        <w:tc>
          <w:tcPr>
            <w:tcW w:w="2280" w:type="dxa"/>
            <w:vAlign w:val="bottom"/>
            <w:gridSpan w:val="2"/>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tcBorders>
              <w:bottom w:val="single" w:sz="8" w:color="0E32E1"/>
            </w:tcBorders>
            <w:gridSpan w:val="4"/>
          </w:tcPr>
          <w:p>
            <w:pPr>
              <w:spacing w:after="0"/>
              <w:rPr>
                <w:sz w:val="20"/>
                <w:szCs w:val="20"/>
                <w:color w:val="auto"/>
              </w:rPr>
            </w:pPr>
            <w:r>
              <w:rPr>
                <w:rFonts w:ascii="Arial" w:cs="Arial" w:eastAsia="Arial" w:hAnsi="Arial"/>
                <w:sz w:val="18"/>
                <w:szCs w:val="18"/>
                <w:color w:val="0E32E1"/>
                <w:w w:val="98"/>
              </w:rPr>
              <w:t>EXECUTIVE COMPENSATION</w:t>
            </w:r>
          </w:p>
        </w:tc>
        <w:tc>
          <w:tcPr>
            <w:tcW w:w="8380" w:type="dxa"/>
            <w:vAlign w:val="bottom"/>
            <w:gridSpan w:val="7"/>
          </w:tcPr>
          <w:p>
            <w:pPr>
              <w:spacing w:after="0"/>
              <w:rPr>
                <w:sz w:val="18"/>
                <w:szCs w:val="18"/>
                <w:color w:val="auto"/>
              </w:rPr>
            </w:pPr>
          </w:p>
        </w:tc>
        <w:tc>
          <w:tcPr>
            <w:tcW w:w="200" w:type="dxa"/>
            <w:vAlign w:val="bottom"/>
            <w:tcBorders>
              <w:bottom w:val="single" w:sz="8" w:color="0E32E1"/>
            </w:tcBorders>
            <w:gridSpan w:val="2"/>
          </w:tcPr>
          <w:p>
            <w:pPr>
              <w:jc w:val="right"/>
              <w:spacing w:after="0"/>
              <w:rPr>
                <w:sz w:val="20"/>
                <w:szCs w:val="20"/>
                <w:color w:val="auto"/>
              </w:rPr>
            </w:pPr>
            <w:r>
              <w:rPr>
                <w:rFonts w:ascii="Arial" w:cs="Arial" w:eastAsia="Arial" w:hAnsi="Arial"/>
                <w:sz w:val="18"/>
                <w:szCs w:val="18"/>
                <w:color w:val="0E32E1"/>
                <w:w w:val="89"/>
              </w:rPr>
              <w:t>19</w:t>
            </w:r>
          </w:p>
        </w:tc>
        <w:tc>
          <w:tcPr>
            <w:tcW w:w="0" w:type="dxa"/>
            <w:vAlign w:val="bottom"/>
          </w:tcPr>
          <w:p>
            <w:pPr>
              <w:spacing w:after="0"/>
              <w:rPr>
                <w:sz w:val="1"/>
                <w:szCs w:val="1"/>
                <w:color w:val="auto"/>
              </w:rPr>
            </w:pPr>
          </w:p>
        </w:tc>
      </w:tr>
      <w:tr>
        <w:trPr>
          <w:trHeight w:val="210"/>
        </w:trPr>
        <w:tc>
          <w:tcPr>
            <w:tcW w:w="10900" w:type="dxa"/>
            <w:vAlign w:val="bottom"/>
            <w:gridSpan w:val="11"/>
          </w:tcPr>
          <w:p>
            <w:pPr>
              <w:spacing w:after="0"/>
              <w:rPr>
                <w:sz w:val="20"/>
                <w:szCs w:val="20"/>
                <w:color w:val="auto"/>
              </w:rPr>
            </w:pPr>
            <w:r>
              <w:rPr>
                <w:rFonts w:ascii="Arial" w:cs="Arial" w:eastAsia="Arial" w:hAnsi="Arial"/>
                <w:sz w:val="18"/>
                <w:szCs w:val="18"/>
                <w:color w:val="0E32E1"/>
              </w:rPr>
              <w:t>STOCK OWNERSHIP OF CERTAIN BENEFICIAL OWNERS AND MANAGEMENT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0E32E1"/>
                <w:w w:val="89"/>
              </w:rPr>
              <w:t>28</w:t>
            </w:r>
          </w:p>
        </w:tc>
        <w:tc>
          <w:tcPr>
            <w:tcW w:w="0" w:type="dxa"/>
            <w:vAlign w:val="bottom"/>
          </w:tcPr>
          <w:p>
            <w:pPr>
              <w:spacing w:after="0"/>
              <w:rPr>
                <w:sz w:val="1"/>
                <w:szCs w:val="1"/>
                <w:color w:val="auto"/>
              </w:rPr>
            </w:pPr>
          </w:p>
        </w:tc>
      </w:tr>
      <w:tr>
        <w:trPr>
          <w:trHeight w:val="209"/>
        </w:trPr>
        <w:tc>
          <w:tcPr>
            <w:tcW w:w="3420" w:type="dxa"/>
            <w:vAlign w:val="bottom"/>
            <w:tcBorders>
              <w:top w:val="single" w:sz="8" w:color="0E32E1"/>
              <w:bottom w:val="single" w:sz="8" w:color="0E32E1"/>
            </w:tcBorders>
            <w:gridSpan w:val="5"/>
          </w:tcPr>
          <w:p>
            <w:pPr>
              <w:spacing w:after="0"/>
              <w:rPr>
                <w:sz w:val="20"/>
                <w:szCs w:val="20"/>
                <w:color w:val="auto"/>
              </w:rPr>
            </w:pPr>
            <w:r>
              <w:rPr>
                <w:rFonts w:ascii="Arial" w:cs="Arial" w:eastAsia="Arial" w:hAnsi="Arial"/>
                <w:sz w:val="18"/>
                <w:szCs w:val="18"/>
                <w:color w:val="0E32E1"/>
                <w:w w:val="99"/>
              </w:rPr>
              <w:t>DELINQUENT SECTION 16(A) REPORTS</w:t>
            </w:r>
          </w:p>
        </w:tc>
        <w:tc>
          <w:tcPr>
            <w:tcW w:w="3200" w:type="dxa"/>
            <w:vAlign w:val="bottom"/>
            <w:tcBorders>
              <w:top w:val="single" w:sz="8" w:color="0E32E1"/>
            </w:tcBorders>
            <w:gridSpan w:val="4"/>
          </w:tcPr>
          <w:p>
            <w:pPr>
              <w:spacing w:after="0"/>
              <w:rPr>
                <w:sz w:val="18"/>
                <w:szCs w:val="18"/>
                <w:color w:val="auto"/>
              </w:rPr>
            </w:pPr>
          </w:p>
        </w:tc>
        <w:tc>
          <w:tcPr>
            <w:tcW w:w="4280" w:type="dxa"/>
            <w:vAlign w:val="bottom"/>
            <w:gridSpan w:val="2"/>
          </w:tcPr>
          <w:p>
            <w:pPr>
              <w:spacing w:after="0"/>
              <w:rPr>
                <w:sz w:val="18"/>
                <w:szCs w:val="18"/>
                <w:color w:val="auto"/>
              </w:rPr>
            </w:pPr>
          </w:p>
        </w:tc>
        <w:tc>
          <w:tcPr>
            <w:tcW w:w="200" w:type="dxa"/>
            <w:vAlign w:val="bottom"/>
            <w:tcBorders>
              <w:top w:val="single" w:sz="8" w:color="0E32E1"/>
              <w:bottom w:val="single" w:sz="8" w:color="0E32E1"/>
            </w:tcBorders>
            <w:gridSpan w:val="2"/>
          </w:tcPr>
          <w:p>
            <w:pPr>
              <w:jc w:val="right"/>
              <w:spacing w:after="0"/>
              <w:rPr>
                <w:sz w:val="20"/>
                <w:szCs w:val="20"/>
                <w:color w:val="auto"/>
              </w:rPr>
            </w:pPr>
            <w:r>
              <w:rPr>
                <w:rFonts w:ascii="Arial" w:cs="Arial" w:eastAsia="Arial" w:hAnsi="Arial"/>
                <w:sz w:val="18"/>
                <w:szCs w:val="18"/>
                <w:color w:val="0E32E1"/>
                <w:w w:val="89"/>
              </w:rPr>
              <w:t>31</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0E32E1"/>
            </w:tcBorders>
            <w:gridSpan w:val="7"/>
          </w:tcPr>
          <w:p>
            <w:pPr>
              <w:spacing w:after="0"/>
              <w:rPr>
                <w:sz w:val="20"/>
                <w:szCs w:val="20"/>
                <w:color w:val="auto"/>
              </w:rPr>
            </w:pPr>
            <w:r>
              <w:rPr>
                <w:rFonts w:ascii="Arial" w:cs="Arial" w:eastAsia="Arial" w:hAnsi="Arial"/>
                <w:sz w:val="18"/>
                <w:szCs w:val="18"/>
                <w:color w:val="0E32E1"/>
                <w:w w:val="98"/>
              </w:rPr>
              <w:t>CERTAIN RELATIONSHIPS AND RELATED PERSON TRANSACTIONS</w:t>
            </w:r>
          </w:p>
        </w:tc>
        <w:tc>
          <w:tcPr>
            <w:tcW w:w="5080" w:type="dxa"/>
            <w:vAlign w:val="bottom"/>
            <w:gridSpan w:val="4"/>
          </w:tcPr>
          <w:p>
            <w:pPr>
              <w:spacing w:after="0"/>
              <w:rPr>
                <w:sz w:val="18"/>
                <w:szCs w:val="18"/>
                <w:color w:val="auto"/>
              </w:rPr>
            </w:pPr>
          </w:p>
        </w:tc>
        <w:tc>
          <w:tcPr>
            <w:tcW w:w="200" w:type="dxa"/>
            <w:vAlign w:val="bottom"/>
            <w:tcBorders>
              <w:bottom w:val="single" w:sz="8" w:color="0E32E1"/>
            </w:tcBorders>
            <w:gridSpan w:val="2"/>
          </w:tcPr>
          <w:p>
            <w:pPr>
              <w:jc w:val="right"/>
              <w:spacing w:after="0"/>
              <w:rPr>
                <w:sz w:val="20"/>
                <w:szCs w:val="20"/>
                <w:color w:val="auto"/>
              </w:rPr>
            </w:pPr>
            <w:r>
              <w:rPr>
                <w:rFonts w:ascii="Arial" w:cs="Arial" w:eastAsia="Arial" w:hAnsi="Arial"/>
                <w:sz w:val="18"/>
                <w:szCs w:val="18"/>
                <w:color w:val="0E32E1"/>
                <w:w w:val="89"/>
              </w:rPr>
              <w:t>32</w:t>
            </w:r>
          </w:p>
        </w:tc>
        <w:tc>
          <w:tcPr>
            <w:tcW w:w="0" w:type="dxa"/>
            <w:vAlign w:val="bottom"/>
          </w:tcPr>
          <w:p>
            <w:pPr>
              <w:spacing w:after="0"/>
              <w:rPr>
                <w:sz w:val="1"/>
                <w:szCs w:val="1"/>
                <w:color w:val="auto"/>
              </w:rPr>
            </w:pPr>
          </w:p>
        </w:tc>
      </w:tr>
      <w:tr>
        <w:trPr>
          <w:trHeight w:val="210"/>
        </w:trPr>
        <w:tc>
          <w:tcPr>
            <w:tcW w:w="10900" w:type="dxa"/>
            <w:vAlign w:val="bottom"/>
            <w:gridSpan w:val="11"/>
          </w:tcPr>
          <w:p>
            <w:pPr>
              <w:spacing w:after="0"/>
              <w:rPr>
                <w:sz w:val="20"/>
                <w:szCs w:val="20"/>
                <w:color w:val="auto"/>
              </w:rPr>
            </w:pPr>
            <w:r>
              <w:rPr>
                <w:rFonts w:ascii="Arial" w:cs="Arial" w:eastAsia="Arial" w:hAnsi="Arial"/>
                <w:sz w:val="18"/>
                <w:szCs w:val="18"/>
                <w:color w:val="0E32E1"/>
              </w:rPr>
              <w:t>PROPOSAL 2: RATIFICATION OF INDEPENDENT AUDITOR APPOINTMENT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0E32E1"/>
                <w:w w:val="89"/>
              </w:rPr>
              <w:t>42</w:t>
            </w:r>
          </w:p>
        </w:tc>
        <w:tc>
          <w:tcPr>
            <w:tcW w:w="0" w:type="dxa"/>
            <w:vAlign w:val="bottom"/>
          </w:tcPr>
          <w:p>
            <w:pPr>
              <w:spacing w:after="0"/>
              <w:rPr>
                <w:sz w:val="1"/>
                <w:szCs w:val="1"/>
                <w:color w:val="auto"/>
              </w:rPr>
            </w:pPr>
          </w:p>
        </w:tc>
      </w:tr>
      <w:tr>
        <w:trPr>
          <w:trHeight w:val="209"/>
        </w:trPr>
        <w:tc>
          <w:tcPr>
            <w:tcW w:w="6300" w:type="dxa"/>
            <w:vAlign w:val="bottom"/>
            <w:tcBorders>
              <w:top w:val="single" w:sz="8" w:color="0E32E1"/>
            </w:tcBorders>
            <w:gridSpan w:val="8"/>
          </w:tcPr>
          <w:p>
            <w:pPr>
              <w:spacing w:after="0"/>
              <w:rPr>
                <w:sz w:val="20"/>
                <w:szCs w:val="20"/>
                <w:color w:val="auto"/>
              </w:rPr>
            </w:pPr>
            <w:r>
              <w:rPr>
                <w:rFonts w:ascii="Arial" w:cs="Arial" w:eastAsia="Arial" w:hAnsi="Arial"/>
                <w:sz w:val="18"/>
                <w:szCs w:val="18"/>
                <w:color w:val="0E32E1"/>
              </w:rPr>
              <w:t>AUDIT COMMITTEE REPORT</w:t>
            </w:r>
          </w:p>
        </w:tc>
        <w:tc>
          <w:tcPr>
            <w:tcW w:w="4600" w:type="dxa"/>
            <w:vAlign w:val="bottom"/>
            <w:gridSpan w:val="3"/>
          </w:tcPr>
          <w:p>
            <w:pPr>
              <w:spacing w:after="0"/>
              <w:rPr>
                <w:sz w:val="18"/>
                <w:szCs w:val="18"/>
                <w:color w:val="auto"/>
              </w:rPr>
            </w:pPr>
          </w:p>
        </w:tc>
        <w:tc>
          <w:tcPr>
            <w:tcW w:w="200" w:type="dxa"/>
            <w:vAlign w:val="bottom"/>
            <w:tcBorders>
              <w:top w:val="single" w:sz="8" w:color="0E32E1"/>
            </w:tcBorders>
            <w:gridSpan w:val="2"/>
          </w:tcPr>
          <w:p>
            <w:pPr>
              <w:jc w:val="right"/>
              <w:spacing w:after="0"/>
              <w:rPr>
                <w:sz w:val="20"/>
                <w:szCs w:val="20"/>
                <w:color w:val="auto"/>
              </w:rPr>
            </w:pPr>
            <w:r>
              <w:rPr>
                <w:rFonts w:ascii="Arial" w:cs="Arial" w:eastAsia="Arial" w:hAnsi="Arial"/>
                <w:sz w:val="18"/>
                <w:szCs w:val="18"/>
                <w:color w:val="0E32E1"/>
                <w:w w:val="89"/>
              </w:rPr>
              <w:t>43</w:t>
            </w:r>
          </w:p>
        </w:tc>
        <w:tc>
          <w:tcPr>
            <w:tcW w:w="0" w:type="dxa"/>
            <w:vAlign w:val="bottom"/>
          </w:tcPr>
          <w:p>
            <w:pPr>
              <w:spacing w:after="0"/>
              <w:rPr>
                <w:sz w:val="1"/>
                <w:szCs w:val="1"/>
                <w:color w:val="auto"/>
              </w:rPr>
            </w:pPr>
          </w:p>
        </w:tc>
      </w:tr>
      <w:tr>
        <w:trPr>
          <w:trHeight w:val="20"/>
        </w:trPr>
        <w:tc>
          <w:tcPr>
            <w:tcW w:w="2280" w:type="dxa"/>
            <w:vAlign w:val="bottom"/>
            <w:gridSpan w:val="2"/>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7980" w:type="dxa"/>
            <w:vAlign w:val="bottom"/>
            <w:tcBorders>
              <w:left w:val="single" w:sz="8" w:color="0E32E1"/>
            </w:tcBorders>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00" w:type="dxa"/>
            <w:vAlign w:val="bottom"/>
            <w:gridSpan w:val="11"/>
          </w:tcPr>
          <w:p>
            <w:pPr>
              <w:spacing w:after="0"/>
              <w:rPr>
                <w:sz w:val="20"/>
                <w:szCs w:val="20"/>
                <w:color w:val="auto"/>
              </w:rPr>
            </w:pPr>
            <w:r>
              <w:rPr>
                <w:rFonts w:ascii="Arial" w:cs="Arial" w:eastAsia="Arial" w:hAnsi="Arial"/>
                <w:sz w:val="18"/>
                <w:szCs w:val="18"/>
                <w:color w:val="0000FF"/>
              </w:rPr>
              <w:t>PROPOSAL 3: APPROVAL OF AMENDMENT TO OUR RESTATED CERTIFICATE OF INCORPORATION TO UPDATE THE</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E32E1"/>
                <w:w w:val="89"/>
              </w:rPr>
              <w:t>44</w:t>
            </w:r>
          </w:p>
        </w:tc>
        <w:tc>
          <w:tcPr>
            <w:tcW w:w="0" w:type="dxa"/>
            <w:vAlign w:val="bottom"/>
          </w:tcPr>
          <w:p>
            <w:pPr>
              <w:spacing w:after="0"/>
              <w:rPr>
                <w:sz w:val="1"/>
                <w:szCs w:val="1"/>
                <w:color w:val="auto"/>
              </w:rPr>
            </w:pPr>
          </w:p>
        </w:tc>
      </w:tr>
      <w:tr>
        <w:trPr>
          <w:trHeight w:val="163"/>
        </w:trPr>
        <w:tc>
          <w:tcPr>
            <w:tcW w:w="242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EXCULPATION PROVISION</w:t>
            </w:r>
          </w:p>
        </w:tc>
        <w:tc>
          <w:tcPr>
            <w:tcW w:w="7980" w:type="dxa"/>
            <w:vAlign w:val="bottom"/>
            <w:tcBorders>
              <w:top w:val="single" w:sz="8" w:color="0000FF"/>
            </w:tcBorders>
            <w:gridSpan w:val="7"/>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0E32E1"/>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20" w:type="dxa"/>
            <w:vAlign w:val="bottom"/>
            <w:tcBorders>
              <w:bottom w:val="single" w:sz="8" w:color="0E32E1"/>
            </w:tcBorders>
            <w:gridSpan w:val="3"/>
          </w:tcPr>
          <w:p>
            <w:pPr>
              <w:spacing w:after="0"/>
              <w:rPr>
                <w:sz w:val="20"/>
                <w:szCs w:val="20"/>
                <w:color w:val="auto"/>
              </w:rPr>
            </w:pPr>
            <w:r>
              <w:rPr>
                <w:rFonts w:ascii="Arial" w:cs="Arial" w:eastAsia="Arial" w:hAnsi="Arial"/>
                <w:sz w:val="18"/>
                <w:szCs w:val="18"/>
                <w:color w:val="0E32E1"/>
                <w:w w:val="99"/>
              </w:rPr>
              <w:t>ADDITIONAL INFORMATION</w:t>
            </w:r>
          </w:p>
        </w:tc>
        <w:tc>
          <w:tcPr>
            <w:tcW w:w="8480" w:type="dxa"/>
            <w:vAlign w:val="bottom"/>
            <w:gridSpan w:val="8"/>
          </w:tcPr>
          <w:p>
            <w:pPr>
              <w:spacing w:after="0"/>
              <w:rPr>
                <w:sz w:val="18"/>
                <w:szCs w:val="18"/>
                <w:color w:val="auto"/>
              </w:rPr>
            </w:pPr>
          </w:p>
        </w:tc>
        <w:tc>
          <w:tcPr>
            <w:tcW w:w="200" w:type="dxa"/>
            <w:vAlign w:val="bottom"/>
            <w:tcBorders>
              <w:bottom w:val="single" w:sz="8" w:color="0E32E1"/>
            </w:tcBorders>
            <w:gridSpan w:val="2"/>
          </w:tcPr>
          <w:p>
            <w:pPr>
              <w:jc w:val="right"/>
              <w:spacing w:after="0"/>
              <w:rPr>
                <w:sz w:val="20"/>
                <w:szCs w:val="20"/>
                <w:color w:val="auto"/>
              </w:rPr>
            </w:pPr>
            <w:r>
              <w:rPr>
                <w:rFonts w:ascii="Arial" w:cs="Arial" w:eastAsia="Arial" w:hAnsi="Arial"/>
                <w:sz w:val="18"/>
                <w:szCs w:val="18"/>
                <w:color w:val="0E32E1"/>
                <w:w w:val="89"/>
              </w:rPr>
              <w:t>45</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Although we refer to our website in this proxy statement, the contents of our website are not included or incorporated by reference into this proxy statement. All references to our website in this proxy statement are intended to be inactive textual references only.</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1023620</wp:posOffset>
            </wp:positionV>
            <wp:extent cx="1714500"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2024 ANNUAL MEETING OF STOCKHOLDERS</w:t>
      </w:r>
    </w:p>
    <w:p>
      <w:pPr>
        <w:jc w:val="center"/>
        <w:spacing w:after="0"/>
        <w:rPr>
          <w:sz w:val="20"/>
          <w:szCs w:val="20"/>
          <w:color w:val="auto"/>
        </w:rPr>
      </w:pPr>
      <w:r>
        <w:rPr>
          <w:rFonts w:ascii="Arial" w:cs="Arial" w:eastAsia="Arial" w:hAnsi="Arial"/>
          <w:sz w:val="18"/>
          <w:szCs w:val="18"/>
          <w:b w:val="1"/>
          <w:bCs w:val="1"/>
          <w:color w:val="auto"/>
        </w:rPr>
        <w:t>TO BE HELD ON MAY 22, 2024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Perella Weinberg Partners is providing this proxy statement to you in connection with the solicitation of proxies by the board of directors for our 2024 Annual Meeting of Stockholders to be held on Wednesday, May 22, 2024, at 10:00 a.m. (Eastern Time) at http://www.virtualshareholdermeeting.com/PWP2024, and any adjournment or postponement of that meeting (the “Annual Meeting”). As a stockholder, you are invited to attend the Annual Meeting and are entitled and encouraged to vote on the proposals described in this proxy statement. On or about April 1, 2024, we mailed our stockholders a Notice of Internet Availability of Proxy Materials containing instructions on how to access our proxy statement and our 2023 Annual Report on Form 10-K.</w:t>
      </w:r>
    </w:p>
    <w:p>
      <w:pPr>
        <w:spacing w:after="0" w:line="15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PWP is a holding company and our only material assets are our partnership interests in PWP Holdings LP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this proxy statement, unless the context requires otherwise, any of the “Company,” “PWP,” “we,” “us” and “our” refers to Perella Weinberg Partners and its subsidiaries, and for periods prior to the reorganization in connection with our business combination (the “Business Combination”) refers to the advisory business of our predecessor company, PWP OpCo. In connection with the closing of our Business Combination, we acquired interests in PWP OpCo, which is jointly-owned by PWP, PWP Professional Partners LP (together with its successors (including pursuant to the Division and Merger (each as defined below)) and assigns, as applicable, “Professional Partners”) and certain existing partners of PWP OpCo. PWP OpCo serves as the Company’s operating partnership.</w:t>
      </w:r>
    </w:p>
    <w:p>
      <w:pPr>
        <w:spacing w:after="0" w:line="15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Perella Weinberg Partners was formed in June 2006 and became a publicly-traded company in June 2021. Our Class A common stock trades on the Nasdaq Global Select Market (“Nasdaq”) under the symbol “PWP.”</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answers to common questions stockholders may have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a Notice of Internet Availability of Proxy Materials instead of a full set of proxy materials?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rules adopted by the U.S. Securities and Exchange Commission (“SEC”), we are furnishing proxy materials to our stockholders online at www.proxyvote.com, rather than mailing printed copies of our proxy materials. We believe that this process expedites stockholders’ receipt of these materials, lowers the costs of our Annual Meeting and helps to conserve natural resources. If you received a Notice of Internet Availability of Proxy Materials by mail, you will not receive printed copies of the proxy materials unless you request them. Instead, the notice will contain instructions on how to access and review the proxy materials online, including this proxy statement and our annual report on Form 10-K for the fiscal year ended December 31, 2023, as well as the proxy card to vote online. If you would like printed copies of the proxy materials, please follow the instructions on the notice.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Only stockholders of record of PWP Class A common stock and Class B common stock as of the close of business on March 28, 2024 (the “Record Date”) are entitled to receive notice and to vote their shares at the Annual Meeting. As of the close of business on the Record Date, there were 53,386,941 shares of Class A common stock, 39,673,721 shares of Class B-1 common stock and 1,122,264 shares of Class B-2 common stock outstanding. Holders of our Class A common stock are entitled to one vote for each share, and holders of our Class B common stock are entitled to ten votes for each share. Holders of our Class A common stock and Class B common stock will vote as a single class on all matters at the Annual Meeting.</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vote all of the shares owned by you as of the close of business on the Record Date. These shares include shares that are</w:t>
      </w:r>
    </w:p>
    <w:p>
      <w:pPr>
        <w:spacing w:after="0" w:line="27" w:lineRule="exact"/>
        <w:rPr>
          <w:sz w:val="20"/>
          <w:szCs w:val="20"/>
          <w:color w:val="auto"/>
        </w:rPr>
      </w:pPr>
    </w:p>
    <w:p>
      <w:pPr>
        <w:jc w:val="both"/>
        <w:ind w:firstLine="8"/>
        <w:spacing w:after="0" w:line="258"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held of record directly in your name (in which case, you are a “record holder” with respect to such shares) and (ii) held for you as the beneficial owner through a broker, bank or other nominee. There are some distinctions between being a record holder and a beneficial owner, as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stockholder of record and a beneficial owner?</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American Stock Transfer &amp;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LLC, you are a stockholder of record.</w:t>
      </w:r>
    </w:p>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If your shares are held in a stock brokerage account or by a bank or other nominee, then you are a beneficial owner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held in “street name,” and the proxy materials were forwarded to you by your broker or other nominee who is considered, with respect to those shares, the stockholder of record. As a beneficial owner, you have the right to direct your broker or other nominee on how to vote the shares you hold in your account.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items will be voted on at the Annual Meeting?</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three proposals to be voted on at the Annual Meeting:</w:t>
      </w:r>
    </w:p>
    <w:p>
      <w:pPr>
        <w:spacing w:after="0" w:line="22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four directors to our board of directors;</w:t>
      </w:r>
    </w:p>
    <w:p>
      <w:pPr>
        <w:spacing w:after="0" w:line="225" w:lineRule="exact"/>
        <w:rPr>
          <w:rFonts w:ascii="Arial" w:cs="Arial" w:eastAsia="Arial" w:hAnsi="Arial"/>
          <w:sz w:val="18"/>
          <w:szCs w:val="18"/>
          <w:color w:val="auto"/>
        </w:rPr>
      </w:pPr>
    </w:p>
    <w:p>
      <w:pPr>
        <w:ind w:left="660" w:hanging="328"/>
        <w:spacing w:after="0" w:line="28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2024;</w:t>
      </w:r>
    </w:p>
    <w:p>
      <w:pPr>
        <w:spacing w:after="0" w:line="166" w:lineRule="exact"/>
        <w:rPr>
          <w:rFonts w:ascii="Arial" w:cs="Arial" w:eastAsia="Arial" w:hAnsi="Arial"/>
          <w:sz w:val="18"/>
          <w:szCs w:val="18"/>
          <w:color w:val="auto"/>
        </w:rPr>
      </w:pPr>
    </w:p>
    <w:p>
      <w:pPr>
        <w:ind w:left="660" w:right="280" w:hanging="328"/>
        <w:spacing w:after="0"/>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an amendment to the Company's Restated Certificate of Incorporation (the "Certificate of Incorporation") to update the exculpation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amended and restated bylaws (the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our board of directors will have discretion to vote on those matters.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w:t>
      </w:r>
    </w:p>
    <w:p>
      <w:pPr>
        <w:spacing w:after="0" w:line="225"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you vote “FOR” each of the nominees in Proposal 1; and</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you vote “FOR” the ratification of the appointment of Ernst &amp; Young LLP as our independent registered public accounting firm for 2024 in Proposal 2; and</w:t>
      </w:r>
    </w:p>
    <w:p>
      <w:pPr>
        <w:spacing w:after="0" w:line="152" w:lineRule="exact"/>
        <w:rPr>
          <w:rFonts w:ascii="Arial" w:cs="Arial" w:eastAsia="Arial" w:hAnsi="Arial"/>
          <w:sz w:val="18"/>
          <w:szCs w:val="18"/>
          <w:color w:val="auto"/>
        </w:rPr>
      </w:pPr>
    </w:p>
    <w:p>
      <w:pPr>
        <w:ind w:left="660" w:hanging="328"/>
        <w:spacing w:after="0" w:line="287"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you vote "FOR" the approval of an amendment to the Certificate of Incorporation to update the exculpation provision in Proposal 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 I need to do if I want to attend the meeting?</w:t>
      </w:r>
    </w:p>
    <w:p>
      <w:pPr>
        <w:spacing w:after="0" w:line="1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You may attend the Annual Meeting, as well as vote during the Annual Meeting, by visiting http://www.virtualshareholdermeeting.com/PWP2024. You will need your 16-digit control number, which appears in the notice, the proxy card or voting instructions that accompanied the proxy materials. In the event that you do not have a control number, please contact your broker, bank or other nominee as soon as possible so that you can be provided with a control number and gain access to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 at the Annual Meeting?</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presence, in person or represented by proxy, of holders of a majority in voting power of the Company’s capital stock entitled to vote constitutes a quorum. A quorum is required in order to hold and conduct business at the Annual Meeting.</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9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their instructions. If you are a stockholder of record, you can vote through the following methods:</w:t>
      </w:r>
    </w:p>
    <w:p>
      <w:pPr>
        <w:spacing w:after="0" w:line="153" w:lineRule="exact"/>
        <w:rPr>
          <w:sz w:val="20"/>
          <w:szCs w:val="20"/>
          <w:color w:val="auto"/>
        </w:rPr>
      </w:pPr>
    </w:p>
    <w:p>
      <w:pPr>
        <w:ind w:left="660" w:right="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You may vote via the Internet by visiting http://www.proxyvote.com and entering the 16-digit control number for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located on the Notice of Internet Availability of Proxy Materials or proxy card.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You may vote by telephone by calling the telephone number and following the instructions provided on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93" w:lineRule="exact"/>
        <w:rPr>
          <w:sz w:val="20"/>
          <w:szCs w:val="20"/>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If you requested that proxy materials be mailed to you, you will receive a proxy card with your proxy materials. You may vote</w:t>
      </w:r>
      <w:r>
        <w:rPr>
          <w:rFonts w:ascii="Arial" w:cs="Arial" w:eastAsia="Arial" w:hAnsi="Arial"/>
          <w:sz w:val="18"/>
          <w:szCs w:val="18"/>
          <w:i w:val="1"/>
          <w:iCs w:val="1"/>
          <w:color w:val="auto"/>
        </w:rPr>
        <w:t xml:space="preserve"> </w:t>
      </w:r>
      <w:r>
        <w:rPr>
          <w:rFonts w:ascii="Arial" w:cs="Arial" w:eastAsia="Arial" w:hAnsi="Arial"/>
          <w:sz w:val="18"/>
          <w:szCs w:val="18"/>
          <w:color w:val="auto"/>
        </w:rPr>
        <w:t>by filling out and signing the proxy card and returning it in the envelope provided. The proxy card must be received by the close of business on the day before the Annual Meeting.</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During the meeting. </w:t>
      </w:r>
      <w:r>
        <w:rPr>
          <w:rFonts w:ascii="Arial" w:cs="Arial" w:eastAsia="Arial" w:hAnsi="Arial"/>
          <w:sz w:val="18"/>
          <w:szCs w:val="18"/>
          <w:color w:val="auto"/>
        </w:rPr>
        <w:t>You can vote at the Annual Meeting online at http://www.virtualshareholdermeeting.com/PWP2024 by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16-digit control number included on your notice, on your proxy card, or in the voting instructions that accompanied your proxy materials.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for each proposal?</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four nominees receiving the largest number of “for” votes will be elected as directors. We do not have cumulative voting.</w:t>
      </w:r>
    </w:p>
    <w:p>
      <w:pPr>
        <w:spacing w:after="0" w:line="12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ratification of the Company’s independent registered public accounting firm and any other proposal that may come before the Annual Meeting will be determined by the vote of the holders of a majority of the voting power of the shares represented at the Annual Meeting and entitled to vote on such question, voting as a single class.</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approval of an amendment to the Certificate of Incorporation to update the exculpation provision requires the affirmative vote of the holders of at least two-thirds of the combined voting power of the shares entitled to vote in connection with the election of directors.</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the Record Date, PWP VoteCo Professionals LP ("VoteCo Professionals") owned all of our outstanding Class B-1 common stock. VoteCo Professionals is controlled by Perella Weinberg Partners LLC ("Professionals GP"). As the result of our stockholders agreement (the “Stockholders Agreement”) with Professional Partners, Professional Partners or its limited partners as of the date of the closing of our Business Combination or its or their respective successors or assigns maintain, directly or indirectly, ownership of PWP OpCo Class A partnership units that represent at least 10% of our issued and outstanding Class A common stock (calculated, without duplication, on the basis that all issued and outstanding PWP OpCo Class A partnership units not held by us or our subsidiaries had been exchanged for our Class A common stock) (the “Class B Condition”). For so long as the Class B Condition is satisfied, VoteCo Professionals has approval rights over significant corporate actions by us. Our board of directors will nominate individuals designated by VoteCo Professionals equal to a majority of the board of directors, for so long as the Class B Condition is satisfied.</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the Class B Condition ceases to be satisfied, for so long as VoteCo Professionals or its limited partners as of the date of closing or its or their respective successors or assigns maintain, directly or indirectly, ownership of PWP OpCo Class A partnership units that represent at least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VoteCo Professionals will have certain approval rights (including, among others, certain amendments to our Certificate of Incorporation and the Amended and Restated Agreement of Limited Partnership of PWP OpCo, as amended, restated, modified or supplemented from time to time (the “LP Agreement”)) and our board of directors will nominate individuals designated by VoteCo Professionals equal to one third of the board of directors. See “Certain Relationships and Related Person Transactions—PWP Related Party Transactions—Right of VoteCo Professionals and 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abstentions and broker non-votes counted?</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Abstentions and broker non-votes are counted for the purpose of establishing the presence of a quorum. If you hold your shares in street name and you do not vote, the broker or other organization holding your shares can vote on certain “routine” proposals but cannot vote on other proposals. Proposal 1 and Proposal 3 are not considered a “routine” proposal. If you hold shares in street name and do not vote on Proposal 1 or Proposal 3, your uninstructed shares will be counted as “broker non-votes.” Withheld votes and broker non-votes will have no effect on the outcome of Proposals 1 and 3. Proposal 2 is a “routine” proposal, and therefore brokers have discretion to vote uninstructed shares on Proposal 2. For Proposal 2, if you elect to abstain, the abstention will have the same effect as an "against"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specify how I want my shares voted?</w:t>
      </w:r>
    </w:p>
    <w:p>
      <w:pPr>
        <w:spacing w:after="0" w:line="19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If you are the record holder of your shares and submit your proxy without specifying how your shares are to be voted, your shares will be voted as follows:</w:t>
      </w:r>
    </w:p>
    <w:p>
      <w:pPr>
        <w:spacing w:after="0" w:line="11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election of each of the four nominees for directors;</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fiscal year ending December 31, 2024; and</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 amendment to the Certificate of Incorporation to update the exculpation provision.</w:t>
      </w:r>
    </w:p>
    <w:p>
      <w:pPr>
        <w:spacing w:after="0" w:line="1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the proxy holders named in the proxy are authorized to vote in their discretion on any other matters that may properly come before the Annual Meeting and at any postponement or adjournment thereof. The board of directors is not aware of any other items of business that will be presented for consideration at the Annual Meeting other than those described in this proxy statement.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submitting a proxy?</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Stockholders of record may revoke their proxy before the Annual Meeting by (i) delivering to the Company’s Corporate Secretary a written notice stating that a proxy is revoked, (ii) signing and delivering a proxy bearing a later date, (iii) voting again via the Internet or by telephone or (iv) attending and voting in person at the virtual Annual Meeting.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Street name stockholders who wish to change their votes should contact the organization that holds their shares.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this proxy solicitation?</w:t>
      </w:r>
    </w:p>
    <w:p>
      <w:pPr>
        <w:spacing w:after="0" w:line="1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is paying the costs of the solicitation of proxies.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voting results?</w:t>
      </w:r>
    </w:p>
    <w:p>
      <w:pPr>
        <w:spacing w:after="0" w:line="18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will file a Current Report on Form 8-K with the SEC announcing the final voting results from the Annual Meeting within four business days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share an address with another stockholder. Why did we receive only one set of proxy materials?</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Some banks, brokers and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nominee who holds your shares.</w:t>
      </w:r>
    </w:p>
    <w:p>
      <w:pPr>
        <w:spacing w:after="0" w:line="1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you would like to receive separate copies of our proxy materials in the future, or if you are receiving multiple copies and would like to receive only one copy per household, you should contact your bank, broker or other holder of record, or you may contact Investor Relations at investors@pwpartners.com or 767 Fifth Avenue, New York, NY 10153.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a list of stockholders available?</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names of stockholders of record entitled to vote at the Annual Meeting will be available to stockholders at least 10 days prior to our Annual Meeting at our principal executive offices located at 767 Fifth Avenue, New York, NY 10153 during normal business hours, and at the Annual Meeting. The list will also be available to stockholders at www.virtualshareholdermeeting.com/PWP2024 during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should I contact if I have additional questions?</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You can contact our Investor Relations department at investors@pwpartners.com or at our principal executive offices at 767 Fifth Avenue, New York, NY 10153. Stockholders who hold their shares in street name should contact the organization that holds their shares for additional information on how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1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Our board of directors is currently composed of nine directors, and are divided into three classes, designated Class I, Class II and Class</w:t>
      </w:r>
    </w:p>
    <w:p>
      <w:pPr>
        <w:spacing w:after="0" w:line="27" w:lineRule="exact"/>
        <w:rPr>
          <w:sz w:val="20"/>
          <w:szCs w:val="20"/>
          <w:color w:val="auto"/>
        </w:rPr>
      </w:pPr>
    </w:p>
    <w:p>
      <w:pPr>
        <w:jc w:val="both"/>
        <w:ind w:firstLine="8"/>
        <w:spacing w:after="0" w:line="258" w:lineRule="auto"/>
        <w:tabs>
          <w:tab w:leader="none" w:pos="2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Annual Meeting, stockholders will vote to elect as directors of the Company the four Class III directors. Each of the Class III directors elected at the Annual Meeting will hold office until the 2027 Annual Meeting of Stockholders, and until his or her respective successor has been duly elected and qualified.</w:t>
      </w:r>
    </w:p>
    <w:p>
      <w:pPr>
        <w:spacing w:after="0" w:line="15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board of directors has nominated Peter A. Weinberg, Dietrich Becker, Jane C. Sherburne and Elizabeth (Beth) Cogan Fascitelli for re-election as Class III directors at the Annual Meeting. The persons named as proxy holders will vote to elect each of these nominees unless a stockholder indicates that his or her shares should be withheld with respect to one or more of such nominees.</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our Business Combination, we entered into a Stockholders Agreement with Professional Partners, pursuant to which, for so long as the Class B Condition is satisfied, VoteCo Professionals has approval rights over significant corporate actions by us. Our board of directors will nominate individuals designated by VoteCo Professionals equal to a majority of the board of directors, for so long as the Class B Condition is satisfied.</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After the Class B Condition ceases to be satisfied, for so long as the Secondary Class B Condition is satisfied, VoteCo Professionals will have certain approval rights (including, among others, certain amendments to our Certificate of Incorporation and the LP Agreement) and our board of directors will nominate individuals designated by VoteCo Professionals equal to one third of the board of directors.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Should any of the nominees become unable to serve for any reason prior to the Annual Meeting, subject to the terms of the Stockholders’ Agreement, the board of directors may designate a substitute nominee, in which event the proxy holders will vote for the election of such substitute nominee, or may reduce the number of directors on the board of directors. See “Certain Relationships and Transactions—PWP Related Party Transactions—Right of VoteCo Professionals and Stockholders Agreement” for additional information regarding the Stockholders Agreement.</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determining that each director should be nominated for re-election, our board considered his or her service, business experience, prior directorships, qualifications, attributes and skills described in the biography set forth below under “Corporate Governance—Directors and Director Nominees.”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each of the director nominees in this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Director Nominees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list of our directors and their respective ages and a brief account of the business experience of each of them.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gridSpan w:val="2"/>
          </w:tcPr>
          <w:p>
            <w:pPr>
              <w:ind w:left="2600"/>
              <w:spacing w:after="0"/>
              <w:rPr>
                <w:sz w:val="20"/>
                <w:szCs w:val="20"/>
                <w:color w:val="auto"/>
              </w:rPr>
            </w:pPr>
            <w:r>
              <w:rPr>
                <w:rFonts w:ascii="Arial" w:cs="Arial" w:eastAsia="Arial" w:hAnsi="Arial"/>
                <w:sz w:val="18"/>
                <w:szCs w:val="18"/>
                <w:b w:val="1"/>
                <w:bCs w:val="1"/>
                <w:color w:val="auto"/>
              </w:rPr>
              <w:t>Name</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Age</w:t>
            </w:r>
          </w:p>
        </w:tc>
        <w:tc>
          <w:tcPr>
            <w:tcW w:w="4640" w:type="dxa"/>
            <w:vAlign w:val="bottom"/>
          </w:tcPr>
          <w:p>
            <w:pPr>
              <w:ind w:left="2080"/>
              <w:spacing w:after="0"/>
              <w:rPr>
                <w:sz w:val="20"/>
                <w:szCs w:val="20"/>
                <w:color w:val="auto"/>
              </w:rPr>
            </w:pPr>
            <w:r>
              <w:rPr>
                <w:rFonts w:ascii="Arial" w:cs="Arial" w:eastAsia="Arial" w:hAnsi="Arial"/>
                <w:sz w:val="18"/>
                <w:szCs w:val="18"/>
                <w:b w:val="1"/>
                <w:bCs w:val="1"/>
                <w:color w:val="auto"/>
              </w:rPr>
              <w:t>Class</w:t>
            </w:r>
          </w:p>
        </w:tc>
      </w:tr>
      <w:tr>
        <w:trPr>
          <w:trHeight w:val="223"/>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Peter A. Weinberg</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66</w:t>
            </w:r>
          </w:p>
        </w:tc>
        <w:tc>
          <w:tcPr>
            <w:tcW w:w="1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Class III</w:t>
            </w: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Joseph R. Perella</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82</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Class I</w:t>
            </w: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K. Steel</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72</w:t>
            </w:r>
          </w:p>
        </w:tc>
        <w:tc>
          <w:tcPr>
            <w:tcW w:w="12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II</w:t>
            </w: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Dietrich Becker</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Class III</w:t>
            </w:r>
          </w:p>
        </w:tc>
      </w:tr>
      <w:tr>
        <w:trPr>
          <w:trHeight w:val="230"/>
        </w:trPr>
        <w:tc>
          <w:tcPr>
            <w:tcW w:w="580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Andrew Bednar</w:t>
            </w:r>
          </w:p>
        </w:tc>
        <w:tc>
          <w:tcPr>
            <w:tcW w:w="6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CFF"/>
          </w:tcPr>
          <w:p>
            <w:pPr>
              <w:spacing w:after="0"/>
              <w:rPr>
                <w:sz w:val="19"/>
                <w:szCs w:val="19"/>
                <w:color w:val="auto"/>
              </w:rPr>
            </w:pPr>
          </w:p>
        </w:tc>
        <w:tc>
          <w:tcPr>
            <w:tcW w:w="4640" w:type="dxa"/>
            <w:vAlign w:val="bottom"/>
            <w:shd w:val="clear" w:color="auto" w:fill="CCECFF"/>
          </w:tcPr>
          <w:p>
            <w:pPr>
              <w:ind w:left="20"/>
              <w:spacing w:after="0"/>
              <w:rPr>
                <w:sz w:val="20"/>
                <w:szCs w:val="20"/>
                <w:color w:val="auto"/>
              </w:rPr>
            </w:pPr>
            <w:r>
              <w:rPr>
                <w:rFonts w:ascii="Arial" w:cs="Arial" w:eastAsia="Arial" w:hAnsi="Arial"/>
                <w:sz w:val="18"/>
                <w:szCs w:val="18"/>
                <w:color w:val="auto"/>
              </w:rPr>
              <w:t>Class II</w:t>
            </w: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Jorma Ollila</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73</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Class II</w:t>
            </w:r>
          </w:p>
        </w:tc>
      </w:tr>
      <w:tr>
        <w:trPr>
          <w:trHeight w:val="257"/>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Jane C. Sherburne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73</w:t>
            </w:r>
          </w:p>
        </w:tc>
        <w:tc>
          <w:tcPr>
            <w:tcW w:w="120" w:type="dxa"/>
            <w:vAlign w:val="bottom"/>
            <w:shd w:val="clear" w:color="auto" w:fill="CCEEFF"/>
          </w:tcPr>
          <w:p>
            <w:pPr>
              <w:spacing w:after="0"/>
              <w:rPr>
                <w:sz w:val="22"/>
                <w:szCs w:val="22"/>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III</w:t>
            </w: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Elizabeth (Beth) Cogan Fascitelli</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Class III</w:t>
            </w:r>
          </w:p>
        </w:tc>
      </w:tr>
      <w:tr>
        <w:trPr>
          <w:trHeight w:val="257"/>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Kristin W. Mugford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55</w:t>
            </w:r>
          </w:p>
        </w:tc>
        <w:tc>
          <w:tcPr>
            <w:tcW w:w="120" w:type="dxa"/>
            <w:vAlign w:val="bottom"/>
            <w:shd w:val="clear" w:color="auto" w:fill="CCEEFF"/>
          </w:tcPr>
          <w:p>
            <w:pPr>
              <w:spacing w:after="0"/>
              <w:rPr>
                <w:sz w:val="22"/>
                <w:szCs w:val="22"/>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II</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 Nominees for Election – Term Expiring 2027</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current term of the Class III directors will expire at the Annual Meeting. Our board of directors nominated each of Peter A. Weinberg, Dietrich Becker, Jane C. Sherburne and Elizabeth (Beth) Cogan Fascitelli for re-election at the Annual Meeting as a Class III director to hold office until the annual meeting of stockholders to be held in 2027 and until his or her successor is duly elected and qualified, or his or her earlier death, resignation, or removal.</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biography of each of the Class III directors standing for re-election at the Annual Meeting:</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is a Founding Partner of PWP, has served as our Chairman and a member of our board of directors since the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Business Combination in June 2021, and served as our Chief Executive Officer from February 2019 to January 2023.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 Administration from Harvard Business School. We believe that Mr. Weinberg is qualified to serve on our board of directors due to his extensive finance industry, investment banking and executive leadership experience.</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is a Founding Partner of PWP, has served as our President since January 2023, and has served as a member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since the closing of the Business Combination in June 2021. He served as Co-President from March 2020 to January 2023. Mr. Becker has over 30 years of investment banking experience. In addition to his current role, Mr. Becker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 We believe that Mr. Becker is qualified to serve on our board of directors due to his extensive finance industry, investment banking and executive leadership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Jane C. Sherburne </w:t>
      </w:r>
      <w:r>
        <w:rPr>
          <w:rFonts w:ascii="Arial" w:cs="Arial" w:eastAsia="Arial" w:hAnsi="Arial"/>
          <w:sz w:val="18"/>
          <w:szCs w:val="18"/>
          <w:color w:val="auto"/>
        </w:rPr>
        <w:t>has served as a member of our board of directors since the closing of the Business Combination in June 2021.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Sherburne is Principal of 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 We believe that Ms. Sherburne is qualified to serve on our board of directors due to her extensive legal and governance experience.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Elizabeth (Beth) Cogan Fascitelli </w:t>
      </w:r>
      <w:r>
        <w:rPr>
          <w:rFonts w:ascii="Arial" w:cs="Arial" w:eastAsia="Arial" w:hAnsi="Arial"/>
          <w:sz w:val="18"/>
          <w:szCs w:val="18"/>
          <w:color w:val="auto"/>
        </w:rPr>
        <w:t>has served as a member of our board of directors since May 24, 2022. Ms. Fascitelli worked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Goldman Sachs Group, Inc. from 1984 to 2020, most recently serving as a Partner and Managing Director and Chief Operating Officer of the Merchant Banking Division. Ms. Fascitelli is a director of Jaws Mustang Acquisition Corp. (NYSE: JWSM) and a former director of Carmike Cinemas, Cosmetics Plus Group, Globe Manufacturing, Neuromedical Systems, Whole Foods Market and Fortress Capital Acquisition. Ms. Fascitelli is a trustee of the nonprofit Partnership for Inner-City Education and Child Mind Institute and serves as a member of the Board of Trustees for Dartmouth College. Ms. Fascitelli earned a Bachelor of Arts from Dartmouth College and a Master’s in Business Administration from Harvard Business School. We believe that Ms. Fascitelli is qualified to serve on our board of directors due to her extensive financial industry and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and Class II Directors Continuing in Office</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is a Founding Partner of PWP, has served as our Chief Executive Officer since January 2023, and has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our board of directors since the closing of the Business Combination in June 2021. Mr. Bednar served as our Co-President from March 2020 to January 2023. Mr. Bednar has over 25 years of investment banking experience. In addition to his current role, Mr. Bednar is a partner in PWP’s Advisory business where he served as Co-Head of PWP’s Advisory business in the U.S. until 2013. Mr. Bednar also serves as the Chief Executive Officer of the general partner of PWP Capital Holdings LP (together with its subsidiaries, "PWP Capital Holdings"), which holds the former asset management business of PWP OpCo. Prior to joining PWP in 2006, Mr. Bednar was Head of U.S. Mergers &amp; Acquisitions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 We believe that Mr. Bednar is qualified to serve on our board of directors due to his extensive finance industry, investment banking and executive leadership experience.</w:t>
      </w:r>
    </w:p>
    <w:p>
      <w:pPr>
        <w:spacing w:after="0" w:line="1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Robert K. Steel </w:t>
      </w:r>
      <w:r>
        <w:rPr>
          <w:rFonts w:ascii="Arial" w:cs="Arial" w:eastAsia="Arial" w:hAnsi="Arial"/>
          <w:sz w:val="18"/>
          <w:szCs w:val="18"/>
          <w:color w:val="auto"/>
        </w:rPr>
        <w:t>is a Partner of PWP and has served as our Vice Chairman and a member of our board of directors since the closing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Business Combination in June 2021. Mr. Steel served as our Chief Executive Officer from 2014 until February 2019. Mr. Steel has over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Mr. Steel is a member of the board of directors of General Dynamics (NYSE:GD), where he serves on the Compensation Committee, the Finance and Benefit Plans Committee and the Sustainability Committee. Mr. Steel previously served on the board of directors of USHG Acquisition Corp. (NYSE:HUGS). He earned a Bachelor of Arts from Duke University and a Master’s in Business Administration from the University of Chicago’s Booth School of Business. We believe that Mr. Steel is qualified to serve on our board of directors due to his extensive finance industry and financial regulatory experience.</w:t>
      </w:r>
    </w:p>
    <w:p>
      <w:pPr>
        <w:spacing w:after="0" w:line="1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Jorma Ollila </w:t>
      </w:r>
      <w:r>
        <w:rPr>
          <w:rFonts w:ascii="Arial" w:cs="Arial" w:eastAsia="Arial" w:hAnsi="Arial"/>
          <w:sz w:val="18"/>
          <w:szCs w:val="18"/>
          <w:color w:val="auto"/>
        </w:rPr>
        <w:t>has served as a member of our board of directors since the closing of the Business Combination in June 2021. Mr. Ollila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Former Chairman and 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 We believe that Mr. Ollila is qualified to serve on our board of directors due to his extensive business management and financial industry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Kristin W. Mugford </w:t>
      </w:r>
      <w:r>
        <w:rPr>
          <w:rFonts w:ascii="Arial" w:cs="Arial" w:eastAsia="Arial" w:hAnsi="Arial"/>
          <w:sz w:val="18"/>
          <w:szCs w:val="18"/>
          <w:color w:val="auto"/>
        </w:rPr>
        <w:t>has served as a member of our board of directors since May 24, 2022. Ms. Mugford currently serves as the Melvin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Tukman Senior Lecturer of Business Administration in the Finance Unit at the Harvard Business School. Prior to joining academia, she spent nearly 20 years with Bain Capital Partners, LP, joining their private equity business in 1994, where she focused on the consumer and media industries. In 1998, she helped start Bain Capital Credit, LP (formerly known as Sankaty Advisors, LP), the credit affiliate of Bain Capital Partners, LP, where she was a senior member of the management and investment committee. Ms. Mugford began her career at the Walt Disney Company as a strategic planning analyst. Ms. Mugford is a member of the board of directors of Dollarama (TSE: DOL), where she is the Chair of the Human Resources and Compensation Committee and a member of the Audit Committee. Ms. Mugford earned a Bachelor of Arts with honors in economics from Harvard College and a Master’s in Business Administration from Harvard Business School as a Baker Scholar. We believe that Ms. Mugford is qualified to serve on our board of directors due to her extensive business consulting and finance industry experience.</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Joseph R. Perella </w:t>
      </w:r>
      <w:r>
        <w:rPr>
          <w:rFonts w:ascii="Arial" w:cs="Arial" w:eastAsia="Arial" w:hAnsi="Arial"/>
          <w:sz w:val="18"/>
          <w:szCs w:val="18"/>
          <w:color w:val="auto"/>
        </w:rPr>
        <w:t>is a Founding Partner of PWP and has served as our Chairman Emeritus and a member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closing of the Business Combination in June 2021. Mr. Perella served as our Chief Executive Officer from 2006 until 2014. Mr. Perella has approximately 50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Master’s in Business Administration from Harvard Business School. We believe that Mr. Perella is qualified to serve on our board of directors due to his extensive finance industry and business leadership experience, as well as his deep understanding of the Company's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Certificate of Incorporation and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board of directors is divided into three classes of nearly equal size. The current terms of the Class I, Class II and Class III directors will expire at our 2025, 2026 and 2024 annual meetings of our stockholders, respectively, and in each case, until his or her successor has been duly elected and qualified or until his or her earlier death, resignation or removal. Upon the expiration of each term, directors will subsequently serve three-year terms if re-nominated and re-elected. Our Class I director includes Mr. Perella, our Class II directors include Mr. Bednar, Mr. Ollila, Mr. Steel and Ms. Mugford, and our Class III directors include Mr. Weinberg, Ms. Sherburne, Mr. Becker and Ms. Fascitelli. There are no family relationships among any of our directors or executive officers.</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connection with the closing of the Business Combination, we entered into the Stockholders Agreement with Professional Partners. Under the Stockholders Agreement, for so long as the Class B Condition is satisfied, VoteCo Professionals will have the right to designate a number of directors equal to the majority of our board of directors. After the Class B Condition ceases to be satisfied, for so long as the Secondary Class B Condition is satisfied, VoteCo Professionals will have the right to designate a number of directors (rounded up to the nearest whole number) equal to one third of our board of directors. VoteCo Professionals will retain the right to remove any director previously designated by it, for so long as the Class B Condition or the Secondary Class B Condition is satisfied. See “Certain Relationships and Related Person Transactions—PWP Related Party Transactions—Right of VoteCo Professionals and 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15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“controlled” by the Limited Partners who manage VoteCo Professionals, and as a result, are a “controlled company” under Nasdaq rules.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Securities Exchange Act of 1934, as amended (the “Exchange Act”) and under the listing standards, (ii) that our board of directors have a compensation committee comprised solely of independent directors and (iii) that our board of directors either (A) have a nominations committee comprised solely of independent directors or (B) that independent directors constituting a majority of the board’s independent directors select or recommend director nominees in a vote in which only independent directors participate.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currently utilize the exemption from having either a nominations committee comprised solely of independent directors or the independent directors constituting a majority of the board's independent directors select or recommend director nominees. Our full board of directors participates in the consideration of nominees to our board. In addition, we do not have a majority of independent directors on our board of directors.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comply with the applicable requirements of the SEC and Nasdaq with respect to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Nasdaq rules, independent directors must comprise a majority of a listed company’s board of directors and each member of a listed company’s audit, compensation and nominations committees must be independent, subject to specified exceptions, including the "controlled company" exemptions discussed above. As discussed above, we have availed ourselves of the “controlled company” exception and, as a result, although we have an independent audit committee, we do not have a majority of independent directors on our board. Under Nasdaq rules, a director is independent only if our board of directors makes an affirmative determination that the individual does not have any relationship that would interfere with the exercise of independent judgment in carrying out the responsibilities of a director. The board has determined that Mr. Ollila, Ms. Sherburne, Ms. Fascitelli and Ms. Mugford are “independent directors” as that term is defined under Nasdaq rules.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our corporate governance guidelines, the board of directors does not require the separation of the offices of the chairman of the board of directors (the “Chairman”) and the chief executive officer of the Company (the “Chief Executive Officer”). These guidelines provide that the board of directors shall be free to choose its chairman in any way that it deems best for the Company at any given point in time. The roles of our Chairman and Chief Executive Officer were separated in January 2023, when Peter A. Weinberg ended his term as Chief Executive Officer, continuing to serve as our Chairman, and Andrew Bednar succeeded Mr. Weinberg as our Chief Executive Officer. The board believes that this leadership structure, with Mr. Weinberg as Chairman and Mr. Bednar as Chief Executive Officer, currently provides continuity for our board and facilitates our board’s efficient and effective functioning. As former Chief Executive Officer, as well as a Founding Partner of PWP, Mr. Weinberg is well-situated to serve as the Chairman because he is familiar with our business and industry and therefore able to identify the strategic priorities to be discussed by the board. The board also believes that the Chairman helps facilitate information flow between management and the board and fosters the development and execution of the Company's strategy.</w:t>
      </w:r>
    </w:p>
    <w:p>
      <w:pPr>
        <w:spacing w:after="0" w:line="1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board of directors periodically reviews its leadership structure and may make changes in the future. The Company does not have a lead independent director; however, an independent director presides over the executive sessions.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Role in Risk Oversight</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a number of risks, and we regularly identify and evaluate these risks and our risk management strategy. Management is principally responsible for identifying, evaluating and managing the risks on a day-to-day basis, under the oversight of the board of directors and the audit committee. Our audit committee is responsible for overseeing the guidelines and policies governing the process by which senior management and the relevant departments of the Company, including the internal audit function, assess and manage our exposure to risk, including cybersecurity risk, as well as any major litigation, regulatory, financial and reputational risk exposures and the steps management has taken to monitor and control such exposures. Additionally, our audit committee focuses on oversight of financial risks and the compensation committee makes recommendations to the board of directors regarding executive compensation plans and arrangements. The full board of directors keeps itself regularly informed regarding risks overseen by the audit committee through management and committee reports and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 Each committee has adopted a written charter, which we have posted on our website at http://www.pwpartners.com.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171" w:lineRule="exact"/>
        <w:rPr>
          <w:sz w:val="20"/>
          <w:szCs w:val="20"/>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members of our audit committee are Jorma Ollila, Jane C. Sherburne, Elizabeth (Beth) Cogan Fascitelli and Kristin W. Mugford. Jorma Ollila is the chairman of the audit committee. Our board of directors has determined that Jane C. Sherburne is an audit committee financial expert. The board of directors has determined that Jorma Ollila, Jane C. Sherburne, Elizabeth (Beth) Cogan Fascitelli and Kristin W. Mugford qualify as independent directors pursuant to Nasdaq rules and additional independence criteria set forth in Rule 10A-3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8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53" w:lineRule="exact"/>
        <w:rPr>
          <w:sz w:val="20"/>
          <w:szCs w:val="20"/>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policies, plans and programs relating to compensation and benefits of our directors, officers and employees;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compensation and the corporate goals and objectives relevant to compensation of our Chief Executive Officer;</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other executive officers in light of established goals and objectives; and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w:t>
      </w:r>
    </w:p>
    <w:p>
      <w:pPr>
        <w:spacing w:after="0" w:line="19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members of the compensation committee are Jorma Ollila, Jane C. Sherburne, Kristin W. Mugford and Elizabeth (Beth) Cogan Fascitelli. Jane C. Sherburne is the chairman of the compensation committee.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Annual Meeting Attendance</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2023, our board of directors held six meetings, our audit committee held five meetings and our compensation committee held five meetings. During 2023, each director attended at least 75% of the total number of meetings of the board of directors and committees on which the director served. The independent directors of the Company meet in executive session without management on a regularly scheduled basis. The Chairman, if an independent director, shall preside at such executive sessions, or if the Chairperson is not an independent director or in such director’s absence, an independent director designated by a majority of independent directors shall preside at such executive sessions.</w:t>
      </w:r>
    </w:p>
    <w:p>
      <w:pPr>
        <w:spacing w:after="0" w:line="15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Under our corporate governance guidelines, directors are expected to attend the Company’s annual meetings of stockholders. Seven of our directors attended our 2023 annual meeting of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do not have a nominations committee. Our full board of directors participates in the consideration of nominees to our board of directors other than as set forth below. The board of directors believes that input from all directors in the nominating process enhances the Company’s ability to identify, evaluate and select director nominees. In addition, our Stockholders Agreement provides that our board of directors will nominate individuals designated by VoteCo Professionals equal to a majority of the board of directors, for so long as the Class B Condition is satisfied and, thereafter, one quarter of the candidates for so long as the Secondary Class B Condition is satisfied. See “Certain Relationships and Related Person Transactions—PWP Related Party Transactions—Right of VoteCo Professionals and Stockholders Agreement”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considering candidates for nomination, the board of directors applies several criteria in selecting nominees. At a minimum, the board of directors considers (a) whether each such nominee has demonstrated, by significant accomplishment in his or her field, an ability to make a meaningful contribution to the board of directors’ oversight of the business and affairs of the Company and (b) the nominee’s reputation for honesty and ethical conduct in his or her personal and professional activities. Additional factors which the board of directors may consider include a candidate’s specific experiences and skills, expertise, diversity, personal and professional integrity, character, business judgment, time availability in light of other commitments, dedication, potential conflicts of interest and such other relevant factors that the board of directors considers appropriate in the context of the board of directors’ needs.</w:t>
      </w:r>
    </w:p>
    <w:p>
      <w:pPr>
        <w:spacing w:after="0" w:line="1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board of directors will consider a candidate nominated by a stockholder in a manner consistent with its evaluation of potential nominees, so long as the nomination meets the requirements of our bylaws, as summarized below.</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notice of nomination should include the information required by PWP’s bylaws,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stockholder’s name, record address, and name and principal place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age, business address, residence address, and principal occupation or employment of the nominee,</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class or series, and number of all shares of the Company’s stock owned beneficially or of record by the stockholder or the nominee,</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and the extent to which any derivative or other instrument, transaction, agreement, or arrangement has been entered into by the stockholder or the nominee with respect to the Company’s stock,</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description of all agreements or arrangements to which the stockholder or the nominee is a party with respect to the nomination, the Company or the Company’s stock,</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description of agreements or arrangements entered into by the stockholder or the nominee with the intent to mitigate loss, manage risk or benefit from changes in the stock price or increase or decrease the stockholder’s voting power,</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representation that the stockholder will attend the meeting in person or by proxy to nominate the persons named in its notice, and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information related to the stockholder or the nominee required to be disclosed in the solicitation of proxies for election of directors under federal securities laws.</w:t>
      </w:r>
    </w:p>
    <w:p>
      <w:pPr>
        <w:spacing w:after="0" w:line="11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notice must be accompanied by the nominee’s consent to be elected and to serve as a director and include certain representations and agreements by the nominee set forth in our bylaws.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notice must be updated, if necessary, so that the information is true and correct as of the record date for the meeting.</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Stockholder nominees should be submitted to the Company’s Corporate Secretary at the Company’s principal executive offices.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bylaws and other information reasonably requested by the Company within the timeframe described below under “Additional Information—Procedures for Submitting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When the Company or the board of directors is required by contractual obligation (including pursuant to the Stockholders Agreement) to nominate candidates designated by any person or entity, the selection and nomination of these directors is not subject to the above process.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stockholder or other interested parties who would like to communicate with the board of directors, the independent directors as a group or any specific member or members of the board of directors should send such communications to the attention of our Corporate Secretary at Perella Weinberg Partners, 767 Fifth Avenue, New York, NY 10153. Communications should contain instructions on which member or members of the board of directors the communication is intended for. Such communications will generally be forwarded to the intended recipients. However, our Corporate Secretary may, in his or her sole discretion, decline to forward any communications that are inappropriate.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board of directors has adopted corporate governance guidelines to assist the board of directors in the exercise of its responsibilities. The corporate governance guidelines are available in the Corporate Governance section of our Investor Relations website at https://investors.pwpartners.com.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Set forth below are biographical summaries of our executive officers as of March 1, 2024, other than Mr. Weinberg, our Chairman, Mr. Bednar, our Chief Executive Officer, and Mr. Becker, our President, each of whose biographical summary is set forth above in “Directors and Director Nominees.”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gridSpan w:val="2"/>
          </w:tcPr>
          <w:p>
            <w:pPr>
              <w:ind w:left="2600"/>
              <w:spacing w:after="0"/>
              <w:rPr>
                <w:sz w:val="20"/>
                <w:szCs w:val="20"/>
                <w:color w:val="auto"/>
              </w:rPr>
            </w:pPr>
            <w:r>
              <w:rPr>
                <w:rFonts w:ascii="Arial" w:cs="Arial" w:eastAsia="Arial" w:hAnsi="Arial"/>
                <w:sz w:val="18"/>
                <w:szCs w:val="18"/>
                <w:b w:val="1"/>
                <w:bCs w:val="1"/>
                <w:color w:val="auto"/>
              </w:rPr>
              <w:t>Name</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Age</w:t>
            </w:r>
          </w:p>
        </w:tc>
        <w:tc>
          <w:tcPr>
            <w:tcW w:w="4640" w:type="dxa"/>
            <w:vAlign w:val="bottom"/>
          </w:tcPr>
          <w:p>
            <w:pPr>
              <w:ind w:left="2140"/>
              <w:spacing w:after="0"/>
              <w:rPr>
                <w:sz w:val="20"/>
                <w:szCs w:val="20"/>
                <w:color w:val="auto"/>
              </w:rPr>
            </w:pPr>
            <w:r>
              <w:rPr>
                <w:rFonts w:ascii="Arial" w:cs="Arial" w:eastAsia="Arial" w:hAnsi="Arial"/>
                <w:sz w:val="18"/>
                <w:szCs w:val="18"/>
                <w:b w:val="1"/>
                <w:bCs w:val="1"/>
                <w:color w:val="auto"/>
              </w:rPr>
              <w:t>Title</w:t>
            </w:r>
          </w:p>
        </w:tc>
      </w:tr>
      <w:tr>
        <w:trPr>
          <w:trHeight w:val="223"/>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Alexandra Gottschalk</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Alexandra Gottschalk </w:t>
      </w:r>
      <w:r>
        <w:rPr>
          <w:rFonts w:ascii="Arial" w:cs="Arial" w:eastAsia="Arial" w:hAnsi="Arial"/>
          <w:sz w:val="18"/>
          <w:szCs w:val="18"/>
          <w:color w:val="auto"/>
        </w:rPr>
        <w:t>has served as our Chief Financial Officer since January 2024. Ms. Gottschalk is a seasoned financial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over 15 years of experience. Ms. Gottschalk served as Chief Accounting Officer of the Company since 2019. Ms. Gottschalk has also served as Controller of the Company or its business units (including TPH&amp;Co.) since 2010. Prior to that, she was with PwC in the firm’s Assurance practice and began her career at Deloitte in the International Tax Group. Ms. Gottschalk earned a Master of Science in Accountancy and a Bachelor of Business Administration in Accounting from the University of Houston Honors College. Additionally, she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2023, our non-employee directors were entitled to the following compensation for their service on our board of directors (as applicable): (i) an annual base retainer in the amount of $ 180,000, 50% of which is paid in the form of restricted stock units (“RSUs”) and 50% of which is paid in cash; (ii) a one-time grant of RSUs with a value of $50,000 upon initial appointment to our board of directors vesting in three equal installments on or about each anniversary of the grant date; (iii) an annual cash retainer of $20,000 for the chair of the audit committee; and (iv) an annual cash retainer of $20,000 for the chair of the compensation committee. Except for the one -time grant of RSUs upon initial appointment to our board of directors, all other RSUs will be granted on or about the date of our general annual stockholder meeting and will vest on the date of the next general annual stockholder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2023</w:t>
      </w:r>
    </w:p>
    <w:p>
      <w:pPr>
        <w:spacing w:after="0" w:line="19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total 2023 compensation of our non-employee directors is shown in the following table. We do not separately compensate our affiliated directors for their service on our board of directors.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Fees Earned or Paid in</w:t>
            </w:r>
          </w:p>
        </w:tc>
        <w:tc>
          <w:tcPr>
            <w:tcW w:w="260" w:type="dxa"/>
            <w:vAlign w:val="bottom"/>
          </w:tcPr>
          <w:p>
            <w:pPr>
              <w:spacing w:after="0"/>
              <w:rPr>
                <w:sz w:val="16"/>
                <w:szCs w:val="16"/>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1"/>
                <w:szCs w:val="21"/>
                <w:color w:val="auto"/>
                <w:vertAlign w:val="superscript"/>
              </w:rPr>
              <w:t>(2)</w:t>
            </w:r>
          </w:p>
        </w:tc>
        <w:tc>
          <w:tcPr>
            <w:tcW w:w="400" w:type="dxa"/>
            <w:vAlign w:val="bottom"/>
          </w:tcPr>
          <w:p>
            <w:pPr>
              <w:spacing w:after="0"/>
              <w:rPr>
                <w:sz w:val="16"/>
                <w:szCs w:val="16"/>
                <w:color w:val="auto"/>
              </w:rPr>
            </w:pPr>
          </w:p>
        </w:tc>
        <w:tc>
          <w:tcPr>
            <w:tcW w:w="1400" w:type="dxa"/>
            <w:vAlign w:val="bottom"/>
            <w:vMerge w:val="restart"/>
          </w:tcPr>
          <w:p>
            <w:pPr>
              <w:jc w:val="right"/>
              <w:ind w:right="6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6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591"/>
              <w:spacing w:after="0" w:line="216" w:lineRule="exact"/>
              <w:rPr>
                <w:sz w:val="20"/>
                <w:szCs w:val="20"/>
                <w:color w:val="auto"/>
              </w:rPr>
            </w:pPr>
            <w:r>
              <w:rPr>
                <w:rFonts w:ascii="Arial" w:cs="Arial" w:eastAsia="Arial" w:hAnsi="Arial"/>
                <w:sz w:val="16"/>
                <w:szCs w:val="16"/>
                <w:b w:val="1"/>
                <w:bCs w:val="1"/>
                <w:color w:val="auto"/>
              </w:rPr>
              <w:t>Cash</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Daniel G. Cohen</w:t>
            </w:r>
            <w:r>
              <w:rPr>
                <w:rFonts w:ascii="Arial" w:cs="Arial" w:eastAsia="Arial" w:hAnsi="Arial"/>
                <w:sz w:val="23"/>
                <w:szCs w:val="23"/>
                <w:color w:val="auto"/>
                <w:vertAlign w:val="superscript"/>
              </w:rPr>
              <w:t>(3)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25,500</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Elizabeth (Beth) Cogan Fascitelli</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90,000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90,903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180,903</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Kristin W. Mugford</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180,903</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Jorma Ollila</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110,000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90,903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200,903</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Ivan G. Seidenberg</w:t>
            </w:r>
            <w:r>
              <w:rPr>
                <w:rFonts w:ascii="Arial" w:cs="Arial" w:eastAsia="Arial" w:hAnsi="Arial"/>
                <w:sz w:val="23"/>
                <w:szCs w:val="23"/>
                <w:color w:val="auto"/>
                <w:vertAlign w:val="superscript"/>
              </w:rPr>
              <w:t>(3)</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25,125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25,125</w:t>
            </w:r>
          </w:p>
        </w:tc>
        <w:tc>
          <w:tcPr>
            <w:tcW w:w="0" w:type="dxa"/>
            <w:vAlign w:val="bottom"/>
          </w:tcPr>
          <w:p>
            <w:pPr>
              <w:spacing w:after="0"/>
              <w:rPr>
                <w:sz w:val="1"/>
                <w:szCs w:val="1"/>
                <w:color w:val="auto"/>
              </w:rPr>
            </w:pPr>
          </w:p>
        </w:tc>
      </w:tr>
      <w:tr>
        <w:trPr>
          <w:trHeight w:val="23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Jane C. Sherburne</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110,000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90,903</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200,903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shown in this column reflect the cash annual base retainer fees and committee fees earned for 2023.</w:t>
      </w:r>
    </w:p>
    <w:p>
      <w:pPr>
        <w:spacing w:after="0" w:line="15" w:lineRule="exact"/>
        <w:rPr>
          <w:rFonts w:ascii="Arial" w:cs="Arial" w:eastAsia="Arial" w:hAnsi="Arial"/>
          <w:sz w:val="14"/>
          <w:szCs w:val="14"/>
          <w:color w:val="auto"/>
        </w:rPr>
      </w:pPr>
    </w:p>
    <w:p>
      <w:pPr>
        <w:jc w:val="both"/>
        <w:ind w:left="340" w:hanging="332"/>
        <w:spacing w:after="0" w:line="256"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shown in this column represent the grant date fair value, calculated in accordance with FASB ASC Topic 718, of the service-based RSUs granted to our non-employee directors. For a summary of the assumptions used in the valuation of these awards, please see Note 12—Equity-Based Compensation to the consolidated financial statements in our 2023 Form 10-K. As of December 31, 2023, Ms. Fascitelli and Ms. Mugford each held 16,178 outstanding RSUs while Mr. Ollila and Ms. Sherburne each held 12,389 outstanding RSUs.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Cohen and Mr. Seidenberg both resigned from the board of directors in April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8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This section describes the compensation of our named executive officers (“NEOs”) for the periods presented below based on the reduced executive compensation disclosure requirements applicable to emerging growth companies.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NEOs for the fiscal year ended December 31, 2023 are:</w:t>
      </w:r>
    </w:p>
    <w:p>
      <w:pPr>
        <w:spacing w:after="0" w:line="18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Peter A. Weinberg, Chairman;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Andrew Bednar, Chief Executive Officer;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Dietrich Becker,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2023</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tcPr>
          <w:p>
            <w:pPr>
              <w:ind w:left="960"/>
              <w:spacing w:after="0"/>
              <w:rPr>
                <w:sz w:val="20"/>
                <w:szCs w:val="20"/>
                <w:color w:val="auto"/>
              </w:rPr>
            </w:pPr>
            <w:r>
              <w:rPr>
                <w:rFonts w:ascii="Arial" w:cs="Arial" w:eastAsia="Arial" w:hAnsi="Arial"/>
                <w:sz w:val="11"/>
                <w:szCs w:val="11"/>
                <w:b w:val="1"/>
                <w:bCs w:val="1"/>
                <w:color w:val="auto"/>
              </w:rPr>
              <w:t>Name and</w:t>
            </w:r>
          </w:p>
        </w:tc>
        <w:tc>
          <w:tcPr>
            <w:tcW w:w="100" w:type="dxa"/>
            <w:vAlign w:val="bottom"/>
          </w:tcPr>
          <w:p>
            <w:pPr>
              <w:spacing w:after="0"/>
              <w:rPr>
                <w:sz w:val="10"/>
                <w:szCs w:val="10"/>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Year</w:t>
            </w:r>
          </w:p>
        </w:tc>
        <w:tc>
          <w:tcPr>
            <w:tcW w:w="360" w:type="dxa"/>
            <w:vAlign w:val="bottom"/>
          </w:tcPr>
          <w:p>
            <w:pPr>
              <w:spacing w:after="0"/>
              <w:rPr>
                <w:sz w:val="10"/>
                <w:szCs w:val="10"/>
                <w:color w:val="auto"/>
              </w:rPr>
            </w:pPr>
          </w:p>
        </w:tc>
        <w:tc>
          <w:tcPr>
            <w:tcW w:w="1020" w:type="dxa"/>
            <w:vAlign w:val="bottom"/>
            <w:vMerge w:val="restart"/>
          </w:tcPr>
          <w:p>
            <w:pPr>
              <w:jc w:val="right"/>
              <w:ind w:right="386"/>
              <w:spacing w:after="0"/>
              <w:rPr>
                <w:sz w:val="20"/>
                <w:szCs w:val="20"/>
                <w:color w:val="auto"/>
              </w:rPr>
            </w:pPr>
            <w:r>
              <w:rPr>
                <w:rFonts w:ascii="Arial" w:cs="Arial" w:eastAsia="Arial" w:hAnsi="Arial"/>
                <w:sz w:val="11"/>
                <w:szCs w:val="11"/>
                <w:b w:val="1"/>
                <w:bCs w:val="1"/>
                <w:color w:val="auto"/>
              </w:rPr>
              <w:t>Salary</w:t>
            </w:r>
            <w:r>
              <w:rPr>
                <w:rFonts w:ascii="Arial" w:cs="Arial" w:eastAsia="Arial" w:hAnsi="Arial"/>
                <w:sz w:val="7"/>
                <w:szCs w:val="7"/>
                <w:color w:val="auto"/>
              </w:rPr>
              <w:t>(1)</w:t>
            </w:r>
          </w:p>
        </w:tc>
        <w:tc>
          <w:tcPr>
            <w:tcW w:w="220" w:type="dxa"/>
            <w:vAlign w:val="bottom"/>
          </w:tcPr>
          <w:p>
            <w:pPr>
              <w:spacing w:after="0"/>
              <w:rPr>
                <w:sz w:val="10"/>
                <w:szCs w:val="10"/>
                <w:color w:val="auto"/>
              </w:rPr>
            </w:pPr>
          </w:p>
        </w:tc>
        <w:tc>
          <w:tcPr>
            <w:tcW w:w="11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Cash Bonus</w:t>
            </w:r>
            <w:r>
              <w:rPr>
                <w:rFonts w:ascii="Arial" w:cs="Arial" w:eastAsia="Arial" w:hAnsi="Arial"/>
                <w:sz w:val="7"/>
                <w:szCs w:val="7"/>
                <w:color w:val="auto"/>
              </w:rPr>
              <w:t>(2)</w:t>
            </w:r>
          </w:p>
        </w:tc>
        <w:tc>
          <w:tcPr>
            <w:tcW w:w="240" w:type="dxa"/>
            <w:vAlign w:val="bottom"/>
          </w:tcPr>
          <w:p>
            <w:pPr>
              <w:spacing w:after="0"/>
              <w:rPr>
                <w:sz w:val="10"/>
                <w:szCs w:val="10"/>
                <w:color w:val="auto"/>
              </w:rPr>
            </w:pPr>
          </w:p>
        </w:tc>
        <w:tc>
          <w:tcPr>
            <w:tcW w:w="1080" w:type="dxa"/>
            <w:vAlign w:val="bottom"/>
          </w:tcPr>
          <w:p>
            <w:pPr>
              <w:jc w:val="right"/>
              <w:ind w:right="246"/>
              <w:spacing w:after="0"/>
              <w:rPr>
                <w:sz w:val="20"/>
                <w:szCs w:val="20"/>
                <w:color w:val="auto"/>
              </w:rPr>
            </w:pPr>
            <w:r>
              <w:rPr>
                <w:rFonts w:ascii="Arial" w:cs="Arial" w:eastAsia="Arial" w:hAnsi="Arial"/>
                <w:sz w:val="11"/>
                <w:szCs w:val="11"/>
                <w:b w:val="1"/>
                <w:bCs w:val="1"/>
                <w:color w:val="auto"/>
              </w:rPr>
              <w:t>Equity Bonus</w:t>
            </w:r>
          </w:p>
        </w:tc>
        <w:tc>
          <w:tcPr>
            <w:tcW w:w="140" w:type="dxa"/>
            <w:vAlign w:val="bottom"/>
          </w:tcPr>
          <w:p>
            <w:pPr>
              <w:spacing w:after="0"/>
              <w:rPr>
                <w:sz w:val="10"/>
                <w:szCs w:val="10"/>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b w:val="1"/>
                <w:bCs w:val="1"/>
                <w:color w:val="auto"/>
                <w:w w:val="96"/>
              </w:rPr>
              <w:t>Long-Term Incentive</w:t>
            </w:r>
          </w:p>
        </w:tc>
        <w:tc>
          <w:tcPr>
            <w:tcW w:w="200" w:type="dxa"/>
            <w:vAlign w:val="bottom"/>
          </w:tcPr>
          <w:p>
            <w:pPr>
              <w:spacing w:after="0"/>
              <w:rPr>
                <w:sz w:val="10"/>
                <w:szCs w:val="10"/>
                <w:color w:val="auto"/>
              </w:rPr>
            </w:pPr>
          </w:p>
        </w:tc>
        <w:tc>
          <w:tcPr>
            <w:tcW w:w="1140" w:type="dxa"/>
            <w:vAlign w:val="bottom"/>
          </w:tcPr>
          <w:p>
            <w:pPr>
              <w:jc w:val="right"/>
              <w:ind w:right="366"/>
              <w:spacing w:after="0"/>
              <w:rPr>
                <w:sz w:val="20"/>
                <w:szCs w:val="20"/>
                <w:color w:val="auto"/>
              </w:rPr>
            </w:pPr>
            <w:r>
              <w:rPr>
                <w:rFonts w:ascii="Arial" w:cs="Arial" w:eastAsia="Arial" w:hAnsi="Arial"/>
                <w:sz w:val="11"/>
                <w:szCs w:val="11"/>
                <w:b w:val="1"/>
                <w:bCs w:val="1"/>
                <w:color w:val="auto"/>
              </w:rPr>
              <w:t>All Other</w:t>
            </w:r>
          </w:p>
        </w:tc>
        <w:tc>
          <w:tcPr>
            <w:tcW w:w="340" w:type="dxa"/>
            <w:vAlign w:val="bottom"/>
          </w:tcPr>
          <w:p>
            <w:pPr>
              <w:spacing w:after="0"/>
              <w:rPr>
                <w:sz w:val="10"/>
                <w:szCs w:val="10"/>
                <w:color w:val="auto"/>
              </w:rPr>
            </w:pPr>
          </w:p>
        </w:tc>
        <w:tc>
          <w:tcPr>
            <w:tcW w:w="960" w:type="dxa"/>
            <w:vAlign w:val="bottom"/>
            <w:vMerge w:val="restart"/>
          </w:tcPr>
          <w:p>
            <w:pPr>
              <w:jc w:val="right"/>
              <w:ind w:right="4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600" w:type="dxa"/>
            <w:vAlign w:val="bottom"/>
          </w:tcPr>
          <w:p>
            <w:pPr>
              <w:ind w:left="840"/>
              <w:spacing w:after="0"/>
              <w:rPr>
                <w:sz w:val="20"/>
                <w:szCs w:val="20"/>
                <w:color w:val="auto"/>
              </w:rPr>
            </w:pPr>
            <w:r>
              <w:rPr>
                <w:rFonts w:ascii="Arial" w:cs="Arial" w:eastAsia="Arial" w:hAnsi="Arial"/>
                <w:sz w:val="11"/>
                <w:szCs w:val="11"/>
                <w:b w:val="1"/>
                <w:bCs w:val="1"/>
                <w:color w:val="auto"/>
              </w:rPr>
              <w:t>Principal Position</w:t>
            </w: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46"/>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7"/>
                <w:szCs w:val="7"/>
                <w:color w:val="auto"/>
              </w:rPr>
              <w:t>(3)</w:t>
            </w:r>
          </w:p>
        </w:tc>
        <w:tc>
          <w:tcPr>
            <w:tcW w:w="140" w:type="dxa"/>
            <w:vAlign w:val="bottom"/>
          </w:tcPr>
          <w:p>
            <w:pPr>
              <w:spacing w:after="0"/>
              <w:rPr>
                <w:sz w:val="13"/>
                <w:szCs w:val="13"/>
                <w:color w:val="auto"/>
              </w:rPr>
            </w:pPr>
          </w:p>
        </w:tc>
        <w:tc>
          <w:tcPr>
            <w:tcW w:w="1180" w:type="dxa"/>
            <w:vAlign w:val="bottom"/>
          </w:tcPr>
          <w:p>
            <w:pPr>
              <w:jc w:val="right"/>
              <w:ind w:right="346"/>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7"/>
                <w:szCs w:val="7"/>
                <w:color w:val="auto"/>
              </w:rPr>
              <w:t>(4)</w:t>
            </w:r>
          </w:p>
        </w:tc>
        <w:tc>
          <w:tcPr>
            <w:tcW w:w="200" w:type="dxa"/>
            <w:vAlign w:val="bottom"/>
          </w:tcPr>
          <w:p>
            <w:pPr>
              <w:spacing w:after="0"/>
              <w:rPr>
                <w:sz w:val="13"/>
                <w:szCs w:val="13"/>
                <w:color w:val="auto"/>
              </w:rPr>
            </w:pPr>
          </w:p>
        </w:tc>
        <w:tc>
          <w:tcPr>
            <w:tcW w:w="1140" w:type="dxa"/>
            <w:vAlign w:val="bottom"/>
          </w:tcPr>
          <w:p>
            <w:pPr>
              <w:jc w:val="right"/>
              <w:ind w:right="186"/>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7"/>
                <w:szCs w:val="7"/>
                <w:color w:val="auto"/>
              </w:rPr>
              <w:t>(5)</w:t>
            </w:r>
          </w:p>
        </w:tc>
        <w:tc>
          <w:tcPr>
            <w:tcW w:w="3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0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Peter A. Weinberg,</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2023</w:t>
            </w:r>
          </w:p>
        </w:tc>
        <w:tc>
          <w:tcPr>
            <w:tcW w:w="36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500,000</w:t>
            </w:r>
          </w:p>
        </w:tc>
        <w:tc>
          <w:tcPr>
            <w:tcW w:w="2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1,115,312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10,246,838</w:t>
            </w:r>
          </w:p>
        </w:tc>
        <w:tc>
          <w:tcPr>
            <w:tcW w:w="2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1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10,500</w:t>
            </w:r>
          </w:p>
        </w:tc>
        <w:tc>
          <w:tcPr>
            <w:tcW w:w="34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11,872,650</w:t>
            </w:r>
          </w:p>
        </w:tc>
        <w:tc>
          <w:tcPr>
            <w:tcW w:w="0" w:type="dxa"/>
            <w:vAlign w:val="bottom"/>
          </w:tcPr>
          <w:p>
            <w:pPr>
              <w:spacing w:after="0"/>
              <w:rPr>
                <w:sz w:val="1"/>
                <w:szCs w:val="1"/>
                <w:color w:val="auto"/>
              </w:rPr>
            </w:pPr>
          </w:p>
        </w:tc>
      </w:tr>
      <w:tr>
        <w:trPr>
          <w:trHeight w:val="88"/>
        </w:trPr>
        <w:tc>
          <w:tcPr>
            <w:tcW w:w="2600" w:type="dxa"/>
            <w:vAlign w:val="bottom"/>
            <w:vMerge w:val="restart"/>
            <w:shd w:val="clear" w:color="auto" w:fill="CCEEFF"/>
          </w:tcPr>
          <w:p>
            <w:pPr>
              <w:ind w:left="180"/>
              <w:spacing w:after="0"/>
              <w:rPr>
                <w:sz w:val="20"/>
                <w:szCs w:val="20"/>
                <w:color w:val="auto"/>
              </w:rPr>
            </w:pPr>
            <w:r>
              <w:rPr>
                <w:rFonts w:ascii="Arial" w:cs="Arial" w:eastAsia="Arial" w:hAnsi="Arial"/>
                <w:sz w:val="11"/>
                <w:szCs w:val="11"/>
                <w:i w:val="1"/>
                <w:iCs w:val="1"/>
                <w:color w:val="auto"/>
              </w:rPr>
              <w:t>Chairman</w:t>
            </w:r>
          </w:p>
        </w:tc>
        <w:tc>
          <w:tcPr>
            <w:tcW w:w="10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6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2022</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500,000</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2,690,250</w:t>
            </w:r>
          </w:p>
        </w:tc>
        <w:tc>
          <w:tcPr>
            <w:tcW w:w="2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3,555,680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10,500</w:t>
            </w:r>
          </w:p>
        </w:tc>
        <w:tc>
          <w:tcPr>
            <w:tcW w:w="34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6,756,430</w:t>
            </w:r>
          </w:p>
        </w:tc>
        <w:tc>
          <w:tcPr>
            <w:tcW w:w="0" w:type="dxa"/>
            <w:vAlign w:val="bottom"/>
          </w:tcPr>
          <w:p>
            <w:pPr>
              <w:spacing w:after="0"/>
              <w:rPr>
                <w:sz w:val="1"/>
                <w:szCs w:val="1"/>
                <w:color w:val="auto"/>
              </w:rPr>
            </w:pPr>
          </w:p>
        </w:tc>
      </w:tr>
      <w:tr>
        <w:trPr>
          <w:trHeight w:val="108"/>
        </w:trPr>
        <w:tc>
          <w:tcPr>
            <w:tcW w:w="2600" w:type="dxa"/>
            <w:vAlign w:val="bottom"/>
          </w:tcPr>
          <w:p>
            <w:pPr>
              <w:ind w:left="20"/>
              <w:spacing w:after="0" w:line="109" w:lineRule="exact"/>
              <w:rPr>
                <w:sz w:val="20"/>
                <w:szCs w:val="20"/>
                <w:color w:val="auto"/>
              </w:rPr>
            </w:pPr>
            <w:r>
              <w:rPr>
                <w:rFonts w:ascii="Arial" w:cs="Arial" w:eastAsia="Arial" w:hAnsi="Arial"/>
                <w:sz w:val="11"/>
                <w:szCs w:val="11"/>
                <w:b w:val="1"/>
                <w:bCs w:val="1"/>
                <w:color w:val="auto"/>
              </w:rPr>
              <w:t>Andrew Bednar,</w:t>
            </w:r>
          </w:p>
        </w:tc>
        <w:tc>
          <w:tcPr>
            <w:tcW w:w="640" w:type="dxa"/>
            <w:vAlign w:val="bottom"/>
            <w:gridSpan w:val="2"/>
            <w:vMerge w:val="restart"/>
          </w:tcPr>
          <w:p>
            <w:pPr>
              <w:ind w:left="260"/>
              <w:spacing w:after="0"/>
              <w:rPr>
                <w:sz w:val="20"/>
                <w:szCs w:val="20"/>
                <w:color w:val="auto"/>
              </w:rPr>
            </w:pPr>
            <w:r>
              <w:rPr>
                <w:rFonts w:ascii="Arial" w:cs="Arial" w:eastAsia="Arial" w:hAnsi="Arial"/>
                <w:sz w:val="11"/>
                <w:szCs w:val="11"/>
                <w:color w:val="auto"/>
              </w:rPr>
              <w:t>2023</w:t>
            </w:r>
          </w:p>
        </w:tc>
        <w:tc>
          <w:tcPr>
            <w:tcW w:w="36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46"/>
              <w:spacing w:after="0"/>
              <w:rPr>
                <w:sz w:val="20"/>
                <w:szCs w:val="20"/>
                <w:color w:val="auto"/>
              </w:rPr>
            </w:pPr>
            <w:r>
              <w:rPr>
                <w:rFonts w:ascii="Arial" w:cs="Arial" w:eastAsia="Arial" w:hAnsi="Arial"/>
                <w:sz w:val="11"/>
                <w:szCs w:val="11"/>
                <w:color w:val="auto"/>
              </w:rPr>
              <w:t>500,000</w:t>
            </w:r>
          </w:p>
        </w:tc>
        <w:tc>
          <w:tcPr>
            <w:tcW w:w="22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26"/>
              <w:spacing w:after="0"/>
              <w:rPr>
                <w:sz w:val="20"/>
                <w:szCs w:val="20"/>
                <w:color w:val="auto"/>
              </w:rPr>
            </w:pPr>
            <w:r>
              <w:rPr>
                <w:rFonts w:ascii="Arial" w:cs="Arial" w:eastAsia="Arial" w:hAnsi="Arial"/>
                <w:sz w:val="11"/>
                <w:szCs w:val="11"/>
                <w:color w:val="auto"/>
              </w:rPr>
              <w:t>4,846,000</w:t>
            </w:r>
          </w:p>
        </w:tc>
        <w:tc>
          <w:tcPr>
            <w:tcW w:w="2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vMerge w:val="restart"/>
          </w:tcPr>
          <w:p>
            <w:pPr>
              <w:jc w:val="right"/>
              <w:ind w:right="26"/>
              <w:spacing w:after="0"/>
              <w:rPr>
                <w:sz w:val="20"/>
                <w:szCs w:val="20"/>
                <w:color w:val="auto"/>
              </w:rPr>
            </w:pPr>
            <w:r>
              <w:rPr>
                <w:rFonts w:ascii="Arial" w:cs="Arial" w:eastAsia="Arial" w:hAnsi="Arial"/>
                <w:sz w:val="11"/>
                <w:szCs w:val="11"/>
                <w:color w:val="auto"/>
              </w:rPr>
              <w:t>1,032,935</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180" w:type="dxa"/>
            <w:vAlign w:val="bottom"/>
            <w:vMerge w:val="restart"/>
          </w:tcPr>
          <w:p>
            <w:pPr>
              <w:jc w:val="right"/>
              <w:ind w:right="26"/>
              <w:spacing w:after="0"/>
              <w:rPr>
                <w:sz w:val="20"/>
                <w:szCs w:val="20"/>
                <w:color w:val="auto"/>
              </w:rPr>
            </w:pPr>
            <w:r>
              <w:rPr>
                <w:rFonts w:ascii="Arial" w:cs="Arial" w:eastAsia="Arial" w:hAnsi="Arial"/>
                <w:sz w:val="11"/>
                <w:szCs w:val="11"/>
                <w:color w:val="auto"/>
              </w:rPr>
              <w:t>6,015,135</w:t>
            </w:r>
          </w:p>
        </w:tc>
        <w:tc>
          <w:tcPr>
            <w:tcW w:w="2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140" w:type="dxa"/>
            <w:vAlign w:val="bottom"/>
            <w:vMerge w:val="restart"/>
          </w:tcPr>
          <w:p>
            <w:pPr>
              <w:jc w:val="right"/>
              <w:ind w:right="26"/>
              <w:spacing w:after="0"/>
              <w:rPr>
                <w:sz w:val="20"/>
                <w:szCs w:val="20"/>
                <w:color w:val="auto"/>
              </w:rPr>
            </w:pPr>
            <w:r>
              <w:rPr>
                <w:rFonts w:ascii="Arial" w:cs="Arial" w:eastAsia="Arial" w:hAnsi="Arial"/>
                <w:sz w:val="11"/>
                <w:szCs w:val="11"/>
                <w:color w:val="auto"/>
              </w:rPr>
              <w:t>10,500</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12,404,570</w:t>
            </w:r>
          </w:p>
        </w:tc>
        <w:tc>
          <w:tcPr>
            <w:tcW w:w="0" w:type="dxa"/>
            <w:vAlign w:val="bottom"/>
          </w:tcPr>
          <w:p>
            <w:pPr>
              <w:spacing w:after="0"/>
              <w:rPr>
                <w:sz w:val="1"/>
                <w:szCs w:val="1"/>
                <w:color w:val="auto"/>
              </w:rPr>
            </w:pPr>
          </w:p>
        </w:tc>
      </w:tr>
      <w:tr>
        <w:trPr>
          <w:trHeight w:val="88"/>
        </w:trPr>
        <w:tc>
          <w:tcPr>
            <w:tcW w:w="2600" w:type="dxa"/>
            <w:vAlign w:val="bottom"/>
            <w:vMerge w:val="restart"/>
          </w:tcPr>
          <w:p>
            <w:pPr>
              <w:ind w:left="180"/>
              <w:spacing w:after="0"/>
              <w:rPr>
                <w:sz w:val="20"/>
                <w:szCs w:val="20"/>
                <w:color w:val="auto"/>
              </w:rPr>
            </w:pPr>
            <w:r>
              <w:rPr>
                <w:rFonts w:ascii="Arial" w:cs="Arial" w:eastAsia="Arial" w:hAnsi="Arial"/>
                <w:sz w:val="11"/>
                <w:szCs w:val="11"/>
                <w:i w:val="1"/>
                <w:iCs w:val="1"/>
                <w:color w:val="auto"/>
              </w:rPr>
              <w:t>Chief Executive Officer</w:t>
            </w:r>
          </w:p>
        </w:tc>
        <w:tc>
          <w:tcPr>
            <w:tcW w:w="64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6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1"/>
                <w:szCs w:val="11"/>
                <w:color w:val="auto"/>
              </w:rPr>
              <w:t>2022</w:t>
            </w:r>
          </w:p>
        </w:tc>
        <w:tc>
          <w:tcPr>
            <w:tcW w:w="3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500,000</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2,527,750</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2,807,505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10,500</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5,845,755</w:t>
            </w:r>
          </w:p>
        </w:tc>
        <w:tc>
          <w:tcPr>
            <w:tcW w:w="0" w:type="dxa"/>
            <w:vAlign w:val="bottom"/>
          </w:tcPr>
          <w:p>
            <w:pPr>
              <w:spacing w:after="0"/>
              <w:rPr>
                <w:sz w:val="1"/>
                <w:szCs w:val="1"/>
                <w:color w:val="auto"/>
              </w:rPr>
            </w:pPr>
          </w:p>
        </w:tc>
      </w:tr>
      <w:tr>
        <w:trPr>
          <w:trHeight w:val="118"/>
        </w:trPr>
        <w:tc>
          <w:tcPr>
            <w:tcW w:w="26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b w:val="1"/>
                <w:bCs w:val="1"/>
                <w:color w:val="auto"/>
              </w:rPr>
              <w:t>Dietrich Becker,</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2023</w:t>
            </w:r>
          </w:p>
        </w:tc>
        <w:tc>
          <w:tcPr>
            <w:tcW w:w="36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478,643</w:t>
            </w:r>
          </w:p>
        </w:tc>
        <w:tc>
          <w:tcPr>
            <w:tcW w:w="2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3,209,585</w:t>
            </w:r>
          </w:p>
        </w:tc>
        <w:tc>
          <w:tcPr>
            <w:tcW w:w="2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1,040,385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1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17,550</w:t>
            </w:r>
          </w:p>
        </w:tc>
        <w:tc>
          <w:tcPr>
            <w:tcW w:w="34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4,746,163</w:t>
            </w: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President</w:t>
            </w:r>
            <w:r>
              <w:rPr>
                <w:rFonts w:ascii="Arial" w:cs="Arial" w:eastAsia="Arial" w:hAnsi="Arial"/>
                <w:sz w:val="7"/>
                <w:szCs w:val="7"/>
                <w:color w:val="auto"/>
              </w:rPr>
              <w:t>(6)</w:t>
            </w:r>
          </w:p>
        </w:tc>
        <w:tc>
          <w:tcPr>
            <w:tcW w:w="1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2022</w:t>
            </w:r>
          </w:p>
        </w:tc>
        <w:tc>
          <w:tcPr>
            <w:tcW w:w="3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474,434</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2,542,440</w:t>
            </w:r>
          </w:p>
        </w:tc>
        <w:tc>
          <w:tcPr>
            <w:tcW w:w="2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2,800,055</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18,977</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5,835,906</w:t>
            </w: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Amounts shown in this column reflect the annual base salary earned by each of our NEOs during the applicable calendar year.</w:t>
      </w:r>
    </w:p>
    <w:p>
      <w:pPr>
        <w:spacing w:after="0" w:line="15" w:lineRule="exact"/>
        <w:rPr>
          <w:rFonts w:ascii="Arial" w:cs="Arial" w:eastAsia="Arial" w:hAnsi="Arial"/>
          <w:sz w:val="11"/>
          <w:szCs w:val="11"/>
          <w:color w:val="auto"/>
        </w:rPr>
      </w:pPr>
    </w:p>
    <w:p>
      <w:pPr>
        <w:jc w:val="both"/>
        <w:ind w:left="340" w:hanging="332"/>
        <w:spacing w:after="0" w:line="243" w:lineRule="auto"/>
        <w:tabs>
          <w:tab w:leader="none" w:pos="337" w:val="left"/>
        </w:tabs>
        <w:numPr>
          <w:ilvl w:val="0"/>
          <w:numId w:val="18"/>
        </w:numPr>
        <w:rPr>
          <w:rFonts w:ascii="Arial" w:cs="Arial" w:eastAsia="Arial" w:hAnsi="Arial"/>
          <w:sz w:val="11"/>
          <w:szCs w:val="11"/>
          <w:color w:val="auto"/>
        </w:rPr>
      </w:pPr>
      <w:r>
        <w:rPr>
          <w:rFonts w:ascii="Arial" w:cs="Arial" w:eastAsia="Arial" w:hAnsi="Arial"/>
          <w:sz w:val="11"/>
          <w:szCs w:val="11"/>
          <w:color w:val="auto"/>
        </w:rPr>
        <w:t>Amounts shown in this column represent the cash bonuses paid to or earned by each of our NEOs in respect of performance during the applicable calendar year. In accordance with SEC rules, the entire cash portion of our annual incentive bonuses for each of 2023 and 2022 performance is reported in the “Cash Bonus” column of the Summary Compensation Table for the applicable year. Our annual incentive bonuses for 2023 and 2022 were paid partly in cash and partly in RSUs granted under the Perella Weinberg Partners 2021 Omnibus Incentive Plan (the “Incentive Plan”), as described in greater detail in the section entitled “—Executive Compensation Elements— Annual Incentive Bonuses” below. Mr. Weinberg did not participate in our annual incentive bonus program for 2023, as described in the same section below.</w:t>
      </w:r>
    </w:p>
    <w:p>
      <w:pPr>
        <w:jc w:val="both"/>
        <w:ind w:left="340" w:hanging="332"/>
        <w:spacing w:after="0" w:line="269" w:lineRule="auto"/>
        <w:tabs>
          <w:tab w:leader="none" w:pos="337" w:val="left"/>
        </w:tabs>
        <w:numPr>
          <w:ilvl w:val="0"/>
          <w:numId w:val="18"/>
        </w:numPr>
        <w:rPr>
          <w:rFonts w:ascii="Arial" w:cs="Arial" w:eastAsia="Arial" w:hAnsi="Arial"/>
          <w:sz w:val="10"/>
          <w:szCs w:val="10"/>
          <w:color w:val="auto"/>
        </w:rPr>
      </w:pPr>
      <w:r>
        <w:rPr>
          <w:rFonts w:ascii="Arial" w:cs="Arial" w:eastAsia="Arial" w:hAnsi="Arial"/>
          <w:sz w:val="10"/>
          <w:szCs w:val="10"/>
          <w:color w:val="auto"/>
        </w:rPr>
        <w:t>Amounts shown in this column represent the grant date fair value, calculated in accordance with FASB ASC Topic 718, of the equity-based portion of our annual incentive bonuses (the "Equity Bonus Awards") granted to each of our NEOs for 2022 and 2021 performance. The Equity Bonus Awards for 2022 performance were granted in the first quarter of 2023 on the tenth trading day after our earnings release for the year ended December 31, 2022. The Equity Bonus Awards for 2021 performance were granted in the first quarter of 2022 on the tenth trading day after our earnings release for the year ended December 31, 2021. The amounts set forth in the "Equity Bonus Awards" column with respect to the Equity Bonus Awards granted to each of our NEOs for 2022 and 2021 performance are based on the closing price of PWP Class A common stock on the date of grant of $10.15 and $9.96 per share, respectively. The Equity Bonus Awards for 2023 performance were granted in the first quarter of 2024 on the fifth trading day after our earnings release for the year ended December 31, 2023, and in accordance with SEC rules, the grant date fair value of such awards will not be reported in the “Equity Bonus Awards” column of the Summary Compensation Table for 2023 but will instead be included in the “Equity Bonus Awards” column of the Summary Compensation Table for 2024. The Equity Bonus Awards are service-based RSUs that vest in equal installments over three years, subject generally to continued service on each vesting date.</w:t>
      </w:r>
    </w:p>
    <w:p>
      <w:pPr>
        <w:spacing w:after="0" w:line="2" w:lineRule="exact"/>
        <w:rPr>
          <w:rFonts w:ascii="Arial" w:cs="Arial" w:eastAsia="Arial" w:hAnsi="Arial"/>
          <w:sz w:val="10"/>
          <w:szCs w:val="10"/>
          <w:color w:val="auto"/>
        </w:rPr>
      </w:pPr>
    </w:p>
    <w:p>
      <w:pPr>
        <w:jc w:val="both"/>
        <w:ind w:left="340" w:hanging="332"/>
        <w:spacing w:after="0" w:line="245" w:lineRule="auto"/>
        <w:tabs>
          <w:tab w:leader="none" w:pos="337"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amount shown in this column for Mr. Weinberg represents the incremental compensation cost, calculated in accordance with FASB ASC Topic 718, recognized by the Company in connection with the modification of the long-term RSUs (the “Long-Term Incentive Awards”) previously granted to him in August 2021 in connection with the Business Combination. The amount shown in this column for Mr. Bednar represents the grant date fair value, calculated in accordance with FASB ASC Topic 718, of the additional performance-based Long-Term Incentive Awards granted to him in 2023 in connection with his appointment as our Chief Executive Officer effective as of January 1, 2023. The Long-Term Incentive Awards (including the modification in August 2023 of Mr. Weinberg’s original grant and the additional grant in February 2023 to Mr. Bednar) are described in greater detail in the section entitled “—Executive Compensation Elements—Long-Term Incentive Awards” below.</w:t>
      </w:r>
    </w:p>
    <w:p>
      <w:pPr>
        <w:spacing w:after="0" w:line="2" w:lineRule="exact"/>
        <w:rPr>
          <w:rFonts w:ascii="Arial" w:cs="Arial" w:eastAsia="Arial" w:hAnsi="Arial"/>
          <w:sz w:val="11"/>
          <w:szCs w:val="11"/>
          <w:color w:val="auto"/>
        </w:rPr>
      </w:pPr>
    </w:p>
    <w:p>
      <w:pPr>
        <w:jc w:val="both"/>
        <w:ind w:left="340" w:hanging="332"/>
        <w:spacing w:after="0" w:line="247" w:lineRule="auto"/>
        <w:tabs>
          <w:tab w:leader="none" w:pos="337" w:val="left"/>
        </w:tabs>
        <w:numPr>
          <w:ilvl w:val="0"/>
          <w:numId w:val="18"/>
        </w:numPr>
        <w:rPr>
          <w:rFonts w:ascii="Arial" w:cs="Arial" w:eastAsia="Arial" w:hAnsi="Arial"/>
          <w:sz w:val="11"/>
          <w:szCs w:val="11"/>
          <w:color w:val="auto"/>
        </w:rPr>
      </w:pPr>
      <w:r>
        <w:rPr>
          <w:rFonts w:ascii="Arial" w:cs="Arial" w:eastAsia="Arial" w:hAnsi="Arial"/>
          <w:sz w:val="11"/>
          <w:szCs w:val="11"/>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“—Executive Compensation Elements—Retirement Arrangements” below.</w:t>
      </w:r>
    </w:p>
    <w:p>
      <w:pPr>
        <w:ind w:left="340" w:hanging="332"/>
        <w:spacing w:after="0" w:line="246" w:lineRule="auto"/>
        <w:tabs>
          <w:tab w:leader="none" w:pos="337" w:val="left"/>
        </w:tabs>
        <w:numPr>
          <w:ilvl w:val="0"/>
          <w:numId w:val="18"/>
        </w:numPr>
        <w:rPr>
          <w:rFonts w:ascii="Arial" w:cs="Arial" w:eastAsia="Arial" w:hAnsi="Arial"/>
          <w:sz w:val="11"/>
          <w:szCs w:val="11"/>
          <w:color w:val="auto"/>
        </w:rPr>
      </w:pPr>
      <w:r>
        <w:rPr>
          <w:rFonts w:ascii="Arial" w:cs="Arial" w:eastAsia="Arial" w:hAnsi="Arial"/>
          <w:sz w:val="11"/>
          <w:szCs w:val="11"/>
          <w:color w:val="auto"/>
        </w:rPr>
        <w:t>Amounts shown in this table for Mr. Becker, other than in the "Long-Term incentive Awards," "Equity Bonus Awards" and “Total Stock Awards” columns, have been converted from pounds sterling to U.S. dollars using the exchange rates of approximately $1.24 and $1.23 for 2023 and 2022,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Elements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NEOs were provided with the following material elements of compensation in 2023 and 2022: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9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provide annual base salaries to each of our NEOs. Consistent with the practice in our industry, base salaries for our NEOs generally comprise a small portion of their total annual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Bonuses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Annual incentive bonuses are the key component of our short-term executive compensation strategy. We did not set specific performance targets upon which annual incentive bonuses would become payable for the applicable year. Instead, the annual incentive bonuses payable to our NEOs in respect of the applicable year are discretionary in amount and are based on a performance evaluation conducted by our compensation committee in consultation with our Chairman and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2023 and 2022.</w:t>
      </w:r>
    </w:p>
    <w:p>
      <w:pPr>
        <w:spacing w:after="0" w:line="1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2023, the annual incentive bonuses were payable partly in cash and partly in RSUs granted under the Incentive Plan. In February 2024, Messrs. Bednar and Becker received the cash portion of the annual incentive bonuses for 2023. The equity-based portion of the annual incentive bonuses for 2023 was granted in the first quarter of 2024 on the fifth trading day after our earnings release for the year ended December 31, 2023. As a result of certain modifications to Mr. Weinberg's existing compensation awards, as described in "—Long-Term Incentive Awards" below, in connection with his transition from CEO to Chairman effective as of January 1, 2023, Mr. Weinberg did not participate in our annual incentive bonus program for 2023.</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2022, the annual incentive bonuses were payable partly in cash and partly in RSUs granted under the Incentive Plan. In February 2023, Messrs. Weinberg, Bednar and Becker received the cash portion of the annual incentive bonuses for 2022. The equity-based portion of the annual incentive bonuses for 2022 was granted in the first quarter of 2023 on the tenth trading day after our earnings release for the year ended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PWP maintains a 401(k) retirement savings plan for U.S. employees (including Messrs. Weinberg and Bednar) and provides an employer safe harbor non-elective contribution and an employer discretionary contribution to eligible participants. Partners (including Messrs. Weinberg and Bednar) are eligible for the employer safe harbor non-elective contribution and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9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entered into employment agreements with each of Messrs. Weinberg, Bednar and Becker, pursuant to which they each continue to serve as our executive officers following the closing of the Business Combination. The employment agreements were approved by our compensation committee and amended and restated effective as of January 1, 2023 to reflect the changes in position of our NEOs when Mr. Bednar was appointed as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employment agreements provide that each NEO will receive an annual base salary subject to annual review by our compensation committee, will continue to be eligible to receive a discretionary annual performance bonus, and will be eligible to receive discretionary annual equity awards pursuant to the Incentive Plan. The employment agreements also provide for certain grants of equity awards pursuant to the Incentive Plan in the form of performance-based Long-Term Incentive Awards, as described in “Long-Term Incentive Awards” below, and, for Mr. Bednar, in connection with his appointment as our Chief Executive Officer effective as of January 1, 2023, an additional grant of performance-based Long-Term Incentive Awards subject to similar vesting terms as the performance-based Long-Term Incentive Awards described in “Long Term Incentive Awards” below that was granted in the first quarter of 2023. Either party is permitted to terminate the applicable employment agreement at any time by providing 90 days’ advance written notice; provided that a NEO’s employment may be terminated immediately in the event of a termination for cause.</w:t>
      </w:r>
    </w:p>
    <w:p>
      <w:pPr>
        <w:spacing w:after="0" w:line="15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Each employment agreement incorporates by reference the restrictive covenants applicable to the NEO, including the restrictive covenants set forth in the limited partnership agreement of Professional Partners (as amended, restated, modified or supplemented from time to time, the "Professionals LP Agreement"), as described in “—Reorganization of Professional Partners”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Awards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connection with the closing of the Business Combination and in respect of their ongoing participation in the leadership and management of PWP following the closing of the Business Combination, Messrs. Weinberg, Bednar and Becker, as well as a small number of other partners as recommended by Mr. Weinberg in consultation with our compensation committee, received grants in the aggregate amount of 9.5 million performance-based Long-Term Incentive Awards in August 2021 (the "Original LTIP Grant"), and Mr. Bednar received an additional grant in the aggregate amount of one million performance-based Long-Term Incentive Awards in February 2023 in connection with his appointment as CEO (the "CEO Promotion LTIP Grant"). The performance-based Long-Term Incentive Awards are subject to the achievement of two types of vesting conditions, both of which must be satisfied for the awards to vest: (i) service-based vesting conditions that will be satisfied in two installments on the third and fifth anniversaries of the grant date, subject to continued employment (with respect to the Original LTIP Grant for Messrs. Bednar and Becker, including continued service as co-presidents of PWP, or any equivalent or more senior executive officer roles with PWP, as mutually agreed by the parties, and with respect to the CEO Promotion LTIP Grant for Mr. Bednar, including continued service as CEO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prices equal to $15, $20, $ 25 and $30 for 20 out of any 30 consecutive trading days prior to the fifth anniversary of the grant date, as measured on the last calendar day of each month, subject to linear interpolation between the applicable price points. Subject to such linear interpolation, (i) the performance-based vesting conditions for the Original LTIP Grant will be deemed to be satisfied with respect to 30% of the award at the $15 closing stock price, 65% of the award at the $20 closing stock price, 82.5% of the award at the $25 closing stock price, and 100% of the award at the $30 closing stock price, and (ii) the performance-based vesting conditions for the CEO Promotion LTIP Grant will be deemed to be satisfied with respect to 50% of the award at the $15 closing stock price, 80% of the award at the $20 closing stock price, 95%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46"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August 2023, in connection with Mr. Weinberg's transition from CEO to Chairman, the Compensation Committee approved a modification of the award of 3,300,000 performance-based Long-Term Incentive Awards previously granted to Mr. Weinberg in August 2021. The modification is intended to further align the Chairman to long-term shareholder value creation and place less emphasis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prospective annual compensation. As modified, 1,650,000 of these performance-based Long-Term Incentive Awards will vest solely based on the achievement of service-based vesting conditions that are satisfied in three equal installments on the third, fourth and fifth anniversaries of the original grant date. The remaining 1,650,000 Long-Term Incentive Awards are subject to the original vesting conditions of the Original LTIP Grant as explained in the preceding paragraph.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December 31, 2023, Professional Partners was an aggregator partnership through which certain limited partners, including our NEOs, held indirect interests in PWP OpCo, the entity through which the Company holds its advisory business. These limited partners, including our NEOs, held direct interests in Professional Partners in the form of a combination of original capital units (“OCUs”), which are fully vested, and value capital units (“VCUs”) and alignment capital units (“ACUs”), which are subject to vesting conditions as described below.</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December 31, 2023, Professional Partners was divided (the “Division”) into: (i) VoteCo Professionals, (ii) PWP AdCo Professionals LP (“AdCo Professionals”) and (iii) Professional Partners. Professional Partners changed its name to PWP AmCo Professionals LP (“AmCo Professionals”) in connection with the Division. To effect the Division, Professional Partners entered into a plan of division, which, among other things, provided that (i) all of its limited partnership interests in PWP OpCo and all liabilities primarily relating to its advisory business were allocated to AdCo Professionals, (ii) all of its limited partnership interests in PWP Capital Holdings and all liabilities primarily relating to its asset management business were allocated to AmCo Professionals, and (iii) all of its shares of Class B-1 common stock of the Company (the “Class B-1 Shares”) were allocated to VoteCo Professionals.</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 2024, AdCo Professionals merged with and into PWP OpCo (the “Merger”). To effect the Merger, PWP OpCo and AdCo Professionals entered into an agreement and plan of merger, which, among other things, provided that (i) all of the OCUs, VCUs and ACUs of AdCo Professionals were converted into an equivalent number of OCUs, VCUs and ACUs of PWP OpCo, respectively, (ii) all of the assets and liabilities of AdCo Professionals became the assets and liabilities of PWP OpCo, and (iii) PWP OpCo adopted a Second Amended and Restated Agreement of Limited Partnership that, among other things, permits the Company to settle quarterly exchanges of PWP OpCo Class A partnership units and corresponding shares of Class B common stock in cash or shares at the Company's discretion.</w:t>
      </w:r>
    </w:p>
    <w:p>
      <w:pPr>
        <w:spacing w:after="0" w:line="1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Merger, limited partners' capital interests in PWP OpCo (including such capital interests held by our NEOs) are comprised of (a) fully-vested OCUs and/or (b) VCUs and ACUs, which are owned by certain Partners (including our NEOs) subject to an approximately three to five-year vesting period. Upon vesting, VCUs and ACUs of PWP OpCo automatically convert into OCUs of PWP OpCo. The VCUs and ACUs of PWP OpCo are recorded as equity-based compensation expense at PWP OpCo for accounting purposes. However, the vesting of VCUs and ACUs does not economically dilute PWP shareholders’ interests relative to the interests of other investors in PWP OpCo as the aggregate interests of those other investors does not change as a result of the grant or vesting of these awards.</w:t>
      </w:r>
    </w:p>
    <w:p>
      <w:pPr>
        <w:spacing w:after="0" w:line="1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Partnership units of PWP OpCo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service-based VCUs and ACUs will immediately vest. If any OCUs, VCUs or ACUs are forfeited, such forfeited OCUs, VCUs or ACUs, as applicable, will accrete to all limited partners of PWP OpCo holding OCUs, VCUs or ACUs. Subject to applicable law and the terms of the PWP OpCo limited partnership agreement, the general partner of PWP OpCo will cause distributions that Professional Partners receives from PWP OpCo to be distributed to the limited partners pro-rata in accordance with such limited partners’ respective ownership of each class of PWP OpCo units, including any VCUs and ACUs.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Subject to the redemption procedures and restrictions set forth in the PWP OpCo limited partnership agreement, PWP OpCo also provides for certain rights for partners holding OCUs, including OCUs received in respect of the vesting of VCUs and/or ACUs, to exchange such OCUs for (i) shares of Class A common stock on a one-for-one basis (subject to customary conversion rate adjustments for stock splits, stock dividends and reclassifications) or (ii) cash, with the form of consideration determined by PWP.</w:t>
      </w:r>
    </w:p>
    <w:p>
      <w:pPr>
        <w:spacing w:after="0" w:line="1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Subject to certain exceptions, PWP OpCo units held by working Partners are generally subject to a lock-up of approximately three to five years, which may be reinstated or extended for a period of 12 months following such working Partner’s resignation without good reason. For Mr. Perella and certain other working Partners who are retirement-eligible (as well as certain limited partners of PWP OpCo who are employed by PWP Capital Holdings), PWP OpCo units held by working Partners are generally subject to a lock-up of approximately one to five years and are not be subject to reinstatement or extension of such lock-up following their resignation. No lock-up period for any Partner is expected to extend beyond the five-year anniversary of the closing of the Business Combination. The lock-up generally restricts the sale, pledge, grant of any option, short sale or other disposition of any partnership units with respect to our advisory business, and the entrance into any hedging, swap or other agreement or transaction related to such partnership units. PWP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14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Certain Partners are subject to certain restrictive covenants set forth in the PWP OpCo limited partnership agreement,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PWP Capital Holdings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 with the PWP Entities within a year following the termination, or breaches any other applicable written covenant between any PWP Entity and such partner, then any partnership units in PWP OpCo held by such partner will be forfeited on the date of such breach.</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and conditioned upon the consummation of the Merger, the Company intends to accelerate the vesting of all outstanding VCUs and ACUs of PWP OpCo on a day determined by PWP GP, in its sole discretion, between April 2, 2024 and May 16, 2024 (the “Vesting Acceleration”). From and after the Vesting Acceleration, the Company anticipates that all accelerated VCUs and ACUs will be subject to a lock-up period that is identical to the lockup period applicable to such VCUs and ACUs prior to the Vesting Acceleration (except that none of the accelerated VCUs and ACUs will be eligible to participate in the quarterly exchange for the third quarter of 2024). For additional information, see “—PWP Related Party Transactions—PWP Related Party Transactions - Acceleration of ACUs and VCUs”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 for 2023</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outstanding equity-based awards held by each of our NEOs as of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80" w:type="dxa"/>
            <w:vAlign w:val="bottom"/>
          </w:tcPr>
          <w:p>
            <w:pPr>
              <w:spacing w:after="0"/>
              <w:rPr>
                <w:sz w:val="20"/>
                <w:szCs w:val="20"/>
                <w:color w:val="auto"/>
              </w:rPr>
            </w:pPr>
          </w:p>
        </w:tc>
        <w:tc>
          <w:tcPr>
            <w:tcW w:w="4160" w:type="dxa"/>
            <w:vAlign w:val="bottom"/>
            <w:tcBorders>
              <w:bottom w:val="single" w:sz="8" w:color="auto"/>
            </w:tcBorders>
            <w:gridSpan w:val="4"/>
          </w:tcPr>
          <w:p>
            <w:pPr>
              <w:jc w:val="right"/>
              <w:ind w:right="139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69"/>
        </w:trPr>
        <w:tc>
          <w:tcPr>
            <w:tcW w:w="7080" w:type="dxa"/>
            <w:vAlign w:val="bottom"/>
          </w:tcPr>
          <w:p>
            <w:pPr>
              <w:spacing w:after="0"/>
              <w:rPr>
                <w:sz w:val="14"/>
                <w:szCs w:val="14"/>
                <w:color w:val="auto"/>
              </w:rPr>
            </w:pPr>
          </w:p>
        </w:tc>
        <w:tc>
          <w:tcPr>
            <w:tcW w:w="2320" w:type="dxa"/>
            <w:vAlign w:val="bottom"/>
            <w:gridSpan w:val="2"/>
          </w:tcPr>
          <w:p>
            <w:pPr>
              <w:jc w:val="center"/>
              <w:ind w:right="428"/>
              <w:spacing w:after="0" w:line="169" w:lineRule="exact"/>
              <w:rPr>
                <w:sz w:val="20"/>
                <w:szCs w:val="20"/>
                <w:color w:val="auto"/>
              </w:rPr>
            </w:pPr>
            <w:r>
              <w:rPr>
                <w:rFonts w:ascii="Arial" w:cs="Arial" w:eastAsia="Arial" w:hAnsi="Arial"/>
                <w:sz w:val="18"/>
                <w:szCs w:val="18"/>
                <w:b w:val="1"/>
                <w:bCs w:val="1"/>
                <w:color w:val="auto"/>
                <w:w w:val="99"/>
              </w:rPr>
              <w:t>Number of Shares</w:t>
            </w:r>
          </w:p>
        </w:tc>
        <w:tc>
          <w:tcPr>
            <w:tcW w:w="140" w:type="dxa"/>
            <w:vAlign w:val="bottom"/>
          </w:tcPr>
          <w:p>
            <w:pPr>
              <w:spacing w:after="0"/>
              <w:rPr>
                <w:sz w:val="14"/>
                <w:szCs w:val="14"/>
                <w:color w:val="auto"/>
              </w:rPr>
            </w:pPr>
          </w:p>
        </w:tc>
        <w:tc>
          <w:tcPr>
            <w:tcW w:w="170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Market Value of</w:t>
            </w:r>
          </w:p>
        </w:tc>
        <w:tc>
          <w:tcPr>
            <w:tcW w:w="0" w:type="dxa"/>
            <w:vAlign w:val="bottom"/>
          </w:tcPr>
          <w:p>
            <w:pPr>
              <w:spacing w:after="0"/>
              <w:rPr>
                <w:sz w:val="1"/>
                <w:szCs w:val="1"/>
                <w:color w:val="auto"/>
              </w:rPr>
            </w:pPr>
          </w:p>
        </w:tc>
      </w:tr>
      <w:tr>
        <w:trPr>
          <w:trHeight w:val="184"/>
        </w:trPr>
        <w:tc>
          <w:tcPr>
            <w:tcW w:w="7080" w:type="dxa"/>
            <w:vAlign w:val="bottom"/>
          </w:tcPr>
          <w:p>
            <w:pPr>
              <w:spacing w:after="0"/>
              <w:rPr>
                <w:sz w:val="15"/>
                <w:szCs w:val="15"/>
                <w:color w:val="auto"/>
              </w:rPr>
            </w:pPr>
          </w:p>
        </w:tc>
        <w:tc>
          <w:tcPr>
            <w:tcW w:w="2320" w:type="dxa"/>
            <w:vAlign w:val="bottom"/>
            <w:gridSpan w:val="2"/>
          </w:tcPr>
          <w:p>
            <w:pPr>
              <w:jc w:val="center"/>
              <w:ind w:right="448"/>
              <w:spacing w:after="0" w:line="183" w:lineRule="exact"/>
              <w:rPr>
                <w:sz w:val="20"/>
                <w:szCs w:val="20"/>
                <w:color w:val="auto"/>
              </w:rPr>
            </w:pPr>
            <w:r>
              <w:rPr>
                <w:rFonts w:ascii="Arial" w:cs="Arial" w:eastAsia="Arial" w:hAnsi="Arial"/>
                <w:sz w:val="18"/>
                <w:szCs w:val="18"/>
                <w:b w:val="1"/>
                <w:bCs w:val="1"/>
                <w:color w:val="auto"/>
                <w:w w:val="99"/>
              </w:rPr>
              <w:t>or Units of Stock</w:t>
            </w:r>
          </w:p>
        </w:tc>
        <w:tc>
          <w:tcPr>
            <w:tcW w:w="140" w:type="dxa"/>
            <w:vAlign w:val="bottom"/>
          </w:tcPr>
          <w:p>
            <w:pPr>
              <w:spacing w:after="0"/>
              <w:rPr>
                <w:sz w:val="15"/>
                <w:szCs w:val="15"/>
                <w:color w:val="auto"/>
              </w:rPr>
            </w:pPr>
          </w:p>
        </w:tc>
        <w:tc>
          <w:tcPr>
            <w:tcW w:w="1700" w:type="dxa"/>
            <w:vAlign w:val="bottom"/>
          </w:tcPr>
          <w:p>
            <w:pPr>
              <w:jc w:val="center"/>
              <w:ind w:right="50"/>
              <w:spacing w:after="0" w:line="183" w:lineRule="exact"/>
              <w:rPr>
                <w:sz w:val="20"/>
                <w:szCs w:val="20"/>
                <w:color w:val="auto"/>
              </w:rPr>
            </w:pPr>
            <w:r>
              <w:rPr>
                <w:rFonts w:ascii="Arial" w:cs="Arial" w:eastAsia="Arial" w:hAnsi="Arial"/>
                <w:sz w:val="18"/>
                <w:szCs w:val="18"/>
                <w:b w:val="1"/>
                <w:bCs w:val="1"/>
                <w:color w:val="auto"/>
              </w:rPr>
              <w:t>Shares or Units of</w:t>
            </w:r>
          </w:p>
        </w:tc>
        <w:tc>
          <w:tcPr>
            <w:tcW w:w="0" w:type="dxa"/>
            <w:vAlign w:val="bottom"/>
          </w:tcPr>
          <w:p>
            <w:pPr>
              <w:spacing w:after="0"/>
              <w:rPr>
                <w:sz w:val="1"/>
                <w:szCs w:val="1"/>
                <w:color w:val="auto"/>
              </w:rPr>
            </w:pPr>
          </w:p>
        </w:tc>
      </w:tr>
      <w:tr>
        <w:trPr>
          <w:trHeight w:val="181"/>
        </w:trPr>
        <w:tc>
          <w:tcPr>
            <w:tcW w:w="7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320" w:type="dxa"/>
            <w:vAlign w:val="bottom"/>
            <w:gridSpan w:val="2"/>
          </w:tcPr>
          <w:p>
            <w:pPr>
              <w:jc w:val="center"/>
              <w:ind w:right="428"/>
              <w:spacing w:after="0" w:line="181" w:lineRule="exact"/>
              <w:rPr>
                <w:sz w:val="20"/>
                <w:szCs w:val="20"/>
                <w:color w:val="auto"/>
              </w:rPr>
            </w:pPr>
            <w:r>
              <w:rPr>
                <w:rFonts w:ascii="Arial" w:cs="Arial" w:eastAsia="Arial" w:hAnsi="Arial"/>
                <w:sz w:val="18"/>
                <w:szCs w:val="18"/>
                <w:b w:val="1"/>
                <w:bCs w:val="1"/>
                <w:color w:val="auto"/>
              </w:rPr>
              <w:t>That Have Not</w:t>
            </w:r>
          </w:p>
        </w:tc>
        <w:tc>
          <w:tcPr>
            <w:tcW w:w="18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rPr>
              <w:t>Stock That Have Not</w:t>
            </w:r>
          </w:p>
        </w:tc>
        <w:tc>
          <w:tcPr>
            <w:tcW w:w="0" w:type="dxa"/>
            <w:vAlign w:val="bottom"/>
          </w:tcPr>
          <w:p>
            <w:pPr>
              <w:spacing w:after="0"/>
              <w:rPr>
                <w:sz w:val="1"/>
                <w:szCs w:val="1"/>
                <w:color w:val="auto"/>
              </w:rPr>
            </w:pPr>
          </w:p>
        </w:tc>
      </w:tr>
      <w:tr>
        <w:trPr>
          <w:trHeight w:val="230"/>
        </w:trPr>
        <w:tc>
          <w:tcPr>
            <w:tcW w:w="7080" w:type="dxa"/>
            <w:vAlign w:val="bottom"/>
            <w:vMerge w:val="continue"/>
          </w:tcPr>
          <w:p>
            <w:pPr>
              <w:spacing w:after="0"/>
              <w:rPr>
                <w:sz w:val="19"/>
                <w:szCs w:val="19"/>
                <w:color w:val="auto"/>
              </w:rPr>
            </w:pPr>
          </w:p>
        </w:tc>
        <w:tc>
          <w:tcPr>
            <w:tcW w:w="2320" w:type="dxa"/>
            <w:vAlign w:val="bottom"/>
            <w:gridSpan w:val="2"/>
          </w:tcPr>
          <w:p>
            <w:pPr>
              <w:jc w:val="center"/>
              <w:ind w:right="428"/>
              <w:spacing w:after="0" w:line="230" w:lineRule="exact"/>
              <w:rPr>
                <w:sz w:val="20"/>
                <w:szCs w:val="20"/>
                <w:color w:val="auto"/>
              </w:rPr>
            </w:pPr>
            <w:r>
              <w:rPr>
                <w:rFonts w:ascii="Arial" w:cs="Arial" w:eastAsia="Arial" w:hAnsi="Arial"/>
                <w:sz w:val="18"/>
                <w:szCs w:val="18"/>
                <w:b w:val="1"/>
                <w:bCs w:val="1"/>
                <w:color w:val="auto"/>
                <w:w w:val="94"/>
              </w:rPr>
              <w:t xml:space="preserve">Vested </w:t>
            </w:r>
            <w:r>
              <w:rPr>
                <w:rFonts w:ascii="Arial" w:cs="Arial" w:eastAsia="Arial" w:hAnsi="Arial"/>
                <w:sz w:val="23"/>
                <w:szCs w:val="23"/>
                <w:color w:val="auto"/>
                <w:w w:val="94"/>
                <w:vertAlign w:val="superscript"/>
              </w:rPr>
              <w:t>(1)</w:t>
            </w:r>
          </w:p>
        </w:tc>
        <w:tc>
          <w:tcPr>
            <w:tcW w:w="140" w:type="dxa"/>
            <w:vAlign w:val="bottom"/>
          </w:tcPr>
          <w:p>
            <w:pPr>
              <w:spacing w:after="0"/>
              <w:rPr>
                <w:sz w:val="19"/>
                <w:szCs w:val="19"/>
                <w:color w:val="auto"/>
              </w:rPr>
            </w:pPr>
          </w:p>
        </w:tc>
        <w:tc>
          <w:tcPr>
            <w:tcW w:w="170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1"/>
              </w:rPr>
              <w:t xml:space="preserve">Vested </w:t>
            </w:r>
            <w:r>
              <w:rPr>
                <w:rFonts w:ascii="Arial" w:cs="Arial" w:eastAsia="Arial" w:hAnsi="Arial"/>
                <w:sz w:val="23"/>
                <w:szCs w:val="23"/>
                <w:color w:val="auto"/>
                <w:w w:val="91"/>
                <w:vertAlign w:val="superscript"/>
              </w:rPr>
              <w:t>(2)</w:t>
            </w:r>
          </w:p>
        </w:tc>
        <w:tc>
          <w:tcPr>
            <w:tcW w:w="0" w:type="dxa"/>
            <w:vAlign w:val="bottom"/>
          </w:tcPr>
          <w:p>
            <w:pPr>
              <w:spacing w:after="0"/>
              <w:rPr>
                <w:sz w:val="1"/>
                <w:szCs w:val="1"/>
                <w:color w:val="auto"/>
              </w:rPr>
            </w:pP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Peter A. Weinberg</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5,681,045</w:t>
            </w:r>
          </w:p>
        </w:tc>
        <w:tc>
          <w:tcPr>
            <w:tcW w:w="500" w:type="dxa"/>
            <w:vAlign w:val="bottom"/>
            <w:tcBorders>
              <w:top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93"/>
              </w:rPr>
              <w:t>(3)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69,479,180</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Andrew Bednar</w:t>
            </w:r>
          </w:p>
        </w:tc>
        <w:tc>
          <w:tcPr>
            <w:tcW w:w="2320" w:type="dxa"/>
            <w:vAlign w:val="bottom"/>
            <w:gridSpan w:val="2"/>
          </w:tcPr>
          <w:p>
            <w:pPr>
              <w:jc w:val="right"/>
              <w:ind w:right="248"/>
              <w:spacing w:after="0" w:line="230" w:lineRule="exact"/>
              <w:rPr>
                <w:sz w:val="20"/>
                <w:szCs w:val="20"/>
                <w:color w:val="auto"/>
              </w:rPr>
            </w:pPr>
            <w:r>
              <w:rPr>
                <w:rFonts w:ascii="Arial" w:cs="Arial" w:eastAsia="Arial" w:hAnsi="Arial"/>
                <w:sz w:val="17"/>
                <w:szCs w:val="17"/>
                <w:color w:val="auto"/>
              </w:rPr>
              <w:t xml:space="preserve">5,061,644 </w:t>
            </w:r>
            <w:r>
              <w:rPr>
                <w:rFonts w:ascii="Arial" w:cs="Arial" w:eastAsia="Arial" w:hAnsi="Arial"/>
                <w:sz w:val="26"/>
                <w:szCs w:val="26"/>
                <w:color w:val="auto"/>
                <w:vertAlign w:val="superscript"/>
              </w:rPr>
              <w:t>(4)</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61,903,906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Dietrich Becker</w:t>
            </w:r>
          </w:p>
        </w:tc>
        <w:tc>
          <w:tcPr>
            <w:tcW w:w="2320" w:type="dxa"/>
            <w:vAlign w:val="bottom"/>
            <w:gridSpan w:val="2"/>
            <w:shd w:val="clear" w:color="auto" w:fill="CCEEFF"/>
          </w:tcPr>
          <w:p>
            <w:pPr>
              <w:jc w:val="right"/>
              <w:ind w:right="248"/>
              <w:spacing w:after="0" w:line="230" w:lineRule="exact"/>
              <w:rPr>
                <w:sz w:val="20"/>
                <w:szCs w:val="20"/>
                <w:color w:val="auto"/>
              </w:rPr>
            </w:pPr>
            <w:r>
              <w:rPr>
                <w:rFonts w:ascii="Arial" w:cs="Arial" w:eastAsia="Arial" w:hAnsi="Arial"/>
                <w:sz w:val="17"/>
                <w:szCs w:val="17"/>
                <w:color w:val="auto"/>
              </w:rPr>
              <w:t xml:space="preserve">4,200,697 </w:t>
            </w:r>
            <w:r>
              <w:rPr>
                <w:rFonts w:ascii="Arial" w:cs="Arial" w:eastAsia="Arial" w:hAnsi="Arial"/>
                <w:sz w:val="26"/>
                <w:szCs w:val="26"/>
                <w:color w:val="auto"/>
                <w:vertAlign w:val="superscript"/>
              </w:rPr>
              <w:t>(5)</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51,374,524</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340" w:hanging="332"/>
        <w:spacing w:after="0" w:line="258"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as of December 31, 2023, (i) performance-based Long-Term Incentive Awards held by each of our NEOs subject to the achievement of two types of vesting conditions, both of which must be satisfied for the awards to vest: (x) service-based vesting conditions that will be satisfied in two installments on the third and fifth anniversaries of the applicable grant date, subject to continued employment (with respect to the Original LTIP Grant for Messrs. Bednar and Becker, including continued service as co-presidents of PWP, or any equivalent or more senior executive officer roles with PWP, as mutually agreed by the parties, and with respect to the CEO Promotion LTIP Grant for Mr. Bednar, including continued service as CEO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(ii) service-based Long-Term Incentive Awards held by Mr. Weinberg subject to service-based vesting conditions that will be satisfied in three installments on the third, fourth and fifth anniversaries of the original August 31, 2021 grant date, subject to continued employment, (iii) service-based RSUs granted in respect of the equity-based portion of our annual incentive bonuses for 2022 and 2021 performance that are generally subject to a service-based vesting schedule over a three-year period following the date of grant, and (iv) VCUs and ACUs of PWP OpCo that are generally subject to a service-based vesting schedule over a three to five-year period following the closing of the Business Combination. The amounts shown include VCUs and ACUs granted to the NEOs as well as VCUs and ACUs accreted to the NEOs through the forfeitures of other partners' units. The vesting of granted VCUs and ACUs is recorded as equity-based compensation expense at PWP OpCo for accounting purposes. However, the vesting of VCUs and ACUs does not economically dilute PWP shareholders’ interests relative to the interests of other investors in PWP OpCo as the aggregate interests of those other investors does not change as a result of the grant or vesting of these awards. The amounts shown do not include OCUs, which are fully vested.</w:t>
      </w:r>
    </w:p>
    <w:p>
      <w:pPr>
        <w:spacing w:after="0" w:line="1" w:lineRule="exact"/>
        <w:rPr>
          <w:rFonts w:ascii="Arial" w:cs="Arial" w:eastAsia="Arial" w:hAnsi="Arial"/>
          <w:sz w:val="14"/>
          <w:szCs w:val="14"/>
          <w:color w:val="auto"/>
        </w:rPr>
      </w:pPr>
    </w:p>
    <w:p>
      <w:pPr>
        <w:jc w:val="both"/>
        <w:ind w:left="340" w:hanging="332"/>
        <w:spacing w:after="0" w:line="262"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market value of the service-based RSUs and service-based Long-Term Incentive Awards shown is based on the closing stock price per share of our Class A common stock on December 31, 2023 ($12.23). The market value of the performance-based Long-Term Incentive Awards is based on the number of shares of our Class A common stock that our NEOs would earn as a result of the performance-based Long-Term Incentive Awards assuming attainment of 100% of the performance-based vesting conditions during the performance period and the closing price of our Class A common stock on December 31, 2023. The market value of the VCUs and ACUs is also shown based on the closing price of our Class A common stock on December 31, 2023, as such units, once vested, are ultimately exchangeable into shares of our Class A common stock on a one-for-one basis, described in greater detail in the section entitled “—Executive Compensation Elements —Reorganization of Professional Partners” above.</w:t>
      </w:r>
    </w:p>
    <w:p>
      <w:pPr>
        <w:spacing w:after="0" w:line="160"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as of December 31, 2023, (i) 347,880 service-based RSUs, (ii) 1,650,000 performance-based Long-Term Incentive Awards, (iii) 1,650,000 service-based Long-Term Incentive Awards and (iv) 2,033,165 VCUs and ACUs of PWP OpCo.</w:t>
      </w:r>
    </w:p>
    <w:p>
      <w:pPr>
        <w:ind w:left="340" w:right="20" w:hanging="332"/>
        <w:spacing w:after="0" w:line="26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as of December 31, 2023, (i) 289,686 service-based RSUs, (ii) 3,350,000 performance-based Long-Term Incentive Awards and (iii) 1,421,958 VCUs and ACUs of PWP OpCo.</w:t>
      </w:r>
    </w:p>
    <w:p>
      <w:pPr>
        <w:ind w:left="340" w:right="20" w:hanging="332"/>
        <w:spacing w:after="0" w:line="284"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as of December 31, 2023, (i) 289,921 service-based RSUs, (ii) 2,350,000 performance-based Long-Term Incentive Awards and (iii) 1,560,776 VCUs and ACUs of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Performance-based Long-Term Incentive Awards held by each of our NEOs are subject to the achievement of service-based and performance-based vesting conditions, both of which must be satisfied for the awards to vest. Upon a termination of employment without cause or resignation for good reason, a pro-rata portion of the performance-based Long-Term Incentive Awards will be deemed to have satisfied the service-based vesting conditions, subject to a 50% floor, and, with respect to performance-based Long-Term Incentive Awards, will remain outstanding subject to the achievement of the performance-based vesting conditions. Upon a termination of employment due to death or disability, the same treatment will apply except that the performance-based Long-Term Incentive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service-based vesting conditions. Upon a termination without cause or resignation for good reason within 24 months following a change in control, any remaining service-based vesting conditions will be deemed to be fully satisfied. For Messrs. Bednar and Becker with respect to the Original LTIP Grant, if the executive’s role as co-president (or any equivalent or more senior executive officer role, as mutually agreed by the parties), and for Mr. Bednar with respect to the CEO Promotion LTIP Grant, if his role as CEO (or any equivalent or more senior executive officer roles with PWP, as mutually agreed by the parties), is terminated by the Company without cause but the executive otherwise remains in continuous employment as a working Partner, the Long-Term Incentive Awards will remain outstanding subject to the achievement of the applicable service-based and performance-based vesting conditions based on the executive’s continued employment as a working Partner. For Messrs. Bednar and Becker with respect to the Original LTIP Grant, if the executive resigns as co-president (or any equivalent or more senior executive officer role, as mutually agreed by the parties), and for Mr. Bednar with respect to the CEO Promotion LTIP Grant, if he resigns as CEO (or any equivalent or more senior executive officer role, as mutually agreed by the parties), but otherwise remains in continuous employment as a working Partner, then only a pro-rata portion of the performance-based Long-Term Incentive Awards will remain outstanding and eligible to vest subject to the achievement of the applicable service-based and performance-based vesting conditions based on the executive’s continued employment as a working Partner.</w:t>
      </w:r>
    </w:p>
    <w:p>
      <w:pPr>
        <w:spacing w:after="0" w:line="16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Service-based Long-Term Incentive Awards held by Mr. Weinberg generally vest in three equal installments on the third, fourth and fifth anniversaries of the original grant date. Upon a termination due to death or disability, any unvested service-based Long-Term Incentive Awards will immediately vest. Upon a termination without cause or resignation for good reason within 24 months following a change in control, any unvested service-based Long-Term Incentive Awards will immediately vest.</w:t>
      </w:r>
    </w:p>
    <w:p>
      <w:pPr>
        <w:spacing w:after="0" w:line="1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Service-based RSUs held by our NEOs generally vest in equal installments on each of the first three anniversaries of the grant date. Upon a termination due to death or disability, any unvested service based RSUs will immediately vest. Upon a termination without cause or resignation for good reason, any unvested service based RSUs will remain outstanding and eligible to be delivered on the regular vesting dates, subject to continued compliance with the applicable restrictive covenants. For certain service-based RSUs, upon a qualifying retirement, which may occur upon resignation after having reached age 56 with at least five years of service (provided that total age plus years of service must equal at least 65 years of age), applicable unvested service-based RSUs will remain outstanding and eligible to be delivered on the regular vesting dates, subject to continued compliance with the applicable restrictive covenants. The NEOs waived these retirement provisions with regard to the service-based RSUs granted in 2022 and 2024. Upon a termination without cause or resignation for good reason within 24 months following a change in control, all unvested service-based RSUs will immediately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2023, each class of partnership units of PWP OpCo held by our NEOs was subject to forfeiture provisions as a result of certain terminations of service or breaches of restrictive covenants (including violation of non-compete provisions). VCUs and ACUs of PWP OpCo were subject to an approximately three to five-year vesting period following the closing of the Business Combination. Upon a termination due to death or disability, all unvested VCUs and ACUs of PWP OpCo would immediately vest. Upon a termination without cause or for good reason, a pro-rata portion of each unvested tranche would immediately vest, subject to a 50% floor. Upon a termination without cause or for good reason within 24 months following a change in control, all unvested service-based VCUs and ACUs of PWP OpCo would immediately vest. As of December 31, 2023, all OCUs of PWP OpCo were fully-vested.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insider trading policy prohibits our directors and employees, including executive officers, from hedging or otherwise engaging in transactions that hedge or offset, or are designed to hedge or offset, any decrease in the market value of Company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clawback policy adopted as of December 1, 2023, provides that in the event of a required accounting restatement due to the material noncompliance of the Company with any financial reporting requirement under the securities laws, the Compensation Committee will seek reimbursement of the portion of any incentive-based compensation received by our executive officers that would not have been paid had our financial statements been correctly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5" w:lineRule="exact"/>
        <w:rPr>
          <w:sz w:val="20"/>
          <w:szCs w:val="20"/>
          <w:color w:val="auto"/>
        </w:rPr>
      </w:pPr>
    </w:p>
    <w:p>
      <w:pPr>
        <w:ind w:right="20" w:firstLine="324"/>
        <w:spacing w:after="0" w:line="276" w:lineRule="auto"/>
        <w:rPr>
          <w:sz w:val="20"/>
          <w:szCs w:val="20"/>
          <w:color w:val="auto"/>
        </w:rPr>
      </w:pPr>
      <w:r>
        <w:rPr>
          <w:rFonts w:ascii="Arial" w:cs="Arial" w:eastAsia="Arial" w:hAnsi="Arial"/>
          <w:sz w:val="18"/>
          <w:szCs w:val="18"/>
          <w:color w:val="auto"/>
        </w:rPr>
        <w:t>The following table summarizes certain information about securities authorized for issuance under the Incentive Plan as of December 31, 2023:</w:t>
      </w:r>
    </w:p>
    <w:tbl>
      <w:tblPr>
        <w:tblLayout w:type="fixed"/>
        <w:tblInd w:w="0" w:type="dxa"/>
        <w:tblCellMar>
          <w:top w:w="0" w:type="dxa"/>
          <w:left w:w="0" w:type="dxa"/>
          <w:bottom w:w="0" w:type="dxa"/>
          <w:right w:w="0" w:type="dxa"/>
        </w:tblCellMar>
      </w:tblPr>
      <w:tr>
        <w:trPr>
          <w:trHeight w:val="164"/>
        </w:trPr>
        <w:tc>
          <w:tcPr>
            <w:tcW w:w="5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Number of Securities</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Weighted-Average</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to be Issued Upon</w:t>
            </w:r>
          </w:p>
        </w:tc>
        <w:tc>
          <w:tcPr>
            <w:tcW w:w="1900" w:type="dxa"/>
            <w:vAlign w:val="bottom"/>
            <w:gridSpan w:val="2"/>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Equity Compensation</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Exercise of</w:t>
            </w:r>
          </w:p>
        </w:tc>
        <w:tc>
          <w:tcPr>
            <w:tcW w:w="19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Exercise Price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Plans (Excluding</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Outstanding Options,</w:t>
            </w:r>
          </w:p>
        </w:tc>
        <w:tc>
          <w:tcPr>
            <w:tcW w:w="19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Outstanding Options,</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Securities Reflected in</w:t>
            </w:r>
          </w:p>
        </w:tc>
        <w:tc>
          <w:tcPr>
            <w:tcW w:w="0" w:type="dxa"/>
            <w:vAlign w:val="bottom"/>
          </w:tcPr>
          <w:p>
            <w:pPr>
              <w:spacing w:after="0"/>
              <w:rPr>
                <w:sz w:val="1"/>
                <w:szCs w:val="1"/>
                <w:color w:val="auto"/>
              </w:rPr>
            </w:pPr>
          </w:p>
        </w:tc>
      </w:tr>
      <w:tr>
        <w:trPr>
          <w:trHeight w:val="162"/>
        </w:trPr>
        <w:tc>
          <w:tcPr>
            <w:tcW w:w="55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Plan Category</w:t>
            </w:r>
          </w:p>
        </w:tc>
        <w:tc>
          <w:tcPr>
            <w:tcW w:w="19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Warrants and Rights</w:t>
            </w:r>
          </w:p>
        </w:tc>
        <w:tc>
          <w:tcPr>
            <w:tcW w:w="19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Warrants and Rights</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Column(a))</w:t>
            </w: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1900" w:type="dxa"/>
            <w:vAlign w:val="bottom"/>
            <w:gridSpan w:val="2"/>
          </w:tcPr>
          <w:p>
            <w:pPr>
              <w:jc w:val="center"/>
              <w:ind w:right="80"/>
              <w:spacing w:after="0" w:line="216" w:lineRule="exact"/>
              <w:rPr>
                <w:sz w:val="20"/>
                <w:szCs w:val="20"/>
                <w:color w:val="auto"/>
              </w:rPr>
            </w:pPr>
            <w:r>
              <w:rPr>
                <w:rFonts w:ascii="Arial" w:cs="Arial" w:eastAsia="Arial" w:hAnsi="Arial"/>
                <w:sz w:val="25"/>
                <w:szCs w:val="25"/>
                <w:b w:val="1"/>
                <w:bCs w:val="1"/>
                <w:color w:val="auto"/>
                <w:vertAlign w:val="subscript"/>
              </w:rPr>
              <w:t>(a)</w:t>
            </w:r>
            <w:r>
              <w:rPr>
                <w:rFonts w:ascii="Arial" w:cs="Arial" w:eastAsia="Arial" w:hAnsi="Arial"/>
                <w:sz w:val="9"/>
                <w:szCs w:val="9"/>
                <w:b w:val="1"/>
                <w:bCs w:val="1"/>
                <w:color w:val="auto"/>
              </w:rPr>
              <w:t>(2)</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(b)</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196"/>
        </w:trPr>
        <w:tc>
          <w:tcPr>
            <w:tcW w:w="5500" w:type="dxa"/>
            <w:vAlign w:val="bottom"/>
          </w:tcPr>
          <w:p>
            <w:pPr>
              <w:ind w:left="8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1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540"/>
              <w:spacing w:after="0" w:line="216" w:lineRule="exact"/>
              <w:rPr>
                <w:sz w:val="20"/>
                <w:szCs w:val="20"/>
                <w:color w:val="auto"/>
              </w:rPr>
            </w:pPr>
            <w:r>
              <w:rPr>
                <w:rFonts w:ascii="Arial" w:cs="Arial" w:eastAsia="Arial" w:hAnsi="Arial"/>
                <w:sz w:val="16"/>
                <w:szCs w:val="16"/>
                <w:color w:val="auto"/>
              </w:rPr>
              <w:t>2021 Omnibus Incentive Plan</w:t>
            </w:r>
            <w:r>
              <w:rPr>
                <w:rFonts w:ascii="Arial" w:cs="Arial" w:eastAsia="Arial" w:hAnsi="Arial"/>
                <w:sz w:val="21"/>
                <w:szCs w:val="21"/>
                <w:color w:val="auto"/>
                <w:vertAlign w:val="superscript"/>
              </w:rPr>
              <w:t>(1)</w:t>
            </w:r>
          </w:p>
        </w:tc>
        <w:tc>
          <w:tcPr>
            <w:tcW w:w="1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26,655,625</w:t>
            </w: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5,234,422</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None</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500" w:type="dxa"/>
            <w:vAlign w:val="bottom"/>
          </w:tcPr>
          <w:p>
            <w:pPr>
              <w:ind w:left="540"/>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26,655,625</w:t>
            </w:r>
          </w:p>
        </w:tc>
        <w:tc>
          <w:tcPr>
            <w:tcW w:w="80" w:type="dxa"/>
            <w:vAlign w:val="bottom"/>
          </w:tcPr>
          <w:p>
            <w:pPr>
              <w:spacing w:after="0"/>
              <w:rPr>
                <w:sz w:val="18"/>
                <w:szCs w:val="18"/>
                <w:color w:val="auto"/>
              </w:rPr>
            </w:pPr>
          </w:p>
        </w:tc>
        <w:tc>
          <w:tcPr>
            <w:tcW w:w="182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5,234,422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340" w:hanging="332"/>
        <w:spacing w:after="0" w:line="259"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Pursuant to the Incentive Plan, the maximum number of shares of Class A common stock reserved for issuance pursuant to the General Share Reserve under the Incentive Plan that may be issued at any time during the term of the Incentive Plan is 13,980,000, as increased on the first day of each fiscal year of the Company beginning in calendar year 2022 by the number of shares of Class A common stock equal to the excess, if any, of (i) 15% of the number of outstanding shares of Class A common stock and the outstanding units of PWP OpCo that are exchangeable for shares of Class A common stock, in each case, on the last day of the immediately preceding fiscal year, over (ii) the number of shares of Class A common stock reserved and available for issuance in respect to future grants of awards under the Incentive Plan as of the last day of the immediately preceding fiscal year. In addition, the Transaction Pool Share Reserve under the Incentive Plan was comprised of 10,200,000 shares of Class A common stock, reserved for issuance through the one-year anniversary of the Business Combination, of which approximately 7,000,000 shares were granted subject solely to a service-based vesting schedule, and approximately 3,200,000 shares were granted subject to a service-based and performance-based vesting schedule. As a sub-plan under the Incentive Plan, the French Sub-Plan under the Incentive Plan does not contain a separate share reserve, and any awards granted under the French Sub-Plan will reduce the number of shares available for issuance under the Incentive Plan.</w:t>
      </w:r>
    </w:p>
    <w:p>
      <w:pPr>
        <w:spacing w:after="0" w:line="4" w:lineRule="exact"/>
        <w:rPr>
          <w:rFonts w:ascii="Arial" w:cs="Arial" w:eastAsia="Arial" w:hAnsi="Arial"/>
          <w:sz w:val="14"/>
          <w:szCs w:val="14"/>
          <w:color w:val="auto"/>
        </w:rPr>
      </w:pPr>
    </w:p>
    <w:p>
      <w:pPr>
        <w:jc w:val="both"/>
        <w:ind w:left="340" w:hanging="332"/>
        <w:spacing w:after="0" w:line="272"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service-based vesting RSUs and performance-based vesting RSUs granted pursuant to the General Share Reserve and the Transaction Pool Share Reserve under the Incentive Plan, including the French Sub-Plan under the Incentive Plan. The weighted-average exercise price reported in column (b) of the table is blank because the RSUs do not have an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17" w:right="339" w:bottom="1440" w:gutter="0" w:footer="0" w:header="0"/>
        </w:sectPr>
      </w:pPr>
    </w:p>
    <w:bookmarkStart w:id="31" w:name="page32"/>
    <w:bookmarkEnd w:id="31"/>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18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shares of the Company’s common stock as of March 15, 2024, by:</w:t>
      </w:r>
    </w:p>
    <w:p>
      <w:pPr>
        <w:spacing w:after="0" w:line="15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of the Company’s outstanding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the Company’s named executive officers, directors and director nominees;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9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beneficial ownership of the Company common stock below is based on 53,384,028 shares of Class A common stock, 39,673,721 shares of Class B-1 common stock and 1,122,264 shares of Class B-2 common stock issued and outstanding as of March 15,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Borders>
              <w:top w:val="single" w:sz="8" w:color="auto"/>
            </w:tcBorders>
            <w:gridSpan w:val="4"/>
          </w:tcPr>
          <w:p>
            <w:pPr>
              <w:ind w:left="520"/>
              <w:spacing w:after="0"/>
              <w:rPr>
                <w:sz w:val="20"/>
                <w:szCs w:val="20"/>
                <w:color w:val="auto"/>
              </w:rPr>
            </w:pPr>
            <w:r>
              <w:rPr>
                <w:rFonts w:ascii="Arial" w:cs="Arial" w:eastAsia="Arial" w:hAnsi="Arial"/>
                <w:sz w:val="11"/>
                <w:szCs w:val="11"/>
                <w:b w:val="1"/>
                <w:bCs w:val="1"/>
                <w:color w:val="auto"/>
              </w:rPr>
              <w:t>Class A Common Stock</w:t>
            </w:r>
          </w:p>
        </w:tc>
        <w:tc>
          <w:tcPr>
            <w:tcW w:w="2340" w:type="dxa"/>
            <w:vAlign w:val="bottom"/>
            <w:tcBorders>
              <w:top w:val="single" w:sz="8" w:color="auto"/>
            </w:tcBorders>
            <w:gridSpan w:val="4"/>
          </w:tcPr>
          <w:p>
            <w:pPr>
              <w:ind w:left="480"/>
              <w:spacing w:after="0"/>
              <w:rPr>
                <w:sz w:val="20"/>
                <w:szCs w:val="20"/>
                <w:color w:val="auto"/>
              </w:rPr>
            </w:pPr>
            <w:r>
              <w:rPr>
                <w:rFonts w:ascii="Arial" w:cs="Arial" w:eastAsia="Arial" w:hAnsi="Arial"/>
                <w:sz w:val="11"/>
                <w:szCs w:val="11"/>
                <w:b w:val="1"/>
                <w:bCs w:val="1"/>
                <w:color w:val="auto"/>
              </w:rPr>
              <w:t>Class B-1 Common Stock</w:t>
            </w:r>
          </w:p>
        </w:tc>
        <w:tc>
          <w:tcPr>
            <w:tcW w:w="2240" w:type="dxa"/>
            <w:vAlign w:val="bottom"/>
            <w:tcBorders>
              <w:top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Class B-2 Common Stock</w:t>
            </w: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 and Address of Beneficial Owner</w:t>
            </w:r>
            <w:r>
              <w:rPr>
                <w:rFonts w:ascii="Arial" w:cs="Arial" w:eastAsia="Arial" w:hAnsi="Arial"/>
                <w:sz w:val="14"/>
                <w:szCs w:val="14"/>
                <w:b w:val="1"/>
                <w:bCs w:val="1"/>
                <w:color w:val="auto"/>
                <w:vertAlign w:val="superscript"/>
              </w:rPr>
              <w:t>(1)</w:t>
            </w:r>
          </w:p>
        </w:tc>
        <w:tc>
          <w:tcPr>
            <w:tcW w:w="80" w:type="dxa"/>
            <w:vAlign w:val="bottom"/>
            <w:vMerge w:val="restart"/>
          </w:tcPr>
          <w:p>
            <w:pPr>
              <w:spacing w:after="0"/>
              <w:rPr>
                <w:sz w:val="8"/>
                <w:szCs w:val="8"/>
                <w:color w:val="auto"/>
              </w:rPr>
            </w:pPr>
          </w:p>
        </w:tc>
        <w:tc>
          <w:tcPr>
            <w:tcW w:w="1200" w:type="dxa"/>
            <w:vAlign w:val="bottom"/>
            <w:tcBorders>
              <w:top w:val="single" w:sz="8" w:color="auto"/>
            </w:tcBorders>
            <w:vMerge w:val="restart"/>
          </w:tcPr>
          <w:p>
            <w:pPr>
              <w:ind w:left="140"/>
              <w:spacing w:after="0"/>
              <w:rPr>
                <w:sz w:val="20"/>
                <w:szCs w:val="20"/>
                <w:color w:val="auto"/>
              </w:rPr>
            </w:pPr>
            <w:r>
              <w:rPr>
                <w:rFonts w:ascii="Arial" w:cs="Arial" w:eastAsia="Arial" w:hAnsi="Arial"/>
                <w:sz w:val="11"/>
                <w:szCs w:val="11"/>
                <w:b w:val="1"/>
                <w:bCs w:val="1"/>
                <w:color w:val="auto"/>
              </w:rPr>
              <w:t>Number of Shares</w:t>
            </w:r>
          </w:p>
        </w:tc>
        <w:tc>
          <w:tcPr>
            <w:tcW w:w="80" w:type="dxa"/>
            <w:vAlign w:val="bottom"/>
            <w:tcBorders>
              <w:top w:val="single" w:sz="8" w:color="auto"/>
            </w:tcBorders>
            <w:vMerge w:val="restart"/>
          </w:tcPr>
          <w:p>
            <w:pPr>
              <w:spacing w:after="0"/>
              <w:rPr>
                <w:sz w:val="8"/>
                <w:szCs w:val="8"/>
                <w:color w:val="auto"/>
              </w:rPr>
            </w:pPr>
          </w:p>
        </w:tc>
        <w:tc>
          <w:tcPr>
            <w:tcW w:w="960" w:type="dxa"/>
            <w:vAlign w:val="bottom"/>
            <w:tcBorders>
              <w:top w:val="single" w:sz="8" w:color="auto"/>
            </w:tcBorders>
            <w:vMerge w:val="restart"/>
          </w:tcPr>
          <w:p>
            <w:pPr>
              <w:jc w:val="right"/>
              <w:ind w:right="38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1200" w:type="dxa"/>
            <w:vAlign w:val="bottom"/>
            <w:tcBorders>
              <w:top w:val="single" w:sz="8" w:color="auto"/>
            </w:tcBorders>
            <w:vMerge w:val="restart"/>
          </w:tcPr>
          <w:p>
            <w:pPr>
              <w:ind w:left="140"/>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Borders>
              <w:top w:val="single" w:sz="8" w:color="auto"/>
            </w:tcBorders>
            <w:vMerge w:val="restart"/>
          </w:tcPr>
          <w:p>
            <w:pPr>
              <w:spacing w:after="0"/>
              <w:rPr>
                <w:sz w:val="8"/>
                <w:szCs w:val="8"/>
                <w:color w:val="auto"/>
              </w:rPr>
            </w:pPr>
          </w:p>
        </w:tc>
        <w:tc>
          <w:tcPr>
            <w:tcW w:w="940" w:type="dxa"/>
            <w:vAlign w:val="bottom"/>
            <w:tcBorders>
              <w:top w:val="single" w:sz="8" w:color="auto"/>
            </w:tcBorders>
            <w:vMerge w:val="restart"/>
          </w:tcPr>
          <w:p>
            <w:pPr>
              <w:jc w:val="right"/>
              <w:ind w:right="36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1200" w:type="dxa"/>
            <w:vAlign w:val="bottom"/>
            <w:tcBorders>
              <w:top w:val="single" w:sz="8" w:color="auto"/>
            </w:tcBorders>
            <w:vMerge w:val="restart"/>
          </w:tcPr>
          <w:p>
            <w:pPr>
              <w:ind w:left="140"/>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Borders>
              <w:top w:val="single" w:sz="8" w:color="auto"/>
            </w:tcBorders>
            <w:vMerge w:val="restart"/>
          </w:tcPr>
          <w:p>
            <w:pPr>
              <w:spacing w:after="0"/>
              <w:rPr>
                <w:sz w:val="8"/>
                <w:szCs w:val="8"/>
                <w:color w:val="auto"/>
              </w:rPr>
            </w:pPr>
          </w:p>
        </w:tc>
        <w:tc>
          <w:tcPr>
            <w:tcW w:w="940" w:type="dxa"/>
            <w:vAlign w:val="bottom"/>
            <w:tcBorders>
              <w:top w:val="single" w:sz="8" w:color="auto"/>
            </w:tcBorders>
            <w:vMerge w:val="restart"/>
          </w:tcPr>
          <w:p>
            <w:pPr>
              <w:jc w:val="right"/>
              <w:ind w:right="36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12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 of Combined Voting</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Power</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Greater than 5%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Fidelity Management &amp; Research Company,</w:t>
      </w:r>
    </w:p>
    <w:tbl>
      <w:tblPr>
        <w:tblLayout w:type="fixed"/>
        <w:tblInd w:w="0" w:type="dxa"/>
        <w:tblCellMar>
          <w:top w:w="0" w:type="dxa"/>
          <w:left w:w="0" w:type="dxa"/>
          <w:bottom w:w="0" w:type="dxa"/>
          <w:right w:w="0" w:type="dxa"/>
        </w:tblCellMar>
      </w:tblPr>
      <w:tr>
        <w:trPr>
          <w:trHeight w:val="197"/>
        </w:trPr>
        <w:tc>
          <w:tcPr>
            <w:tcW w:w="3300" w:type="dxa"/>
            <w:vAlign w:val="bottom"/>
          </w:tcPr>
          <w:p>
            <w:pPr>
              <w:ind w:left="180"/>
              <w:spacing w:after="0" w:line="197" w:lineRule="exact"/>
              <w:rPr>
                <w:sz w:val="20"/>
                <w:szCs w:val="20"/>
                <w:color w:val="auto"/>
              </w:rPr>
            </w:pPr>
            <w:r>
              <w:rPr>
                <w:rFonts w:ascii="Arial" w:cs="Arial" w:eastAsia="Arial" w:hAnsi="Arial"/>
                <w:sz w:val="14"/>
                <w:szCs w:val="14"/>
                <w:color w:val="auto"/>
              </w:rPr>
              <w:t>LLC</w:t>
            </w:r>
            <w:r>
              <w:rPr>
                <w:rFonts w:ascii="Arial" w:cs="Arial" w:eastAsia="Arial" w:hAnsi="Arial"/>
                <w:sz w:val="18"/>
                <w:szCs w:val="18"/>
                <w:color w:val="auto"/>
                <w:vertAlign w:val="superscript"/>
              </w:rPr>
              <w:t>(2)</w:t>
            </w:r>
          </w:p>
        </w:tc>
        <w:tc>
          <w:tcPr>
            <w:tcW w:w="1220" w:type="dxa"/>
            <w:vAlign w:val="bottom"/>
          </w:tcPr>
          <w:p>
            <w:pPr>
              <w:jc w:val="right"/>
              <w:ind w:right="237"/>
              <w:spacing w:after="0"/>
              <w:rPr>
                <w:sz w:val="20"/>
                <w:szCs w:val="20"/>
                <w:color w:val="auto"/>
              </w:rPr>
            </w:pPr>
            <w:r>
              <w:rPr>
                <w:rFonts w:ascii="Arial" w:cs="Arial" w:eastAsia="Arial" w:hAnsi="Arial"/>
                <w:sz w:val="13"/>
                <w:szCs w:val="13"/>
                <w:color w:val="auto"/>
              </w:rPr>
              <w:t>6,437,386</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12.06%</w:t>
            </w: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1.43%</w:t>
            </w:r>
          </w:p>
        </w:tc>
      </w:tr>
      <w:tr>
        <w:trPr>
          <w:trHeight w:val="194"/>
        </w:trPr>
        <w:tc>
          <w:tcPr>
            <w:tcW w:w="3300" w:type="dxa"/>
            <w:vAlign w:val="bottom"/>
          </w:tcPr>
          <w:p>
            <w:pPr>
              <w:ind w:left="20"/>
              <w:spacing w:after="0"/>
              <w:rPr>
                <w:sz w:val="20"/>
                <w:szCs w:val="20"/>
                <w:color w:val="auto"/>
              </w:rPr>
            </w:pPr>
            <w:r>
              <w:rPr>
                <w:rFonts w:ascii="Arial" w:cs="Arial" w:eastAsia="Arial" w:hAnsi="Arial"/>
                <w:sz w:val="14"/>
                <w:szCs w:val="14"/>
                <w:color w:val="auto"/>
              </w:rPr>
              <w:t>Adage Capital Partners, L.P.</w:t>
            </w:r>
            <w:r>
              <w:rPr>
                <w:rFonts w:ascii="Arial" w:cs="Arial" w:eastAsia="Arial" w:hAnsi="Arial"/>
                <w:sz w:val="9"/>
                <w:szCs w:val="9"/>
                <w:color w:val="auto"/>
              </w:rPr>
              <w:t>(3)</w:t>
            </w:r>
          </w:p>
        </w:tc>
        <w:tc>
          <w:tcPr>
            <w:tcW w:w="1220" w:type="dxa"/>
            <w:vAlign w:val="bottom"/>
          </w:tcPr>
          <w:p>
            <w:pPr>
              <w:jc w:val="right"/>
              <w:ind w:right="237"/>
              <w:spacing w:after="0"/>
              <w:rPr>
                <w:sz w:val="20"/>
                <w:szCs w:val="20"/>
                <w:color w:val="auto"/>
              </w:rPr>
            </w:pPr>
            <w:r>
              <w:rPr>
                <w:rFonts w:ascii="Arial" w:cs="Arial" w:eastAsia="Arial" w:hAnsi="Arial"/>
                <w:sz w:val="13"/>
                <w:szCs w:val="13"/>
                <w:color w:val="auto"/>
              </w:rPr>
              <w:t>2,814,843</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5.27%</w:t>
            </w: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BlackRock, Inc.</w:t>
            </w:r>
            <w:r>
              <w:rPr>
                <w:rFonts w:ascii="Arial" w:cs="Arial" w:eastAsia="Arial" w:hAnsi="Arial"/>
                <w:sz w:val="9"/>
                <w:szCs w:val="9"/>
                <w:color w:val="auto"/>
              </w:rPr>
              <w:t>(4)</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3,342,119</w:t>
            </w: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6.26%</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PWP VoteCo Professional Partners LP</w:t>
            </w:r>
            <w:r>
              <w:rPr>
                <w:rFonts w:ascii="Arial" w:cs="Arial" w:eastAsia="Arial" w:hAnsi="Arial"/>
                <w:sz w:val="9"/>
                <w:szCs w:val="9"/>
                <w:color w:val="auto"/>
              </w:rPr>
              <w:t>(5)</w:t>
            </w:r>
          </w:p>
        </w:tc>
        <w:tc>
          <w:tcPr>
            <w:tcW w:w="12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39,673,721</w:t>
            </w:r>
          </w:p>
        </w:tc>
        <w:tc>
          <w:tcPr>
            <w:tcW w:w="1140" w:type="dxa"/>
            <w:vAlign w:val="bottom"/>
          </w:tcPr>
          <w:p>
            <w:pPr>
              <w:jc w:val="right"/>
              <w:ind w:right="297"/>
              <w:spacing w:after="0"/>
              <w:rPr>
                <w:sz w:val="20"/>
                <w:szCs w:val="20"/>
                <w:color w:val="auto"/>
              </w:rPr>
            </w:pPr>
            <w:r>
              <w:rPr>
                <w:rFonts w:ascii="Arial" w:cs="Arial" w:eastAsia="Arial" w:hAnsi="Arial"/>
                <w:sz w:val="13"/>
                <w:szCs w:val="13"/>
                <w:color w:val="auto"/>
              </w:rPr>
              <w:t>100.00%</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87.92%</w:t>
            </w: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TWCL US Inc.</w:t>
            </w:r>
            <w:r>
              <w:rPr>
                <w:rFonts w:ascii="Arial" w:cs="Arial" w:eastAsia="Arial" w:hAnsi="Arial"/>
                <w:sz w:val="9"/>
                <w:szCs w:val="9"/>
                <w:color w:val="auto"/>
              </w:rPr>
              <w:t>(6)</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1,122,264</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100.00%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7"/>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Named Executive Officers, Directors and</w:t>
            </w: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4"/>
        </w:trPr>
        <w:tc>
          <w:tcPr>
            <w:tcW w:w="3300" w:type="dxa"/>
            <w:vAlign w:val="bottom"/>
          </w:tcPr>
          <w:p>
            <w:pPr>
              <w:ind w:left="180"/>
              <w:spacing w:after="0"/>
              <w:rPr>
                <w:sz w:val="20"/>
                <w:szCs w:val="20"/>
                <w:color w:val="auto"/>
              </w:rPr>
            </w:pPr>
            <w:r>
              <w:rPr>
                <w:rFonts w:ascii="Arial" w:cs="Arial" w:eastAsia="Arial" w:hAnsi="Arial"/>
                <w:sz w:val="14"/>
                <w:szCs w:val="14"/>
                <w:b w:val="1"/>
                <w:bCs w:val="1"/>
                <w:color w:val="auto"/>
              </w:rPr>
              <w:t>Director Nominees</w:t>
            </w: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Peter A. Weinberg</w:t>
            </w:r>
            <w:r>
              <w:rPr>
                <w:rFonts w:ascii="Arial" w:cs="Arial" w:eastAsia="Arial" w:hAnsi="Arial"/>
                <w:sz w:val="9"/>
                <w:szCs w:val="9"/>
                <w:color w:val="auto"/>
              </w:rPr>
              <w:t>(7)</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990,033</w:t>
            </w: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1.85%</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39,673,721</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100.00%</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88.14%</w:t>
            </w: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Joseph R. Perella</w:t>
            </w:r>
            <w:r>
              <w:rPr>
                <w:rFonts w:ascii="Arial" w:cs="Arial" w:eastAsia="Arial" w:hAnsi="Arial"/>
                <w:sz w:val="9"/>
                <w:szCs w:val="9"/>
                <w:color w:val="auto"/>
              </w:rPr>
              <w:t>(8)</w:t>
            </w:r>
          </w:p>
        </w:tc>
        <w:tc>
          <w:tcPr>
            <w:tcW w:w="12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K. Steel</w:t>
            </w:r>
            <w:r>
              <w:rPr>
                <w:rFonts w:ascii="Arial" w:cs="Arial" w:eastAsia="Arial" w:hAnsi="Arial"/>
                <w:sz w:val="9"/>
                <w:szCs w:val="9"/>
                <w:color w:val="auto"/>
              </w:rPr>
              <w:t>(9)</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18,258</w:t>
            </w: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Dietrich Becker</w:t>
            </w:r>
            <w:r>
              <w:rPr>
                <w:rFonts w:ascii="Arial" w:cs="Arial" w:eastAsia="Arial" w:hAnsi="Arial"/>
                <w:sz w:val="9"/>
                <w:szCs w:val="9"/>
                <w:color w:val="auto"/>
              </w:rPr>
              <w:t>(10)</w:t>
            </w:r>
          </w:p>
        </w:tc>
        <w:tc>
          <w:tcPr>
            <w:tcW w:w="1220" w:type="dxa"/>
            <w:vAlign w:val="bottom"/>
          </w:tcPr>
          <w:p>
            <w:pPr>
              <w:jc w:val="right"/>
              <w:ind w:right="237"/>
              <w:spacing w:after="0"/>
              <w:rPr>
                <w:sz w:val="20"/>
                <w:szCs w:val="20"/>
                <w:color w:val="auto"/>
              </w:rPr>
            </w:pPr>
            <w:r>
              <w:rPr>
                <w:rFonts w:ascii="Arial" w:cs="Arial" w:eastAsia="Arial" w:hAnsi="Arial"/>
                <w:sz w:val="13"/>
                <w:szCs w:val="13"/>
                <w:color w:val="auto"/>
              </w:rPr>
              <w:t>117,440</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Andrew Bednar</w:t>
            </w:r>
            <w:r>
              <w:rPr>
                <w:rFonts w:ascii="Arial" w:cs="Arial" w:eastAsia="Arial" w:hAnsi="Arial"/>
                <w:sz w:val="9"/>
                <w:szCs w:val="9"/>
                <w:color w:val="auto"/>
              </w:rPr>
              <w:t>(11)</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108,589</w:t>
            </w: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Alexandra Gottschalk</w:t>
            </w:r>
            <w:r>
              <w:rPr>
                <w:rFonts w:ascii="Arial" w:cs="Arial" w:eastAsia="Arial" w:hAnsi="Arial"/>
                <w:sz w:val="9"/>
                <w:szCs w:val="9"/>
                <w:color w:val="auto"/>
              </w:rPr>
              <w:t>(12)</w:t>
            </w:r>
          </w:p>
        </w:tc>
        <w:tc>
          <w:tcPr>
            <w:tcW w:w="1220" w:type="dxa"/>
            <w:vAlign w:val="bottom"/>
          </w:tcPr>
          <w:p>
            <w:pPr>
              <w:jc w:val="right"/>
              <w:ind w:right="237"/>
              <w:spacing w:after="0"/>
              <w:rPr>
                <w:sz w:val="20"/>
                <w:szCs w:val="20"/>
                <w:color w:val="auto"/>
              </w:rPr>
            </w:pPr>
            <w:r>
              <w:rPr>
                <w:rFonts w:ascii="Arial" w:cs="Arial" w:eastAsia="Arial" w:hAnsi="Arial"/>
                <w:sz w:val="13"/>
                <w:szCs w:val="13"/>
                <w:color w:val="auto"/>
              </w:rPr>
              <w:t>21,626</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Jorma Ollila</w:t>
            </w:r>
            <w:r>
              <w:rPr>
                <w:rFonts w:ascii="Arial" w:cs="Arial" w:eastAsia="Arial" w:hAnsi="Arial"/>
                <w:sz w:val="9"/>
                <w:szCs w:val="9"/>
                <w:color w:val="auto"/>
              </w:rPr>
              <w:t>(13)</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15,214</w:t>
            </w: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Jane C. Sherburne</w:t>
            </w:r>
            <w:r>
              <w:rPr>
                <w:rFonts w:ascii="Arial" w:cs="Arial" w:eastAsia="Arial" w:hAnsi="Arial"/>
                <w:sz w:val="9"/>
                <w:szCs w:val="9"/>
                <w:color w:val="auto"/>
              </w:rPr>
              <w:t>(13)</w:t>
            </w:r>
          </w:p>
        </w:tc>
        <w:tc>
          <w:tcPr>
            <w:tcW w:w="1220" w:type="dxa"/>
            <w:vAlign w:val="bottom"/>
          </w:tcPr>
          <w:p>
            <w:pPr>
              <w:jc w:val="right"/>
              <w:ind w:right="237"/>
              <w:spacing w:after="0"/>
              <w:rPr>
                <w:sz w:val="20"/>
                <w:szCs w:val="20"/>
                <w:color w:val="auto"/>
              </w:rPr>
            </w:pPr>
            <w:r>
              <w:rPr>
                <w:rFonts w:ascii="Arial" w:cs="Arial" w:eastAsia="Arial" w:hAnsi="Arial"/>
                <w:sz w:val="13"/>
                <w:szCs w:val="13"/>
                <w:color w:val="auto"/>
              </w:rPr>
              <w:t>21,735</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Elizabeth C. Fascitelli</w:t>
            </w:r>
            <w:r>
              <w:rPr>
                <w:rFonts w:ascii="Arial" w:cs="Arial" w:eastAsia="Arial" w:hAnsi="Arial"/>
                <w:sz w:val="9"/>
                <w:szCs w:val="9"/>
                <w:color w:val="auto"/>
              </w:rPr>
              <w:t>(13)</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15,944</w:t>
            </w: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Kristin Mugford</w:t>
            </w:r>
            <w:r>
              <w:rPr>
                <w:rFonts w:ascii="Arial" w:cs="Arial" w:eastAsia="Arial" w:hAnsi="Arial"/>
                <w:sz w:val="9"/>
                <w:szCs w:val="9"/>
                <w:color w:val="auto"/>
              </w:rPr>
              <w:t>(13)</w:t>
            </w:r>
          </w:p>
        </w:tc>
        <w:tc>
          <w:tcPr>
            <w:tcW w:w="1220" w:type="dxa"/>
            <w:vAlign w:val="bottom"/>
          </w:tcPr>
          <w:p>
            <w:pPr>
              <w:jc w:val="right"/>
              <w:ind w:right="237"/>
              <w:spacing w:after="0"/>
              <w:rPr>
                <w:sz w:val="20"/>
                <w:szCs w:val="20"/>
                <w:color w:val="auto"/>
              </w:rPr>
            </w:pPr>
            <w:r>
              <w:rPr>
                <w:rFonts w:ascii="Arial" w:cs="Arial" w:eastAsia="Arial" w:hAnsi="Arial"/>
                <w:sz w:val="13"/>
                <w:szCs w:val="13"/>
                <w:color w:val="auto"/>
              </w:rPr>
              <w:t>15,944</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7"/>
        </w:trPr>
        <w:tc>
          <w:tcPr>
            <w:tcW w:w="33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All company's directors and executive officers</w:t>
            </w:r>
          </w:p>
        </w:tc>
        <w:tc>
          <w:tcPr>
            <w:tcW w:w="1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5"/>
        </w:trPr>
        <w:tc>
          <w:tcPr>
            <w:tcW w:w="3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 a group (10 persons)</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1,324,783</w:t>
            </w: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2.48%</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39,673,721</w:t>
            </w:r>
          </w:p>
        </w:tc>
        <w:tc>
          <w:tcPr>
            <w:tcW w:w="11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100.00%</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0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Unless otherwise noted, the business address of each of the following entities or individuals is 767 Fifth Avenue, New York, New York 10153.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2" w:name="page33"/>
    <w:bookmarkEnd w:id="32"/>
    <w:p>
      <w:pPr>
        <w:jc w:val="both"/>
        <w:ind w:left="340" w:hanging="332"/>
        <w:spacing w:after="0" w:line="259"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a Schedule 13G/A filed by FMR LLC with the SEC on February 9, 2024.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 Release No. 34-39538 (January 12, 1998).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business address of this stockholder is 245 Summer Street, Boston, MA 02210.</w:t>
      </w:r>
    </w:p>
    <w:p>
      <w:pPr>
        <w:spacing w:after="0" w:line="2" w:lineRule="exact"/>
        <w:rPr>
          <w:rFonts w:ascii="Arial" w:cs="Arial" w:eastAsia="Arial" w:hAnsi="Arial"/>
          <w:sz w:val="14"/>
          <w:szCs w:val="14"/>
          <w:color w:val="auto"/>
        </w:rPr>
      </w:pPr>
    </w:p>
    <w:p>
      <w:pPr>
        <w:jc w:val="both"/>
        <w:ind w:left="340" w:hanging="332"/>
        <w:spacing w:after="0" w:line="257"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a Schedule 13G/A filed by Adage Capital Partners, L.P., a Delaware limited partnership (“ACP”), Adage Capital Partners GP, L.L.C., a Delaware limited liability company (“ACPGP”), Adage Capital Advisors, L.L.C., a Delaware limited liability company (“AC Advisors”), Robert Atchinson and Phillip Gross with the SEC on February 7, 2024. Each of ACP, ACPGP, AC Advisors, Mr. Atchinson and Mr. Gross has shared voting and shared dispositive power with respect to all of the 2,814,843 of the shares of Class A common stock and sole voting and sole dispositive power with respect to none of the shares of Class A common stock.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but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Class A common stock, but each may be deemed to beneficially own the shares beneficially owned by ACP. The business address of this stockholder is 200 Clarendon Street, 52nd Floor, Boston, MA 02116.</w:t>
      </w:r>
    </w:p>
    <w:p>
      <w:pPr>
        <w:jc w:val="both"/>
        <w:ind w:left="340" w:hanging="332"/>
        <w:spacing w:after="0" w:line="26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a Schedule 13G/A filed by BlackRock, Inc. (“BlackRock”) with the SEC on January 26, 2024. BlackRock, as the parent holding company, was the beneficial owner with sole voting power with respect to 3,342,119 of the shares of Class A common stock, sole dispositive power with respect to 3,342,119 of the shares of Class A common stock and shared voting and shared dispositive power with respect to none of the shares of Class A common stock. The address for BlackRock is 55 East 52nd Street, New York, NY 10055.</w:t>
      </w:r>
    </w:p>
    <w:p>
      <w:pPr>
        <w:spacing w:after="0" w:line="1" w:lineRule="exact"/>
        <w:rPr>
          <w:rFonts w:ascii="Arial" w:cs="Arial" w:eastAsia="Arial" w:hAnsi="Arial"/>
          <w:sz w:val="14"/>
          <w:szCs w:val="14"/>
          <w:color w:val="auto"/>
        </w:rPr>
      </w:pPr>
    </w:p>
    <w:p>
      <w:pPr>
        <w:jc w:val="both"/>
        <w:ind w:left="340" w:hanging="332"/>
        <w:spacing w:after="0" w:line="257"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Shares of Class B-1 common stock are held by VoteCo Professionals. This number correlates to 39.7 million PWP OpCo Class A partnership units held by current and former working partners, which represents 39.7 million shares of Class A common stock that may be issuable upon the exchange of 39.7 million PWP OpCo Class A partnership units. VoteCo Professionals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VoteCo Professionals. There is a committee of limited partners at Professionals GP, comprised of our non-independent directors, that has voting and dispositive power over the securities held by VoteCo Professionals. Mr. Weinberg, in his capacity as Chairman, is the chair of such committee and has certain rights with respect to the constitution of the committee. The members of the committee disclaim beneficial ownership of the securities held by VoteCo Professionals, except to the extent of their pecuniary interest therein.</w:t>
      </w:r>
    </w:p>
    <w:p>
      <w:pPr>
        <w:spacing w:after="0" w:line="4"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number excludes 1,122,264 shares of our Class A common stock that may be issuable upon redemption of the 1,122,264 PWP OpCo Class A partnership units and shares of our Class B-2 common stock held by TWCL US Inc.</w:t>
      </w:r>
    </w:p>
    <w:p>
      <w:pPr>
        <w:jc w:val="both"/>
        <w:ind w:left="340" w:hanging="332"/>
        <w:spacing w:after="0" w:line="26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number includes 842,621 shares of our Class A common stock held directly by Red Hook Capital LLC (“Red Hook”) over which Mr. Weinberg has shared voting and dispositive power through his shared control of Rosedale Partners LLC, the sole member of Red Hook. Mr. Weinberg holds or will hold on a fully-vested basis within sixty</w:t>
      </w:r>
    </w:p>
    <w:p>
      <w:pPr>
        <w:jc w:val="both"/>
        <w:ind w:left="340" w:hanging="8"/>
        <w:spacing w:after="0" w:line="259" w:lineRule="auto"/>
        <w:tabs>
          <w:tab w:leader="none" w:pos="655" w:val="left"/>
        </w:tabs>
        <w:numPr>
          <w:ilvl w:val="1"/>
          <w:numId w:val="23"/>
        </w:numPr>
        <w:rPr>
          <w:rFonts w:ascii="Arial" w:cs="Arial" w:eastAsia="Arial" w:hAnsi="Arial"/>
          <w:sz w:val="14"/>
          <w:szCs w:val="14"/>
          <w:color w:val="auto"/>
        </w:rPr>
      </w:pPr>
      <w:r>
        <w:rPr>
          <w:rFonts w:ascii="Arial" w:cs="Arial" w:eastAsia="Arial" w:hAnsi="Arial"/>
          <w:sz w:val="14"/>
          <w:szCs w:val="14"/>
          <w:color w:val="auto"/>
        </w:rPr>
        <w:t>days, directly or indirectly, (i) 1,412,623 PWP OpCo Class A partnership units and (ii) 1,412,623 shares of our Class B-1 common stock, which together may be exchanged for 1,414,035 shares of our Class A common stock. These shares of our Class A common stock represent approximately 2.0%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directly or indirectly, on a fully-vested basis, (i) 3,445,788 PWP OpCo Class A partnership units and (ii) 3,445,788 shares of our Class B-1 common stock, which together may be exchanged for 3,449,233 shares of our Class A common stock. These shares of our Class A common stock represent approximately 3.7%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26" w:right="339" w:bottom="1440" w:gutter="0" w:footer="0" w:header="0"/>
        </w:sectPr>
      </w:pPr>
    </w:p>
    <w:bookmarkStart w:id="33" w:name="page34"/>
    <w:bookmarkEnd w:id="33"/>
    <w:p>
      <w:pPr>
        <w:jc w:val="both"/>
        <w:ind w:left="340" w:hanging="332"/>
        <w:spacing w:after="0" w:line="259"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number excludes 4,121,220 shares of our Class A common stock that may be issuable upon the exchange of (i) 4,117,103 PWP OpCo Class A partnership units and (ii) 4,117,103 shares of our Class B-1 common stock that Mr. Perella holds or will hold, directly or indirectly, on a fully-vested basis within sixty (60) days. These shares of our Class A common stock represent approximately 5.8%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directly or indirectly, on a fully-vested basis, (i) 4,117,103 PWP OpCo Class A partnership units and (ii) 4,117,103 shares of our Class B-1 common stock, which together may be exchanged for 4,121,220 shares of our Class A common stock. These shares of our Class A common stock represent approximately 4.4%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 w:lineRule="exact"/>
        <w:rPr>
          <w:rFonts w:ascii="Arial" w:cs="Arial" w:eastAsia="Arial" w:hAnsi="Arial"/>
          <w:sz w:val="14"/>
          <w:szCs w:val="14"/>
          <w:color w:val="auto"/>
        </w:rPr>
      </w:pPr>
    </w:p>
    <w:p>
      <w:pPr>
        <w:jc w:val="both"/>
        <w:ind w:left="340" w:hanging="332"/>
        <w:spacing w:after="0" w:line="257"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number excludes 711,135 shares of our Class A common stock that may be issuable upon the exchange of (i) 710,425 PWP OpCo Class A partnership units and (ii) 710,425 shares of our Class B-1 common stock that Mr. Steel holds or will hold, directly or indirectly,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directly or indirectly, on a fully-vested basis, (i) 984,511 PWP OpCo Class A partnership units and (ii) 984,511 shares of our Class B-1 common stock, which together may be exchanged for 985,495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jc w:val="both"/>
        <w:ind w:left="340" w:hanging="332"/>
        <w:spacing w:after="0" w:line="259" w:lineRule="auto"/>
        <w:tabs>
          <w:tab w:leader="none" w:pos="339"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number excludes 778,214 shares of our Class A common stock that may be issuable upon the exchange of (i) 777,437 PWP OpCo Class A partnership units and (ii) 777,437 shares of our Class B-1 common stock that Mr. Becker holds or will hold, directly or indirectly,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directly or indirectly, on a fully-vested basis, (i) 2,338,213 PWP OpCo Class A partnership units and (ii) 2,338,213 shares of our Class B-1 common stock, which together may be exchanged for 2,340,551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 w:lineRule="exact"/>
        <w:rPr>
          <w:rFonts w:ascii="Arial" w:cs="Arial" w:eastAsia="Arial" w:hAnsi="Arial"/>
          <w:sz w:val="14"/>
          <w:szCs w:val="14"/>
          <w:color w:val="auto"/>
        </w:rPr>
      </w:pPr>
    </w:p>
    <w:p>
      <w:pPr>
        <w:jc w:val="both"/>
        <w:ind w:left="340" w:hanging="332"/>
        <w:spacing w:after="0" w:line="257" w:lineRule="auto"/>
        <w:tabs>
          <w:tab w:leader="none" w:pos="329"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number excludes 917,171 shares of our Class A common stock that may be issuable upon the exchange of (i) 916,255 PWP OpCo Class A partnership units and (ii) 916,255 shares of our Class B-1 common stock that Mr. Bednar holds or will hold, directly or indirectly,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directly or indirectly, on a fully-vested basis, (i) 2,338,213 PWP OpCo Class A partnership units and (ii) 2,338,213 shares of our Class B-1 common stock, which together may be exchanged for 2,340,551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jc w:val="both"/>
        <w:ind w:left="340" w:hanging="332"/>
        <w:spacing w:after="0" w:line="254" w:lineRule="auto"/>
        <w:tabs>
          <w:tab w:leader="none" w:pos="339"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number excludes 1,017 shares of our Class A common stock that may be issuable upon the exchange of (i) 1,016 PWP OpCo Class A partnership units and (ii) 1,016 shares of our Class B-1 common stock that Ms. Gottschalk holds or will hold, directly or indirectly, on a fully-vested basis within sixty (60) days. These shares of our Class A common stock represent approximately 0.001%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Ms. Gottschalk would hold, directly or indirectly, on a fully-vested basis, (i) 98,451 PWP OpCo Class A partnership units and (ii) 98,451 shares of our Class B-1 common stock, which together may be exchanged for 98,549 shares of our Class A common stock. These shares of our Class A common stock represent approximately 0.1%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shares of Class A common stock that are expected to be acquired on May 22, 2024, upon vesting of shares underlying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26" w:right="339" w:bottom="1440" w:gutter="0" w:footer="0" w:header="0"/>
        </w:sectPr>
      </w:pPr>
    </w:p>
    <w:bookmarkStart w:id="34" w:name="page35"/>
    <w:bookmarkEnd w:id="34"/>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a registered class of the Company’s equity securities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15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To our knowledge, based solely on review of the copies of such reports and any amendments thereto furnished to us during or with respect to our most recent fiscal year, all Section 16(a) filing requirements applicable to the Reporting Persons were satisfied, except that a Form 4 was not filed on a timely basis for: Peter Weinberg, Andrew Bednar, Dietrich Becker, Robert Steel and Alexandra Gottschalk with respect to the grants of RSUs on March 4, 2024 (which were filed by the Company on each individual's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3"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for Related Person Transactions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Chief Legal Officer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Chief Legal Officer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FTIV Related Party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FTIV’s initial stockholders were entitled to registration rights pursuant to a registration rights agreement (the "Registration Rights Agreement”), which was amended and restated in connection with the Business Combination. The Amended and Restated Registration Rights Agreement grants the Registration Rights Agreement parties certain registration rights with respect to their registrable securities. For additional information, see “—PWP Related Party Transactions—Amended and Restated Registration Rights Agreement”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8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connection with the Business Combination, certain individuals entered into the Stockholders Agreement. For additional information, see “—PWP Related Party Transactions —Right of VoteCo Professionals and Stockholders Agreement”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Concurrently with the execution of the Business Combination agreement (the “Business Combination Agreement”), FTIV entered into a support agreement (the “Support Agreement”) with (i) FinTech Investor Holdings IV, LLC (the “Sponsor”), (ii) PWP OpCo, PWP GP, Professional Partners, Professionals GP (together, the “PWP Entities” and individually, a “PWP Entity”), and (iii) the equity holders of the PWP Entities (together with Sponsor and the PWP Entities, “Voting Parties”),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 (C)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Concurrently with the execution of the Business Combination Agreement, we entered into subscription agreements with the PIPE investors (the “Subscription Agreements”),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shares of Class A common stock issued in connection with the Subscription Agreements were not registered under the Securities Act of 1933 (the "Securities Act"), and were issued in reliance on the exemption from registration requirements thereof provided by Section 4(a)(2) of the Securities Act and/or Regulation D promulgated thereunder.</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Subscription Agreements for the non-Sponsor PIPE investors, and other than the subscribing Perella Weinberg Partners executives, provide for certain registration rights. In particular, we were required to, as soon as practicable but no later than 30 calendar days following the closing date of the Business Combination file with the SEC (at our sole cost and expense) a registration statement registering the resale of such shares, and use our commercially reasonable efforts to have such registration statement declared effective as soon as practicable after the filing thereof. We filed the registration statement on July 15, 2021, which was declared effective on July 26, 2021.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of the Business Combination, forfeited an aggregate of 1,023,333 shares of Class B common stock for no consideration and agreed that the 610,000 Placement Shares of Class A common stock underlying the 610,000 units that were initially issued to the Sponsor in a private placement simultaneously with the closing of the IPO (the "Placement Shares") and 6,846,667 Founder Shares held by it would be subject to transfer restrictions for six months following the closing of the Business Combination,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55" w:lineRule="exact"/>
        <w:rPr>
          <w:sz w:val="20"/>
          <w:szCs w:val="20"/>
          <w:color w:val="auto"/>
        </w:rPr>
      </w:pPr>
    </w:p>
    <w:p>
      <w:pPr>
        <w:ind w:left="660" w:right="2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610,000 Placement Shares and 1,369,334 Founder Shares were not transferable or salable until the date that is the six-month anniversary of the closing of the Business Combination, or December 24, 2021 (the “6-Month Anniversary”);</w:t>
      </w:r>
    </w:p>
    <w:p>
      <w:pPr>
        <w:spacing w:after="0" w:line="11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3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14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3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December 24, 2021, the 6-Month Anniversary, all of the Placement Shares and 3,108,001 of the Founder Shares are no longer subject to the transfer restrictions set forth above.</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Sponsor distribution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the $15 Threshold is met. 1,738,680 of the shares distributed in the Sponsor Distribution remain subject to transfer restrictions until the $15 Threshold or the $17 Threshold, as applicable, is met.</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pursuant to the Sponsor Share Surrender and Share Restriction Agreement, if, prior to the fourth anniversary of the closing of the Business Combination, the closing share price is greater than $12.00 per share or $15.00 per share for any period of 20 out of 30 consecutive trading days (each a “Trigger Date”), then, during the 15 day period following such Trigger Date, the Company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August 9, 2021, the Company repurchased 1,000,000 Founder Shares at a purchase price of $12.00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Related Party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Reorganization</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Professional Partners was an aggregator partnership through which certain partners held interests in PWP OpCo, the entity through which the Company holds its advisory business. On December 31, 2023, as part of an internal reorganization and in accordance with Section 17-220 of the Delaware Revised Uniform Limited Partnership Act (the “Act”), Professional Partners was divided into: (i) VoteCo Professionals, (ii) AdCo Professionals and (iii) Professional Partners, which is the “surviving partnership” under the Act. Professional Partners changed its name to PWP AmCo Professionals LP in connection with the Division.</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To effect the Division, Professional Partners entered into a plan of division, which, among other things, provided that (i) all of its limited partnership interests in PWP OpCo and all liabilities primarily relating to its advisory business were allocated to AdCo Professionals, (ii) all of its limited partnership interests in PWP Capital Holdings and all liabilities primarily relating to its asset management business were allocated to AmCo Professionals and (iii) all of its Class B-1 Shares were allocated to VoteCo Professionals.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April 1, 2024, as part of an internal reorganization and in accordance with Section 17-211 of the Act, AdCo Professionals merged with and into PWP OpCo.</w:t>
      </w:r>
    </w:p>
    <w:p>
      <w:pPr>
        <w:spacing w:after="0" w:line="1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effect the Merger, PWP OpCo and AdCo Professionals entered into an agreement and plan of merger, which, among other things, provided that (i) all of the partnership units of AdCo Professionals were converted into an equivalent number of partnership units of PWP OpCo, respectively, (ii) all of the assets and liabilities of AdCo Professionals became the assets and liabilities of PWP OpCo and (iii) PWP OpCo adopted a Second Amended and Restated Agreement of Limited Partnership that, among other things, permits the Company to settle quarterly exchanges of PWP OpCo Class A partnership units and corresponding shares of Class B common stock in cash or shares at the Company's discretion. Certain holders of PWP OpCo Class A partnership units and corresponding shares of Class B common stock are directors and officers of the Company.</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principal purpose of the Division and the Merger was to simplify the structure for the partners in Professional Partners with respect to their indirect interests in PWP OpCo. There was no consideration exchanged in connection with the Division or the Merger, and neither the Division nor the Merger are expected to affect the respective rights or economic interests of the Company, PWP GP, any limited partner of PWP OpCo or any limited partner of Professional Partners with respect to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Acceleration of ACUs and VCUs</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intends to accelerate the vesting of all outstanding (i) VCUs and ACUs of PWP OpCo (collectively, the “OpCo Accelerated Units”) and (ii) corresponding VCUs and ACUs of VoteCo Professionals (collectively, the “VoteCo Accelerated Units”, and together with the OpCo Accelerated Units, the “Accelerated Units”) on a day determined by PWP GP, in its sole discretion, between April 2, 2024 and May 16, 2024. From and after the Vesting Acceleration, the Company anticipates that Accelerated Units will be subject to a lock-up period that is identical to the lockup period applicable to such units prior to the Vesting Acceleration (except that none of the Accelerated Units will be eligible to participate in the quarterly exchange for the third quarter of 2024). Certain holders of VCUs and ACUs subject to the Vesting Acceleration are directors and officers of the Company.</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Vesting Acceleration, the Company is also offering each holder of ACUs of PWP OpCo the option to convert a portion of such holder’s ACUs of PWP OpCo into cash on vesting in an aggregate amount up to such holders’ estimated tax liability, to the extent cash is available for such purpose (in each case, as determined by PWP GP), in which case, among other things, (i) the converted ACUs will be cancelled (the “Cancelled Units”), (ii) the Company will repurchase a number of Class B-1 Shares from VoteCo Professionals equal to the number of Cancelled Units and (iii) a number of ACUs of VoteCo Professionals equal to the Cancelled Units will be repurchased for cash (collectively, the “Cash Conversion”).</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vesting, a portion of the VoteCo ACUs and ACUs of PWP OpCo (the “Withheld Units”) will be withheld by VoteCo Professionals and PWP OpCo and converted into cash to allow for the payment of taxes due by VoteCo Professionals and PWP OpCo, respectively, in connection with the Vesting Acceleration. The Company intends to enter into a repurchase agreement with VoteCo Professionals, which, among other things, will provide that the Company will repurchase a number of Class B-1 Shares from VoteCo Professionals equal to the number of Withheld Units (the “Repurchase”).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closing of the Business Combination, we entered into the Amended and Restated Registration Rights Agreement, with the Sponsor, Professional Partners, and the third party investor limited partners of PWP OpCo (other than Professional Partners) (each such limited partner, an “ILP”) under the LP Agreement, pursuant to which the Registration Rights Agreement parties will be entitled to registration rights in respect of certain shares of our Class A common stock, par value $.0001 per share and certain of our other equity securities that are held by the Registration Rights Agreement parties from time to time.</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Registration Rights Agreement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Registration Rights Agreement parties, which Shelf Registration Statement became effective on July 26, 2021. On July 7, 2022, we filed a post-effective amendment to the Shelf Registration Statement on Form S-3 for the purpose of converting the prior registration statement on Form S-1 into a registration statement on Form S-3.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Registration Rights Agreement parties have certain “piggy-back” registration rights, subject to customary underwriter cutbacks, issuer suspension periods and certain other conditions.</w:t>
      </w:r>
    </w:p>
    <w:p>
      <w:pPr>
        <w:spacing w:after="0" w:line="1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Amended and Restated Registration Rights Agreement includes customary indemnification provisions. The Company bears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VoteCo Professionals and Stockholders Agreement</w:t>
      </w:r>
    </w:p>
    <w:p>
      <w:pPr>
        <w:spacing w:after="0" w:line="1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On the closing date of the Business Combination, the Company and Professional Partners entered into a Stockholders Agreement, pursuant to which, for so long as the Class B Condition is satisfied, Professional Partners will have approval rights over the following actions:</w:t>
      </w:r>
    </w:p>
    <w:p>
      <w:pPr>
        <w:spacing w:after="0" w:line="2" w:lineRule="exact"/>
        <w:rPr>
          <w:sz w:val="20"/>
          <w:szCs w:val="20"/>
          <w:color w:val="auto"/>
        </w:rPr>
      </w:pPr>
    </w:p>
    <w:p>
      <w:pPr>
        <w:jc w:val="both"/>
        <w:ind w:firstLine="8"/>
        <w:spacing w:after="0" w:line="250" w:lineRule="auto"/>
        <w:tabs>
          <w:tab w:leader="none" w:pos="27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(i) any amendment to the Certificate of Incorporation or bylaws of the Company; (j) any amendment to the partnership agreement of PWP OpCo; (k) the renaming of the Company; (l) the adoption of the Company’s annual budget and business plans and any material amendments thereto;</w:t>
      </w:r>
    </w:p>
    <w:p>
      <w:pPr>
        <w:spacing w:after="0" w:line="5" w:lineRule="exact"/>
        <w:rPr>
          <w:rFonts w:ascii="Arial" w:cs="Arial" w:eastAsia="Arial" w:hAnsi="Arial"/>
          <w:sz w:val="18"/>
          <w:szCs w:val="18"/>
          <w:color w:val="auto"/>
        </w:rPr>
      </w:pPr>
    </w:p>
    <w:p>
      <w:pPr>
        <w:jc w:val="both"/>
        <w:ind w:firstLine="8"/>
        <w:spacing w:after="0" w:line="252" w:lineRule="auto"/>
        <w:tabs>
          <w:tab w:leader="none" w:pos="3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for so long as the Secondary Class B Condition is satisfied, VoteCo Professionals will have approval rights over the following actions: (a) any amendment to the Certificate of Incorporation or bylaws of the Company that materially and adversely affects in a disproportionate manner the rights of VoteCo Professionals or its limited partners; and (b) any amendment to the PWP OpCo partnership agreement that materially and adversely affects in a disproportionate manner the rights of VoteCo Professionals or its limited partners.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effect of the agreement is that VoteCo Professionals may maintain control over our significant corporate transactions even if it holds less than a majority of the combined total voting power of our shares of Class A and Class B common stock.</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so long as the Class B Condition is satisfied, VoteCo Professionals will have the right to designate a number of directors equal to a majority of our board of directors. After the Class B Condition is no longer satisfied, and for so long as the Secondary Class B Condition is satisfied, VoteCo Professionals will have the right to designate a number of directors (rounded up to the nearest whole number) equal to one third of our board of directors. VoteCo Professionals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VoteCo Professionals will take all reasonable actions within their respective control so as to cause the Company to continue in office not more than fifteen (15) directors (or such other number of directors as VoteCo Professionals may agree to in writing).</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of Professional Partner’s Limited Partners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Professional Partner’s limited partners are subject to certain restrictive covenants set forth in the Professionals LP Agreement, including</w:t>
      </w:r>
    </w:p>
    <w:p>
      <w:pPr>
        <w:spacing w:after="0" w:line="27" w:lineRule="exact"/>
        <w:rPr>
          <w:sz w:val="20"/>
          <w:szCs w:val="20"/>
          <w:color w:val="auto"/>
        </w:rPr>
      </w:pPr>
    </w:p>
    <w:p>
      <w:pPr>
        <w:jc w:val="both"/>
        <w:ind w:firstLine="8"/>
        <w:spacing w:after="0" w:line="252" w:lineRule="auto"/>
        <w:tabs>
          <w:tab w:leader="none" w:pos="2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Holdings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termination, or breaches any other applicable written covenant between any PWP Entity and the limited partner, then any common units in Professional Partners held by such limited partner will be forfeited on the date of such breach.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ACU Reimbursement Agreement</w:t>
      </w:r>
    </w:p>
    <w:p>
      <w:pPr>
        <w:spacing w:after="0" w:line="1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Agreements with PWP Capital Holdings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December 31, 2023, PWP was party to the transition services agreement (the “TSA”) with PWP Capital Holdings. Under the TSA, PWP agreed to provide certain corporate services to PWP Capital Holdings. Under the TSA, each party was entitled to use the services provided to it for a fixed term established on a service-by-service basis, which term would be extended until terminated by the provider of the applicable service. Generally, each party indemnified the other party and its respective directors, officers, employees, agents, consultants and contractors against losses relating to third party claims resulting from the transitional services. The TSA was terminated effective as of December 31,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of Division and Master Separation Agreement</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separation of the advisory business from the asset management business of PWP OpCo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 Holdings.</w:t>
      </w:r>
    </w:p>
    <w:p>
      <w:pPr>
        <w:spacing w:after="0" w:line="1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PWP is party to a master separation agreement with PWP Capital Holdings relating to the PWP Separation. The agreement sets forth, among other things, the ongoing obligations of PWP OpCo and PWP Capital Holdings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Holdings the financial responsibility for all assets and liabilities associated with the asset management business and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PWP is party to a trademark license agreement with PWP Capital Holdings, under which PWP Capital Holdings has the right to use certain trademarks owned by us and specified therein and that were in use by the asset management business prior to the PWP Separation. The licenses are non-exclusive, non-transferable (except under certain conditions), non-sublicensable (except under certain conditions) and royalty-free. The agreement will last for a period of at least one year, subject to automatic extension, and may be terminated by PWP in the event that PWP Capital Holdings becomes insolvent, makes an assignment for the benefit of its creditors or breaches the agreement and fails to cure such breach, or in its sole discretion upon 60 days’ written notice to PWP Capital Holdings.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Agreement</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PWP Separation, PWP subleased a portion of its office space at its New York location to PWP Capital Holdings. In December 2021, PWP executed a sublease amendment to extend the sublease term for 19 months to August 31, 2023 and to reduce the size of the subleased premises. In August 2023, PWP executed a sublease amendment to extend the sublease term for two months to October 31, 2023. In accordance with the sublease, as amended, PWP Capital Holdings paid to PWP a base rent of $38,400 per month and other lease related charges. The sublease was terminated effective as of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17" w:right="339" w:bottom="1440" w:gutter="0" w:footer="0" w:header="0"/>
        </w:sectPr>
      </w:pPr>
    </w:p>
    <w:bookmarkStart w:id="43" w:name="page44"/>
    <w:bookmarkEnd w:id="43"/>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9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Holdings. We may also enter into additional support and administration agreements with PWP Capital Holdings on arm’s length terms.</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1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From time-to-time, we may make investments in one or more entities, which investments may permit multiple employees, officers or directors to make investments for the benefit of such employee, officer or director.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closing of the Business Combination, we entered into a Tax Receivable Agreement (the “TRA”) with PWP OpCo, Professional Partners and ILPs (the “TRA Parties” and individually, a “TRA Party”). The Tax Receivable Agreement generally provides for payment of 85% of the amount of cash tax savings, if any, in U.S. federal, state, local and foreign income taxes and related interest realized (or deemed realized) by Perella Weinberg Partners as a result of (a) the Business Combination and related transactions, (b) exchanges of interests in PWP OpCo for cash or stock of the Company and certain other transactions and (c) payments made under the TRA. We expect to retain the benefit of the remaining cash tax savings.</w:t>
      </w:r>
    </w:p>
    <w:p>
      <w:pPr>
        <w:spacing w:after="0" w:line="1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purposes of the TRA,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TRA. The term of the TRA commenced upon consummation of the Business Combination and will continue until all tax benefits have been utilized or expired, unless the Company exercises its right to terminate the TRA for an amount based on a specified formula to determine the present value of payments remaining to be made under the agreement (including payments that would be made if all PWP OpCo Class A partnership units were then exchanged for our Class A common stock). The TRA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TRA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payment obligation under the TRA is an obligation of Perella Weinberg Partners and not an obligation of PWP OpCo. In addition, although we are not aware of any issue that would cause the IRS to challenge a tax basis increase that results in a payment under the TRA, the TRA Parties will not reimburse us for any payments previously made under the TRA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TRA in excess of our actual cash tax savings. While the actual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TRA, the payments that we may make to the TRA Parties could be substantial. Payments made under the TRA are required to be made within 270 days of the filing of the Company's tax returns. Because we generally expect to receive the tax savings prior to making the cash payments to the TRA Parties, we do not expect the cash payments to have a material impact on our liquidity.</w:t>
      </w:r>
    </w:p>
    <w:p>
      <w:pPr>
        <w:spacing w:after="0" w:line="1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the Secured Overnight Financing Rate plus 310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2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2023 in amounts equal to $510,500 and $1,637,490, respectively. For Mr. Steel, $200,990 of such reported compensation represents the fair value, calculated in accordance with FASB ASC Topic 718, of the equity-based portion of our annual incentive bonus granted to him in the first quarter of 2023 for 2022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INDEPENDENT AUDITOR APPOINTMENT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audit committee has appointed Ernst &amp; Young LLP as our independent registered public accounting firm for the fiscal year ending December 31, 2024. Although stockholder ratification of the appointment of Ernst &amp; Young LLP is not required by law, we are submitting the appointment to our stockholders for ratification as a matter of good corporate governance. The ratification of the appointment of Ernst &amp; Young LLP requires the vote of the holders of a majority of the voting power of the shares represented at the meeting and entitled to vote on such question, voting as a single class. If stockholders do not ratify the appointment of Ernst &amp; Young LLP, the audit committee will reconsider the appointment. Even if stockholders ratify the appointment of Ernst &amp; Young LLP, the audit committee retains the discretion to appoint a different independent auditor at any time if it determines that such a change would be in the best interests of the Company and its stockholders.</w:t>
      </w:r>
    </w:p>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Representatives of Ernst &amp; Young LLP are expected to attend the Annual Meeting, will have an opportunity to make a statement if they desire to do so and are expected to be available to respond to appropriate questions.</w:t>
      </w:r>
    </w:p>
    <w:p>
      <w:pPr>
        <w:spacing w:after="0" w:line="15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our independent registered public accounting firm for the fiscal year ending December 31, 2024.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aggregate fees billed to the Company for services rendered by Ernst &amp; Young LLP during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5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2,207,705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2,235,500</w:t>
            </w:r>
          </w:p>
        </w:tc>
        <w:tc>
          <w:tcPr>
            <w:tcW w:w="0" w:type="dxa"/>
            <w:vAlign w:val="bottom"/>
          </w:tcPr>
          <w:p>
            <w:pPr>
              <w:spacing w:after="0"/>
              <w:rPr>
                <w:sz w:val="1"/>
                <w:szCs w:val="1"/>
                <w:color w:val="auto"/>
              </w:rPr>
            </w:pPr>
          </w:p>
        </w:tc>
      </w:tr>
      <w:tr>
        <w:trPr>
          <w:trHeight w:val="315"/>
        </w:trPr>
        <w:tc>
          <w:tcPr>
            <w:tcW w:w="726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440" w:type="dxa"/>
            <w:vAlign w:val="bottom"/>
          </w:tcPr>
          <w:p>
            <w:pPr>
              <w:spacing w:after="0"/>
              <w:rPr>
                <w:sz w:val="24"/>
                <w:szCs w:val="24"/>
                <w:color w:val="auto"/>
              </w:rPr>
            </w:pPr>
          </w:p>
        </w:tc>
        <w:tc>
          <w:tcPr>
            <w:tcW w:w="16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(2)</w:t>
            </w: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26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44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2"/>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2,270,383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2,235,500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left="340" w:hanging="332"/>
        <w:spacing w:after="0" w:line="268"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Audit fees include fees for services rendered for the audit and quarterly reviews of our consolidated financial statements, including those filed with the SEC on Forms 10-K and 10-Q, respectively, as well as statutory and financial audits for our United States and foreign consolidated subsidiaries. Additionally, audit fees include other regulatory filings, and similar engagements, such as attest services, comfort letters, consents, and reviews of documents filed with or submitted to the SEC.</w:t>
      </w:r>
    </w:p>
    <w:p>
      <w:pPr>
        <w:spacing w:after="0" w:line="1" w:lineRule="exact"/>
        <w:rPr>
          <w:rFonts w:ascii="Arial" w:cs="Arial" w:eastAsia="Arial" w:hAnsi="Arial"/>
          <w:sz w:val="14"/>
          <w:szCs w:val="14"/>
          <w:color w:val="auto"/>
        </w:rPr>
      </w:pPr>
    </w:p>
    <w:p>
      <w:pPr>
        <w:jc w:val="both"/>
        <w:ind w:left="340" w:hanging="332"/>
        <w:spacing w:after="0" w:line="270"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Tax fees represent fees for services performed by the independent registered public accounting firm’s tax personnel, except those services specifically related to the audit and review of the financial statements, and consisted of tax consulting and compliance professional services, including to our United States and foreign consolidated subsidiaries.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Since our Business Combination, all services performed by Ernst &amp; Young LLP for the Company and its subsidiaries have been pre-approved by the audit committee.</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audit committee has adopted a pre-approval policy, which requires that before the independent auditor is engaged for any services, the audit committee must approve these services, including the fees and terms. Services are reviewed taking into account the terms of the policy, and, for types of services not pre-approved in the policy, the rules of the SEC and the Public Company Accounting Oversight Board.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440" w:right="339" w:bottom="1440" w:gutter="0" w:footer="0" w:header="0"/>
          <w:type w:val="continuous"/>
        </w:sectPr>
      </w:pPr>
    </w:p>
    <w:bookmarkStart w:id="46" w:name="page47"/>
    <w:bookmarkEnd w:id="46"/>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audit committee is responsible primarily for assisting the board of directors in fulfilling its legal and fiduciary obligations with respect to matters involving the accounting, auditing, financial reporting, internal control and legal compliance functions of the Company and its subsidiaries. The committee assists in the board of directors’ oversight of the integrity of the Company’s financial statements, the Company’s compliance with legal and regulatory requirements, the Company’s independent auditors’ qualifications and independence, and the performance of the Company’s independent auditors and the Company’s internal audit function.</w:t>
      </w:r>
    </w:p>
    <w:p>
      <w:pPr>
        <w:spacing w:after="0" w:line="1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management is responsible for the preparation and presentation of the Company’s financial statements, the effectiveness of internal control over financial reporting, and procedures that are reasonably designed to ensure compliance with accounting standards and applicable laws and regulations. The Company’s independent registered public accounting firm, Ernst &amp; Young LLP,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14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audit committee has reviewed and discussed the audited financial statements for the year ended December 31, 2023 with the Company’s management and Ernst &amp; Young LLP. The audit committee has discussed with the independent auditors the matters required to be discussed by the applicable requirements of the PCAOB and the Securities and Exchange Commission.</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audit committee has received the written disclosures and the letter from Ernst &amp; Young LLP required by applicable requirements of the PCAOB regarding auditor communications with the audit committee concerning independence, and has discussed with Ernst &amp; Young LLP its independence.</w:t>
      </w:r>
    </w:p>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Based on such review and discussions, the audit committee recommended to the Company’s board of directors that the financial statements referred to above be included in the Annual Report on Form 10-K for the fiscal year ended December 31, 2023.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Jorma Ollila (Chair)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Jane C. Sherburne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Elizabeth (Beth) Cogan Fascitelli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Kristin W. Mugford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7"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PROPOSAL 3: APPROVAL OF AMENDMENT TO OUR RESTATED CERTIFICATE OF INCORPORATION TO UPDATE THE EXCULPATION PROVISION</w:t>
      </w:r>
    </w:p>
    <w:p>
      <w:pPr>
        <w:spacing w:after="0" w:line="13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Effective August 1, 2022, Section 102(b)(7) of the Delaware General Corporation Law (the “DGCL”) was amended to permit a corporation’s certificate of incorporation to include a provision eliminating or limiting monetary liability for certain senior corporate officers for breach of the duty of care in certain circumstances (the “DGCL Amendment”). Currently, Article FIFTH of the Certificate of Incorporation limits the monetary liability of directors in certain circumstances but does not similarly exculpate officers. As discussed below, after considering the DGCL Amendment, the board of directors unanimously adopted a resolution to amend Article FIFTH of the Certificate of Incorporation consistent with the DGCL Amendment, subject to stockholder approval. In addition, PWP Professionals Partners previously approved the proposed changes in accordance with the Stockholders’ Agreement.</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 xml:space="preserve">Upon approval of this proposal, the Company will file a Certificate of Amendment of our Certificate of Incorporation reflecting the proposed changes (the “Proposed Amendment”) substantially in the form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Possible Effects of the Proposed Amendment</w:t>
      </w:r>
    </w:p>
    <w:p>
      <w:pPr>
        <w:spacing w:after="0" w:line="2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board of directors deems it in the best interests of the Company and its stockholders to amend the Certificate of Incorporation to maintain provisions consistent with the DGCL and believes that amending the Certificate of Incorporation to add the authorized liability protection for certain officers to more closely align with the protection in the Certificate of Incorporation currently afforded our directors, is an important factor in attracting and retaining experienced and qualified officers.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Proposed Amendment would allow for the exculpation of certain officers only in connection with direct claims brought by stockholders, including class actions, but would not eliminate officers’ monetary liability for breach of fiduciary duty claims brought by the Company itself or for derivative claims brought by stockholders in the name of the Company. As is currently the case with directors under the Certificate of Incorporation, the Proposed Amendment would not limit the liability of officers for: (i) any breach of the duty of loyalty to the Company or its stockholders; (ii) any acts or omissions not in good faith or which involve intentional misconduct or a knowing violation of the law; and (iii) any transaction from which the officer derived an improper personal benefit.</w:t>
      </w:r>
    </w:p>
    <w:p>
      <w:pPr>
        <w:spacing w:after="0" w:line="1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Proposed Amendment is not being proposed in response to any specific resignation, threat of resignation or refusal to serve by any director or officer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Approval of this proposal requires the affirmative vote of the holders of at least two-thirds of the combined voting power of the shares entitled to vote in connection with the election of directors. Abstentions and broker non-votes will have the same effect as votes “AGAINST” this proposal. If shareholder approval for this proposal is not obtained, then the Certificate of Incorporation will remain unchanged and a Certificate of Amendment will not be filed with the Delaware Secretary of State.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approval of the Proposed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Submitting Stockholder Proposals and Director Nominations</w:t>
      </w:r>
    </w:p>
    <w:p>
      <w:pPr>
        <w:spacing w:after="0" w:line="1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Stockholder proposals intended to be presented at the 2025 Annual Meeting of Stockholders (the “2025 Annual Meeting”), pursuant to Exchange Act Rule 14a-8 must be delivered to the Corporate Secretary at our principal executive offices no later than December 3, 2024, in order to be included in the our proxy materials for that meeting. Such proposals must also comply with all applicable provisions of Exchange Act Rule 14a-8 and our bylaws.</w:t>
      </w:r>
    </w:p>
    <w:p>
      <w:pPr>
        <w:spacing w:after="0" w:line="14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our bylaws, stockholder proposals submitted for consideration at any annual meeting of stockholders, but not submitted for inclusion in our proxy materials pursuant to Exchange Act Rule 14a-8, including nominations for candidates for election as directors, must be delivered to our Corporate Secretary at our principal executive offices not less than 90 days or more than 120 days prior to the anniversary of the immediately preceding annual meeting of stockholders. Accordingly, stockholder proposals and nominations under our bylaws must be delivered no earlier than January 22, 2025, and no later than February 21, 2025. However, if the annual meeting occurs more than 25 days before or after this anniversary date, proposals must be delivered no later than the close of business on the tenth day following the earlier of</w:t>
      </w:r>
    </w:p>
    <w:p>
      <w:pPr>
        <w:spacing w:after="0" w:line="5" w:lineRule="exact"/>
        <w:rPr>
          <w:sz w:val="20"/>
          <w:szCs w:val="20"/>
          <w:color w:val="auto"/>
        </w:rPr>
      </w:pPr>
    </w:p>
    <w:p>
      <w:pPr>
        <w:jc w:val="both"/>
        <w:ind w:right="20" w:firstLine="8"/>
        <w:spacing w:after="0" w:line="258" w:lineRule="auto"/>
        <w:tabs>
          <w:tab w:leader="none" w:pos="2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that the meeting notice is mailed or (ii) the first public announcement of the meeting date. Director nominations for consideration at any special meeting of stockholders called for the purpose of electing directors must be delivered on or before the tenth day following the earlier of (i) the date that the meeting notice is mailed or (ii) the first public announcement of the meeting date.</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Stockholder proposals and nominations must include all required information concerning the stockholder and the proposal or nominee set forth in our bylaws.</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to satisfying the requirements of our bylaws, including the deadline for notice of nominations, stockholders who intend to solicit proxies in support of director nominees other than the Company’s nominees must provide notice that sets forth any additional information required by Rule 14a-19 of the Exchange Act no later than March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6892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6917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lowerRoman"/>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upperLetter"/>
      <w:start w:val="6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2"/>
    </w:lvl>
    <w:lvl w:ilvl="1">
      <w:lvlJc w:val="left"/>
      <w:lvlText w:val="(%2)"/>
      <w:numFmt w:val="decimal"/>
      <w:start w:val="60"/>
    </w:lvl>
  </w:abstractNum>
  <w:abstractNum w:abstractNumId="23">
    <w:nsid w:val="54E49EB4"/>
    <w:multiLevelType w:val="hybridMultilevel"/>
    <w:lvl w:ilvl="0">
      <w:lvlJc w:val="left"/>
      <w:lvlText w:val="(%1)"/>
      <w:numFmt w:val="decimal"/>
      <w:start w:val="8"/>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13"/>
    </w:lvl>
  </w:abstractNum>
  <w:abstractNum w:abstractNumId="27">
    <w:nsid w:val="2901D82"/>
    <w:multiLevelType w:val="hybridMultilevel"/>
    <w:lvl w:ilvl="0">
      <w:lvlJc w:val="left"/>
      <w:lvlText w:val="(%1)"/>
      <w:numFmt w:val="lowerRoman"/>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2024-04-09T08:40:20Z</dcterms:created>
  <dcterms:modified xsi:type="dcterms:W3CDTF">2024-04-09T08:40:20Z</dcterms:modified>
</cp:coreProperties>
</file>