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328295</wp:posOffset>
            </wp:positionH>
            <wp:positionV relativeFrom="page">
              <wp:posOffset>586105</wp:posOffset>
            </wp:positionV>
            <wp:extent cx="690054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00545" cy="17145"/>
                    </a:xfrm>
                    <a:prstGeom prst="rect">
                      <a:avLst/>
                    </a:prstGeom>
                    <a:noFill/>
                  </pic:spPr>
                </pic:pic>
              </a:graphicData>
            </a:graphic>
          </wp:anchor>
        </w:drawing>
        <w:drawing>
          <wp:anchor simplePos="0" relativeHeight="251657728" behindDoc="1" locked="0" layoutInCell="0" allowOverlap="1">
            <wp:simplePos x="0" y="0"/>
            <wp:positionH relativeFrom="page">
              <wp:posOffset>328295</wp:posOffset>
            </wp:positionH>
            <wp:positionV relativeFrom="page">
              <wp:posOffset>620395</wp:posOffset>
            </wp:positionV>
            <wp:extent cx="690054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00545" cy="17145"/>
                    </a:xfrm>
                    <a:prstGeom prst="rect">
                      <a:avLst/>
                    </a:prstGeom>
                    <a:noFill/>
                  </pic:spPr>
                </pic:pic>
              </a:graphicData>
            </a:graphic>
          </wp:anchor>
        </w:drawing>
        <w:t>UNITED STATES</w:t>
      </w:r>
    </w:p>
    <w:p>
      <w:pPr>
        <w:jc w:val="center"/>
        <w:spacing w:after="0" w:line="211" w:lineRule="auto"/>
        <w:rPr>
          <w:sz w:val="20"/>
          <w:szCs w:val="20"/>
          <w:color w:val="auto"/>
        </w:rPr>
      </w:pPr>
      <w:r>
        <w:rPr>
          <w:rFonts w:ascii="Times New Roman" w:cs="Times New Roman" w:eastAsia="Times New Roman" w:hAnsi="Times New Roman"/>
          <w:sz w:val="29"/>
          <w:szCs w:val="29"/>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485140</wp:posOffset>
            </wp:positionH>
            <wp:positionV relativeFrom="paragraph">
              <wp:posOffset>29845</wp:posOffset>
            </wp:positionV>
            <wp:extent cx="618045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180455" cy="17145"/>
                    </a:xfrm>
                    <a:prstGeom prst="rect">
                      <a:avLst/>
                    </a:prstGeom>
                    <a:noFill/>
                  </pic:spPr>
                </pic:pic>
              </a:graphicData>
            </a:graphic>
          </wp:anchor>
        </w:drawing>
      </w:r>
    </w:p>
    <w:p>
      <w:pPr>
        <w:spacing w:after="0" w:line="2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485140</wp:posOffset>
            </wp:positionH>
            <wp:positionV relativeFrom="paragraph">
              <wp:posOffset>78105</wp:posOffset>
            </wp:positionV>
            <wp:extent cx="618045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180455" cy="17145"/>
                    </a:xfrm>
                    <a:prstGeom prst="rect">
                      <a:avLst/>
                    </a:prstGeom>
                    <a:noFill/>
                  </pic:spPr>
                </pic:pic>
              </a:graphicData>
            </a:graphic>
          </wp:anchor>
        </w:drawing>
      </w:r>
    </w:p>
    <w:p>
      <w:pPr>
        <w:spacing w:after="0" w:line="200" w:lineRule="exact"/>
        <w:rPr>
          <w:sz w:val="24"/>
          <w:szCs w:val="24"/>
          <w:color w:val="auto"/>
        </w:rPr>
      </w:pPr>
    </w:p>
    <w:p>
      <w:pPr>
        <w:spacing w:after="0" w:line="25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jc w:val="center"/>
        <w:spacing w:after="0" w:line="204" w:lineRule="auto"/>
        <w:rPr>
          <w:sz w:val="20"/>
          <w:szCs w:val="20"/>
          <w:color w:val="auto"/>
        </w:rPr>
      </w:pPr>
      <w:r>
        <w:rPr>
          <w:rFonts w:ascii="Times New Roman" w:cs="Times New Roman" w:eastAsia="Times New Roman" w:hAnsi="Times New Roman"/>
          <w:sz w:val="22"/>
          <w:szCs w:val="22"/>
          <w:b w:val="1"/>
          <w:bCs w:val="1"/>
          <w:color w:val="auto"/>
        </w:rPr>
        <w:t>PURSUANT TO SECTION 13 OR 15(d)</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2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February 22, 2023</w:t>
      </w:r>
    </w:p>
    <w:p>
      <w:pPr>
        <w:spacing w:after="0" w:line="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Commission File Number: 001-39558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485140</wp:posOffset>
            </wp:positionH>
            <wp:positionV relativeFrom="paragraph">
              <wp:posOffset>93345</wp:posOffset>
            </wp:positionV>
            <wp:extent cx="618045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180455" cy="17145"/>
                    </a:xfrm>
                    <a:prstGeom prst="rect">
                      <a:avLst/>
                    </a:prstGeom>
                    <a:noFill/>
                  </pic:spPr>
                </pic:pic>
              </a:graphicData>
            </a:graphic>
          </wp:anchor>
        </w:drawing>
      </w:r>
    </w:p>
    <w:p>
      <w:pPr>
        <w:spacing w:after="0" w:line="16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0"/>
          <w:szCs w:val="40"/>
          <w:b w:val="1"/>
          <w:bCs w:val="1"/>
          <w:color w:val="auto"/>
        </w:rPr>
        <w:t>PERELLA WEINBERG PARTNERS</w:t>
      </w: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485140</wp:posOffset>
            </wp:positionH>
            <wp:positionV relativeFrom="paragraph">
              <wp:posOffset>96520</wp:posOffset>
            </wp:positionV>
            <wp:extent cx="618045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180455" cy="17145"/>
                    </a:xfrm>
                    <a:prstGeom prst="rect">
                      <a:avLst/>
                    </a:prstGeom>
                    <a:noFill/>
                  </pic:spPr>
                </pic:pic>
              </a:graphicData>
            </a:graphic>
          </wp:anchor>
        </w:drawing>
      </w:r>
    </w:p>
    <w:p>
      <w:pPr>
        <w:spacing w:after="0" w:line="200" w:lineRule="exact"/>
        <w:rPr>
          <w:sz w:val="24"/>
          <w:szCs w:val="24"/>
          <w:color w:val="auto"/>
        </w:rPr>
      </w:pPr>
    </w:p>
    <w:p>
      <w:pPr>
        <w:spacing w:after="0" w:line="314" w:lineRule="exact"/>
        <w:rPr>
          <w:sz w:val="24"/>
          <w:szCs w:val="24"/>
          <w:color w:val="auto"/>
        </w:rPr>
      </w:pPr>
    </w:p>
    <w:tbl>
      <w:tblPr>
        <w:tblLayout w:type="fixed"/>
        <w:tblInd w:w="1020" w:type="dxa"/>
        <w:tblCellMar>
          <w:top w:w="0" w:type="dxa"/>
          <w:left w:w="0" w:type="dxa"/>
          <w:bottom w:w="0" w:type="dxa"/>
          <w:right w:w="0" w:type="dxa"/>
        </w:tblCellMar>
      </w:tblPr>
      <w:tr>
        <w:trPr>
          <w:trHeight w:val="232"/>
        </w:trPr>
        <w:tc>
          <w:tcPr>
            <w:tcW w:w="4800" w:type="dxa"/>
            <w:vAlign w:val="bottom"/>
          </w:tcPr>
          <w:p>
            <w:pPr>
              <w:jc w:val="center"/>
              <w:ind w:right="1421"/>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3420" w:type="dxa"/>
            <w:vAlign w:val="bottom"/>
          </w:tcPr>
          <w:p>
            <w:pPr>
              <w:jc w:val="right"/>
              <w:ind w:right="444"/>
              <w:spacing w:after="0"/>
              <w:rPr>
                <w:sz w:val="20"/>
                <w:szCs w:val="20"/>
                <w:color w:val="auto"/>
              </w:rPr>
            </w:pPr>
            <w:r>
              <w:rPr>
                <w:rFonts w:ascii="Times New Roman" w:cs="Times New Roman" w:eastAsia="Times New Roman" w:hAnsi="Times New Roman"/>
                <w:sz w:val="18"/>
                <w:szCs w:val="18"/>
                <w:b w:val="1"/>
                <w:bCs w:val="1"/>
                <w:color w:val="auto"/>
              </w:rPr>
              <w:t>84-1770732</w:t>
            </w:r>
          </w:p>
        </w:tc>
        <w:tc>
          <w:tcPr>
            <w:tcW w:w="0" w:type="dxa"/>
            <w:vAlign w:val="bottom"/>
          </w:tcPr>
          <w:p>
            <w:pPr>
              <w:spacing w:after="0"/>
              <w:rPr>
                <w:sz w:val="1"/>
                <w:szCs w:val="1"/>
                <w:color w:val="auto"/>
              </w:rPr>
            </w:pPr>
          </w:p>
        </w:tc>
      </w:tr>
      <w:tr>
        <w:trPr>
          <w:trHeight w:val="166"/>
        </w:trPr>
        <w:tc>
          <w:tcPr>
            <w:tcW w:w="4800" w:type="dxa"/>
            <w:vAlign w:val="bottom"/>
          </w:tcPr>
          <w:p>
            <w:pPr>
              <w:jc w:val="center"/>
              <w:ind w:right="1441"/>
              <w:spacing w:after="0"/>
              <w:rPr>
                <w:sz w:val="20"/>
                <w:szCs w:val="20"/>
                <w:color w:val="auto"/>
              </w:rPr>
            </w:pPr>
            <w:r>
              <w:rPr>
                <w:rFonts w:ascii="Times New Roman" w:cs="Times New Roman" w:eastAsia="Times New Roman" w:hAnsi="Times New Roman"/>
                <w:sz w:val="13"/>
                <w:szCs w:val="13"/>
                <w:b w:val="1"/>
                <w:bCs w:val="1"/>
                <w:color w:val="auto"/>
                <w:w w:val="96"/>
              </w:rPr>
              <w:t>( State or other jurisdiction of incorporation or organization)</w:t>
            </w:r>
          </w:p>
        </w:tc>
        <w:tc>
          <w:tcPr>
            <w:tcW w:w="3420" w:type="dxa"/>
            <w:vAlign w:val="bottom"/>
          </w:tcPr>
          <w:p>
            <w:pPr>
              <w:jc w:val="center"/>
              <w:ind w:left="1424"/>
              <w:spacing w:after="0"/>
              <w:rPr>
                <w:sz w:val="20"/>
                <w:szCs w:val="20"/>
                <w:color w:val="auto"/>
              </w:rPr>
            </w:pPr>
            <w:r>
              <w:rPr>
                <w:rFonts w:ascii="Times New Roman" w:cs="Times New Roman" w:eastAsia="Times New Roman" w:hAnsi="Times New Roman"/>
                <w:sz w:val="13"/>
                <w:szCs w:val="13"/>
                <w:b w:val="1"/>
                <w:bCs w:val="1"/>
                <w:color w:val="auto"/>
                <w:w w:val="96"/>
              </w:rPr>
              <w:t>(I.R.S. Employer Identification No.)</w:t>
            </w:r>
          </w:p>
        </w:tc>
        <w:tc>
          <w:tcPr>
            <w:tcW w:w="0" w:type="dxa"/>
            <w:vAlign w:val="bottom"/>
          </w:tcPr>
          <w:p>
            <w:pPr>
              <w:spacing w:after="0"/>
              <w:rPr>
                <w:sz w:val="1"/>
                <w:szCs w:val="1"/>
                <w:color w:val="auto"/>
              </w:rPr>
            </w:pPr>
          </w:p>
        </w:tc>
      </w:tr>
      <w:tr>
        <w:trPr>
          <w:trHeight w:val="245"/>
        </w:trPr>
        <w:tc>
          <w:tcPr>
            <w:tcW w:w="4800" w:type="dxa"/>
            <w:vAlign w:val="bottom"/>
          </w:tcPr>
          <w:p>
            <w:pPr>
              <w:jc w:val="center"/>
              <w:ind w:right="1421"/>
              <w:spacing w:after="0"/>
              <w:rPr>
                <w:sz w:val="20"/>
                <w:szCs w:val="20"/>
                <w:color w:val="auto"/>
              </w:rPr>
            </w:pPr>
            <w:r>
              <w:rPr>
                <w:rFonts w:ascii="Times New Roman" w:cs="Times New Roman" w:eastAsia="Times New Roman" w:hAnsi="Times New Roman"/>
                <w:sz w:val="18"/>
                <w:szCs w:val="18"/>
                <w:b w:val="1"/>
                <w:bCs w:val="1"/>
                <w:color w:val="auto"/>
                <w:w w:val="98"/>
              </w:rPr>
              <w:t>767 Fifth Avenue</w:t>
            </w:r>
          </w:p>
        </w:tc>
        <w:tc>
          <w:tcPr>
            <w:tcW w:w="3420" w:type="dxa"/>
            <w:vAlign w:val="bottom"/>
            <w:vMerge w:val="restart"/>
          </w:tcPr>
          <w:p>
            <w:pPr>
              <w:jc w:val="right"/>
              <w:ind w:right="664"/>
              <w:spacing w:after="0"/>
              <w:rPr>
                <w:sz w:val="20"/>
                <w:szCs w:val="20"/>
                <w:color w:val="auto"/>
              </w:rPr>
            </w:pPr>
            <w:r>
              <w:rPr>
                <w:rFonts w:ascii="Times New Roman" w:cs="Times New Roman" w:eastAsia="Times New Roman" w:hAnsi="Times New Roman"/>
                <w:sz w:val="18"/>
                <w:szCs w:val="18"/>
                <w:b w:val="1"/>
                <w:bCs w:val="1"/>
                <w:color w:val="auto"/>
              </w:rPr>
              <w:t>10153</w:t>
            </w:r>
          </w:p>
        </w:tc>
        <w:tc>
          <w:tcPr>
            <w:tcW w:w="0" w:type="dxa"/>
            <w:vAlign w:val="bottom"/>
          </w:tcPr>
          <w:p>
            <w:pPr>
              <w:spacing w:after="0"/>
              <w:rPr>
                <w:sz w:val="1"/>
                <w:szCs w:val="1"/>
                <w:color w:val="auto"/>
              </w:rPr>
            </w:pPr>
          </w:p>
        </w:tc>
      </w:tr>
      <w:tr>
        <w:trPr>
          <w:trHeight w:val="236"/>
        </w:trPr>
        <w:tc>
          <w:tcPr>
            <w:tcW w:w="4800" w:type="dxa"/>
            <w:vAlign w:val="bottom"/>
          </w:tcPr>
          <w:p>
            <w:pPr>
              <w:jc w:val="center"/>
              <w:ind w:right="1421"/>
              <w:spacing w:after="0"/>
              <w:rPr>
                <w:sz w:val="20"/>
                <w:szCs w:val="20"/>
                <w:color w:val="auto"/>
              </w:rPr>
            </w:pPr>
            <w:r>
              <w:rPr>
                <w:rFonts w:ascii="Times New Roman" w:cs="Times New Roman" w:eastAsia="Times New Roman" w:hAnsi="Times New Roman"/>
                <w:sz w:val="18"/>
                <w:szCs w:val="18"/>
                <w:b w:val="1"/>
                <w:bCs w:val="1"/>
                <w:color w:val="auto"/>
                <w:w w:val="96"/>
              </w:rPr>
              <w:t>New York, NY</w:t>
            </w:r>
          </w:p>
        </w:tc>
        <w:tc>
          <w:tcPr>
            <w:tcW w:w="34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66"/>
        </w:trPr>
        <w:tc>
          <w:tcPr>
            <w:tcW w:w="4800" w:type="dxa"/>
            <w:vAlign w:val="bottom"/>
          </w:tcPr>
          <w:p>
            <w:pPr>
              <w:jc w:val="center"/>
              <w:ind w:right="1441"/>
              <w:spacing w:after="0"/>
              <w:rPr>
                <w:sz w:val="20"/>
                <w:szCs w:val="20"/>
                <w:color w:val="auto"/>
              </w:rPr>
            </w:pPr>
            <w:r>
              <w:rPr>
                <w:rFonts w:ascii="Times New Roman" w:cs="Times New Roman" w:eastAsia="Times New Roman" w:hAnsi="Times New Roman"/>
                <w:sz w:val="13"/>
                <w:szCs w:val="13"/>
                <w:b w:val="1"/>
                <w:bCs w:val="1"/>
                <w:color w:val="auto"/>
                <w:w w:val="96"/>
              </w:rPr>
              <w:t>(Address of principal executive offices)</w:t>
            </w:r>
          </w:p>
        </w:tc>
        <w:tc>
          <w:tcPr>
            <w:tcW w:w="3420" w:type="dxa"/>
            <w:vAlign w:val="bottom"/>
          </w:tcPr>
          <w:p>
            <w:pPr>
              <w:jc w:val="center"/>
              <w:ind w:left="1444"/>
              <w:spacing w:after="0"/>
              <w:rPr>
                <w:sz w:val="20"/>
                <w:szCs w:val="20"/>
                <w:color w:val="auto"/>
              </w:rPr>
            </w:pPr>
            <w:r>
              <w:rPr>
                <w:rFonts w:ascii="Times New Roman" w:cs="Times New Roman" w:eastAsia="Times New Roman" w:hAnsi="Times New Roman"/>
                <w:sz w:val="13"/>
                <w:szCs w:val="13"/>
                <w:b w:val="1"/>
                <w:bCs w:val="1"/>
                <w:color w:val="auto"/>
                <w:w w:val="96"/>
              </w:rPr>
              <w:t>(Zip Code)</w:t>
            </w:r>
          </w:p>
        </w:tc>
        <w:tc>
          <w:tcPr>
            <w:tcW w:w="0" w:type="dxa"/>
            <w:vAlign w:val="bottom"/>
          </w:tcPr>
          <w:p>
            <w:pPr>
              <w:spacing w:after="0"/>
              <w:rPr>
                <w:sz w:val="1"/>
                <w:szCs w:val="1"/>
                <w:color w:val="auto"/>
              </w:rPr>
            </w:pPr>
          </w:p>
        </w:tc>
      </w:tr>
    </w:tbl>
    <w:p>
      <w:pPr>
        <w:spacing w:after="0" w:line="37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(212) 287-3200</w:t>
      </w:r>
    </w:p>
    <w:p>
      <w:pPr>
        <w:spacing w:after="0" w:line="3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111" w:lineRule="exact"/>
        <w:rPr>
          <w:sz w:val="24"/>
          <w:szCs w:val="24"/>
          <w:color w:val="auto"/>
        </w:rPr>
      </w:pPr>
    </w:p>
    <w:p>
      <w:pPr>
        <w:spacing w:after="0" w:line="237"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212" w:lineRule="exact"/>
        <w:rPr>
          <w:sz w:val="24"/>
          <w:szCs w:val="24"/>
          <w:color w:val="auto"/>
        </w:rPr>
      </w:pPr>
    </w:p>
    <w:p>
      <w:pPr>
        <w:ind w:left="660" w:hanging="634"/>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660" w:hanging="634"/>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44" w:lineRule="exact"/>
        <w:rPr>
          <w:rFonts w:ascii="MS PGothic" w:cs="MS PGothic" w:eastAsia="MS PGothic" w:hAnsi="MS PGothic"/>
          <w:sz w:val="18"/>
          <w:szCs w:val="18"/>
          <w:color w:val="auto"/>
        </w:rPr>
      </w:pPr>
    </w:p>
    <w:p>
      <w:pPr>
        <w:ind w:left="660" w:hanging="634"/>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44" w:lineRule="exact"/>
        <w:rPr>
          <w:rFonts w:ascii="MS PGothic" w:cs="MS PGothic" w:eastAsia="MS PGothic" w:hAnsi="MS PGothic"/>
          <w:sz w:val="18"/>
          <w:szCs w:val="18"/>
          <w:color w:val="auto"/>
        </w:rPr>
      </w:pPr>
    </w:p>
    <w:p>
      <w:pPr>
        <w:ind w:left="660" w:hanging="634"/>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12" w:lineRule="exact"/>
        <w:rPr>
          <w:sz w:val="24"/>
          <w:szCs w:val="24"/>
          <w:color w:val="auto"/>
        </w:rPr>
      </w:pPr>
    </w:p>
    <w:tbl>
      <w:tblPr>
        <w:tblLayout w:type="fixed"/>
        <w:tblInd w:w="0" w:type="dxa"/>
        <w:tblCellMar>
          <w:top w:w="0" w:type="dxa"/>
          <w:left w:w="0" w:type="dxa"/>
          <w:bottom w:w="0" w:type="dxa"/>
          <w:right w:w="0" w:type="dxa"/>
        </w:tblCellMar>
      </w:tblPr>
      <w:tr>
        <w:trPr>
          <w:trHeight w:val="210"/>
        </w:trPr>
        <w:tc>
          <w:tcPr>
            <w:tcW w:w="3620" w:type="dxa"/>
            <w:vAlign w:val="bottom"/>
          </w:tcPr>
          <w:p>
            <w:pPr>
              <w:spacing w:after="0"/>
              <w:rPr>
                <w:sz w:val="18"/>
                <w:szCs w:val="18"/>
                <w:color w:val="auto"/>
              </w:rPr>
            </w:pPr>
          </w:p>
        </w:tc>
        <w:tc>
          <w:tcPr>
            <w:tcW w:w="4020" w:type="dxa"/>
            <w:vAlign w:val="bottom"/>
            <w:gridSpan w:val="4"/>
          </w:tcPr>
          <w:p>
            <w:pPr>
              <w:ind w:left="140"/>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c>
          <w:tcPr>
            <w:tcW w:w="3600" w:type="dxa"/>
            <w:vAlign w:val="bottom"/>
          </w:tcPr>
          <w:p>
            <w:pPr>
              <w:spacing w:after="0"/>
              <w:rPr>
                <w:sz w:val="18"/>
                <w:szCs w:val="18"/>
                <w:color w:val="auto"/>
              </w:rPr>
            </w:pPr>
          </w:p>
        </w:tc>
      </w:tr>
      <w:tr>
        <w:trPr>
          <w:trHeight w:val="462"/>
        </w:trPr>
        <w:tc>
          <w:tcPr>
            <w:tcW w:w="36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1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Trading Symbol(s)</w:t>
            </w:r>
          </w:p>
        </w:tc>
        <w:tc>
          <w:tcPr>
            <w:tcW w:w="36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207"/>
        </w:trPr>
        <w:tc>
          <w:tcPr>
            <w:tcW w:w="36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Class A Common Stock, par value $0.0001 per share</w:t>
            </w:r>
          </w:p>
        </w:tc>
        <w:tc>
          <w:tcPr>
            <w:tcW w:w="188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8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PWP</w:t>
            </w:r>
          </w:p>
        </w:tc>
        <w:tc>
          <w:tcPr>
            <w:tcW w:w="140" w:type="dxa"/>
            <w:vAlign w:val="bottom"/>
          </w:tcPr>
          <w:p>
            <w:pPr>
              <w:spacing w:after="0"/>
              <w:rPr>
                <w:sz w:val="17"/>
                <w:szCs w:val="17"/>
                <w:color w:val="auto"/>
              </w:rPr>
            </w:pPr>
          </w:p>
        </w:tc>
        <w:tc>
          <w:tcPr>
            <w:tcW w:w="36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Nasdaq Global Select Market</w:t>
            </w:r>
          </w:p>
        </w:tc>
      </w:tr>
    </w:tbl>
    <w:p>
      <w:pPr>
        <w:spacing w:after="0" w:line="311" w:lineRule="exact"/>
        <w:rPr>
          <w:sz w:val="24"/>
          <w:szCs w:val="24"/>
          <w:color w:val="auto"/>
        </w:rPr>
      </w:pPr>
    </w:p>
    <w:p>
      <w:pPr>
        <w:ind w:right="520"/>
        <w:spacing w:after="0" w:line="237"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ind w:left="680"/>
        <w:spacing w:after="0" w:line="207" w:lineRule="exact"/>
        <w:tabs>
          <w:tab w:leader="none" w:pos="3020" w:val="left"/>
        </w:tabs>
        <w:rPr>
          <w:sz w:val="20"/>
          <w:szCs w:val="20"/>
          <w:color w:val="auto"/>
        </w:rPr>
      </w:pPr>
      <w:r>
        <w:rPr>
          <w:rFonts w:ascii="Times New Roman" w:cs="Times New Roman" w:eastAsia="Times New Roman" w:hAnsi="Times New Roman"/>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85" w:lineRule="exact"/>
        <w:rPr>
          <w:sz w:val="24"/>
          <w:szCs w:val="24"/>
          <w:color w:val="auto"/>
        </w:rPr>
      </w:pPr>
    </w:p>
    <w:p>
      <w:pPr>
        <w:spacing w:after="0" w:line="21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1980565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125095</wp:posOffset>
            </wp:positionH>
            <wp:positionV relativeFrom="paragraph">
              <wp:posOffset>1393190</wp:posOffset>
            </wp:positionV>
            <wp:extent cx="6900545"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00545" cy="17145"/>
                    </a:xfrm>
                    <a:prstGeom prst="rect">
                      <a:avLst/>
                    </a:prstGeom>
                    <a:noFill/>
                  </pic:spPr>
                </pic:pic>
              </a:graphicData>
            </a:graphic>
          </wp:anchor>
        </w:drawing>
        <w:drawing>
          <wp:anchor simplePos="0" relativeHeight="251657728" behindDoc="1" locked="0" layoutInCell="0" allowOverlap="1">
            <wp:simplePos x="0" y="0"/>
            <wp:positionH relativeFrom="column">
              <wp:posOffset>125095</wp:posOffset>
            </wp:positionH>
            <wp:positionV relativeFrom="paragraph">
              <wp:posOffset>1427480</wp:posOffset>
            </wp:positionV>
            <wp:extent cx="690054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00545" cy="17145"/>
                    </a:xfrm>
                    <a:prstGeom prst="rect">
                      <a:avLst/>
                    </a:prstGeom>
                    <a:noFill/>
                  </pic:spPr>
                </pic:pic>
              </a:graphicData>
            </a:graphic>
          </wp:anchor>
        </w:drawing>
      </w:r>
    </w:p>
    <w:p>
      <w:pPr>
        <w:sectPr>
          <w:pgSz w:w="11900" w:h="16838" w:orient="portrait"/>
          <w:cols w:equalWidth="0" w:num="1">
            <w:col w:w="11240"/>
          </w:cols>
          <w:pgMar w:left="320" w:top="1034" w:right="339" w:bottom="1440" w:gutter="0" w:footer="0" w:header="0"/>
        </w:sectPr>
      </w:pPr>
    </w:p>
    <w:bookmarkStart w:id="1" w:name="page2"/>
    <w:bookmarkEnd w:id="1"/>
    <w:p>
      <w:pPr>
        <w:ind w:left="20"/>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43"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 xml:space="preserve">On February 21, 2023, the Company issued a Form 8-K informing stockholders of a hearing to be held on March 6, 2023 (the “Section 205 Hearing”), in the Delaware Court of Chancery in the connection with the Company’s Section 205 action (the “Section 205 Action”) pending in the Delaware Court of Chancery captioned </w:t>
      </w:r>
      <w:r>
        <w:rPr>
          <w:rFonts w:ascii="Times New Roman" w:cs="Times New Roman" w:eastAsia="Times New Roman" w:hAnsi="Times New Roman"/>
          <w:sz w:val="18"/>
          <w:szCs w:val="18"/>
          <w:i w:val="1"/>
          <w:iCs w:val="1"/>
          <w:color w:val="auto"/>
        </w:rPr>
        <w:t>In re Perella Weinberg Partners,</w:t>
      </w:r>
      <w:r>
        <w:rPr>
          <w:rFonts w:ascii="Times New Roman" w:cs="Times New Roman" w:eastAsia="Times New Roman" w:hAnsi="Times New Roman"/>
          <w:sz w:val="18"/>
          <w:szCs w:val="18"/>
          <w:color w:val="auto"/>
        </w:rPr>
        <w:t xml:space="preserve"> C.A. No. 2023-0209-LWW (Del. Ch.). A complete description of the Section 205 Action, including the petition filed in the Section 205 Action and information about how to appear at the Section 205 Hearing, is contained in the Company’s February 21, 2023 Form 8-K.</w:t>
      </w:r>
    </w:p>
    <w:p>
      <w:pPr>
        <w:spacing w:after="0" w:line="212"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 xml:space="preserve">We are updating the Company’s February 21, 2023 Form 8-K to inform stockholders that the time of the Section 205 Hearing has changed. The Section 205 Hearing will now be held on March 6, 2023 at </w:t>
      </w:r>
      <w:r>
        <w:rPr>
          <w:rFonts w:ascii="Times New Roman" w:cs="Times New Roman" w:eastAsia="Times New Roman" w:hAnsi="Times New Roman"/>
          <w:sz w:val="18"/>
          <w:szCs w:val="18"/>
          <w:b w:val="1"/>
          <w:bCs w:val="1"/>
          <w:u w:val="single" w:color="auto"/>
          <w:color w:val="auto"/>
        </w:rPr>
        <w:t>12:00 p.m. Eastern Time</w:t>
      </w:r>
      <w:r>
        <w:rPr>
          <w:rFonts w:ascii="Times New Roman" w:cs="Times New Roman" w:eastAsia="Times New Roman" w:hAnsi="Times New Roman"/>
          <w:sz w:val="18"/>
          <w:szCs w:val="18"/>
          <w:color w:val="auto"/>
        </w:rPr>
        <w:t xml:space="preserve"> at the Leonard L. Williams Justice Center, 500 North King Street, Wilmington, Delaware 19081. As described in the February 21, 2023 Form 8-K, if any stockholder of the Company wishes to express a position on the Section 205 Action, such stockholders of the Company may (i) appear at the hearing in the Section 205 Action or (ii) file a written submission with the Register in Chancery, Leonard L. Williams Justice Center, 500 North King Street, Wilmington, Delaware 19801, referring to the case caption, </w:t>
      </w:r>
      <w:r>
        <w:rPr>
          <w:rFonts w:ascii="Times New Roman" w:cs="Times New Roman" w:eastAsia="Times New Roman" w:hAnsi="Times New Roman"/>
          <w:sz w:val="18"/>
          <w:szCs w:val="18"/>
          <w:i w:val="1"/>
          <w:iCs w:val="1"/>
          <w:color w:val="auto"/>
        </w:rPr>
        <w:t>In re Perella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Weinberg Partners, </w:t>
      </w:r>
      <w:r>
        <w:rPr>
          <w:rFonts w:ascii="Times New Roman" w:cs="Times New Roman" w:eastAsia="Times New Roman" w:hAnsi="Times New Roman"/>
          <w:sz w:val="18"/>
          <w:szCs w:val="18"/>
          <w:color w:val="auto"/>
        </w:rPr>
        <w:t>C.A. No. 2023-0209-LWW (Del. Ch.), in advance of the Section 205 Hearing, and any such written submission should be emailed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Company’s counsel, Edward B. Micheletti, Skadden, Arps, Slate, Meagher &amp; Flom LLP, at Edward.Micheletti@skadden.com.</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5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This Current Report contains forward-looking statements within the meaning of the “safe harbor” provisions of the United States Private Securities Litigation Reform Act of 1995. You can identify these forward-looking statements by the use of words such as “estimates,” “projected,” “expects,” “estimated,” “anticipates,” “forecasts,” “plans,” “intends,” “believes,” “seeks,” “may,” “will,” “would,” “future,” “propose,” “target,” “goal,” “objective,” “outlook” and variations of these words or similar expressions (or the negative versions of such words or expressions) are intended to identify forward-looking statements. Such forward-looking statements are subject to various risks and uncertainties. Accordingly, there are or will be important factors that could cause actual outcomes or results to differ materially from those indicated in these statements. We undertake no obligation to publicly update or review any forward-looking statement, whether as a result of new information, future developments or otherwise. With respect to the matters addressed in this report, no assurances can be made regarding the outcome of our proceeding pursuant to Section 205 of the DGCL or any claims, proceedings or litigation regarding the authorization of our Class A common stock. Our Section 205 proceeding is, and any other litigation regarding the authorization of our stock would be, subject to uncertainties inherent in the litigation process, and may not result in timely resolution of the uncertainty regarding our capitalization, if at all. A further list and description of these risks, uncertainties and other factors can be found in the Company’s filings with the U.S. Securities and Exchange Commission. These filings and subsequent filings are or will be available online at </w:t>
      </w:r>
      <w:r>
        <w:rPr>
          <w:rFonts w:ascii="Times New Roman" w:cs="Times New Roman" w:eastAsia="Times New Roman" w:hAnsi="Times New Roman"/>
          <w:sz w:val="18"/>
          <w:szCs w:val="18"/>
          <w:u w:val="single" w:color="auto"/>
          <w:color w:val="auto"/>
        </w:rPr>
        <w:t>www.sec.gov</w:t>
      </w:r>
      <w:r>
        <w:rPr>
          <w:rFonts w:ascii="Times New Roman" w:cs="Times New Roman" w:eastAsia="Times New Roman" w:hAnsi="Times New Roman"/>
          <w:sz w:val="18"/>
          <w:szCs w:val="18"/>
          <w:color w:val="auto"/>
        </w:rPr>
        <w:t xml:space="preserve"> or on request from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1182370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0" w:right="339" w:bottom="1440" w:gutter="0" w:footer="0" w:header="0"/>
        </w:sectPr>
      </w:pPr>
    </w:p>
    <w:bookmarkStart w:id="2" w:name="page3"/>
    <w:bookmarkEnd w:id="2"/>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02" w:lineRule="exact"/>
        <w:rPr>
          <w:sz w:val="20"/>
          <w:szCs w:val="20"/>
          <w:color w:val="auto"/>
        </w:rPr>
      </w:pPr>
    </w:p>
    <w:p>
      <w:pPr>
        <w:ind w:right="300" w:firstLine="648"/>
        <w:spacing w:after="0" w:line="250"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203"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820" w:type="dxa"/>
            <w:vAlign w:val="bottom"/>
          </w:tcPr>
          <w:p>
            <w:pPr>
              <w:spacing w:after="0"/>
              <w:rPr>
                <w:sz w:val="20"/>
                <w:szCs w:val="20"/>
                <w:color w:val="auto"/>
              </w:rPr>
            </w:pPr>
          </w:p>
        </w:tc>
        <w:tc>
          <w:tcPr>
            <w:tcW w:w="7400" w:type="dxa"/>
            <w:vAlign w:val="bottom"/>
            <w:gridSpan w:val="2"/>
          </w:tcPr>
          <w:p>
            <w:pPr>
              <w:ind w:left="2060"/>
              <w:spacing w:after="0"/>
              <w:rPr>
                <w:sz w:val="20"/>
                <w:szCs w:val="20"/>
                <w:color w:val="auto"/>
              </w:rPr>
            </w:pPr>
            <w:r>
              <w:rPr>
                <w:rFonts w:ascii="Times New Roman" w:cs="Times New Roman" w:eastAsia="Times New Roman" w:hAnsi="Times New Roman"/>
                <w:sz w:val="18"/>
                <w:szCs w:val="18"/>
                <w:color w:val="auto"/>
              </w:rPr>
              <w:t>PERELLA WEINBERG PARTNERS</w:t>
            </w:r>
          </w:p>
        </w:tc>
      </w:tr>
      <w:tr>
        <w:trPr>
          <w:trHeight w:val="486"/>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23, 2023</w:t>
            </w:r>
          </w:p>
        </w:tc>
        <w:tc>
          <w:tcPr>
            <w:tcW w:w="2860" w:type="dxa"/>
            <w:vAlign w:val="bottom"/>
          </w:tcPr>
          <w:p>
            <w:pPr>
              <w:ind w:left="2060"/>
              <w:spacing w:after="0"/>
              <w:rPr>
                <w:sz w:val="20"/>
                <w:szCs w:val="20"/>
                <w:color w:val="auto"/>
              </w:rPr>
            </w:pPr>
            <w:r>
              <w:rPr>
                <w:rFonts w:ascii="Times New Roman" w:cs="Times New Roman" w:eastAsia="Times New Roman" w:hAnsi="Times New Roman"/>
                <w:sz w:val="18"/>
                <w:szCs w:val="18"/>
                <w:color w:val="auto"/>
              </w:rPr>
              <w:t>By:</w:t>
            </w:r>
          </w:p>
        </w:tc>
        <w:tc>
          <w:tcPr>
            <w:tcW w:w="45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 Gary Barancik</w:t>
            </w:r>
          </w:p>
        </w:tc>
      </w:tr>
      <w:tr>
        <w:trPr>
          <w:trHeight w:val="218"/>
        </w:trPr>
        <w:tc>
          <w:tcPr>
            <w:tcW w:w="3820" w:type="dxa"/>
            <w:vAlign w:val="bottom"/>
          </w:tcPr>
          <w:p>
            <w:pPr>
              <w:spacing w:after="0"/>
              <w:rPr>
                <w:sz w:val="18"/>
                <w:szCs w:val="18"/>
                <w:color w:val="auto"/>
              </w:rPr>
            </w:pPr>
          </w:p>
        </w:tc>
        <w:tc>
          <w:tcPr>
            <w:tcW w:w="2860" w:type="dxa"/>
            <w:vAlign w:val="bottom"/>
          </w:tcPr>
          <w:p>
            <w:pPr>
              <w:ind w:left="2060"/>
              <w:spacing w:after="0"/>
              <w:rPr>
                <w:sz w:val="20"/>
                <w:szCs w:val="20"/>
                <w:color w:val="auto"/>
              </w:rPr>
            </w:pPr>
            <w:r>
              <w:rPr>
                <w:rFonts w:ascii="Times New Roman" w:cs="Times New Roman" w:eastAsia="Times New Roman" w:hAnsi="Times New Roman"/>
                <w:sz w:val="18"/>
                <w:szCs w:val="18"/>
                <w:color w:val="auto"/>
              </w:rPr>
              <w:t>Name:</w:t>
            </w:r>
          </w:p>
        </w:tc>
        <w:tc>
          <w:tcPr>
            <w:tcW w:w="45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Gary Barancik</w:t>
            </w:r>
          </w:p>
        </w:tc>
      </w:tr>
      <w:tr>
        <w:trPr>
          <w:trHeight w:val="234"/>
        </w:trPr>
        <w:tc>
          <w:tcPr>
            <w:tcW w:w="3820" w:type="dxa"/>
            <w:vAlign w:val="bottom"/>
          </w:tcPr>
          <w:p>
            <w:pPr>
              <w:spacing w:after="0"/>
              <w:rPr>
                <w:sz w:val="20"/>
                <w:szCs w:val="20"/>
                <w:color w:val="auto"/>
              </w:rPr>
            </w:pPr>
          </w:p>
        </w:tc>
        <w:tc>
          <w:tcPr>
            <w:tcW w:w="2860" w:type="dxa"/>
            <w:vAlign w:val="bottom"/>
          </w:tcPr>
          <w:p>
            <w:pPr>
              <w:ind w:left="2060"/>
              <w:spacing w:after="0"/>
              <w:rPr>
                <w:sz w:val="20"/>
                <w:szCs w:val="20"/>
                <w:color w:val="auto"/>
              </w:rPr>
            </w:pPr>
            <w:r>
              <w:rPr>
                <w:rFonts w:ascii="Times New Roman" w:cs="Times New Roman" w:eastAsia="Times New Roman" w:hAnsi="Times New Roman"/>
                <w:sz w:val="18"/>
                <w:szCs w:val="18"/>
                <w:color w:val="auto"/>
              </w:rPr>
              <w:t>Title:</w:t>
            </w:r>
          </w:p>
        </w:tc>
        <w:tc>
          <w:tcPr>
            <w:tcW w:w="45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1" w:lineRule="exact"/>
        <w:rPr>
          <w:sz w:val="20"/>
          <w:szCs w:val="20"/>
          <w:color w:val="auto"/>
        </w:rPr>
      </w:pP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2023-02-23T06:55:52Z</dcterms:created>
  <dcterms:modified xsi:type="dcterms:W3CDTF">2023-02-23T06:55:52Z</dcterms:modified>
</cp:coreProperties>
</file>