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 prospectus dated March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433070</wp:posOffset>
            </wp:positionV>
            <wp:extent cx="171450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333-257924</w:t>
      </w:r>
    </w:p>
    <w:p>
      <w:pPr>
        <w:spacing w:after="0" w:line="200" w:lineRule="exact"/>
        <w:rPr>
          <w:sz w:val="24"/>
          <w:szCs w:val="24"/>
          <w:color w:val="auto"/>
        </w:rPr>
      </w:pPr>
    </w:p>
    <w:p>
      <w:pPr>
        <w:sectPr>
          <w:pgSz w:w="11900" w:h="16838" w:orient="portrait"/>
          <w:cols w:equalWidth="0" w:num="2">
            <w:col w:w="8020" w:space="720"/>
            <w:col w:w="2480"/>
          </w:cols>
          <w:pgMar w:left="320" w:top="144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64,738,934 Shares of Class A Common Stock</w:t>
      </w:r>
    </w:p>
    <w:p>
      <w:pPr>
        <w:spacing w:after="0" w:line="1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203,333 Warrants to Purchase Class A Common Stock</w:t>
      </w:r>
    </w:p>
    <w:p>
      <w:pPr>
        <w:spacing w:after="0" w:line="209"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March 22, 2022 (the “Prospectus”), related to: (1) the issuance by us of up to 7,869,975 shares of our Class A common stock, par value $0.0001 per share (“Class A common stock”) that may be issued upon exercise of warrants to purchase Class A common stock at an exercise price of $11.50 per share of Class A common stock, including the Public Warrants and the Private Placement Warrants (each as defined in the Prospectus); and (2) the offer and sale, from time to time, by the selling holders identified in this prospectus (the “Selling Holders”), or their permitted transferees, of (i) up to 64,738,934 shares of Class A common stock and (ii) up to 203,333 Warrants (as defined in the Prospectus), with the information contained in our Quarterly Report on Form 10-Q, filed with the Securities and Exchange Commission (“SEC”) on May 5, 2022 (the “Quarterly Report”). Accordingly, we have attached the Quarterly Report to this prospectus supplement.</w:t>
      </w:r>
    </w:p>
    <w:p>
      <w:pPr>
        <w:spacing w:after="0" w:line="138"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26"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Class A common stock and Warrants are traded on the Nasdaq Global Select Market under the symbols “PWP” and “PWPPW,” respectively. On May 4, 2022, the closing price of our Class A common stock was $7.69 per share and the closing price of our Warrants was $1.06 per Warrant.</w:t>
      </w:r>
    </w:p>
    <w:p>
      <w:pPr>
        <w:spacing w:after="0" w:line="104" w:lineRule="exact"/>
        <w:rPr>
          <w:sz w:val="24"/>
          <w:szCs w:val="24"/>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securities involves risks. See “</w:t>
      </w:r>
      <w:hyperlink r:id="rId9">
        <w:r>
          <w:rPr>
            <w:rFonts w:ascii="Times New Roman" w:cs="Times New Roman" w:eastAsia="Times New Roman" w:hAnsi="Times New Roman"/>
            <w:sz w:val="18"/>
            <w:szCs w:val="18"/>
            <w:b w:val="1"/>
            <w:bCs w:val="1"/>
            <w:i w:val="1"/>
            <w:iCs w:val="1"/>
            <w:u w:val="single" w:color="auto"/>
            <w:color w:val="0000FF"/>
          </w:rPr>
          <w:t>Risk Factors</w:t>
        </w:r>
      </w:hyperlink>
      <w:r>
        <w:rPr>
          <w:rFonts w:ascii="Times New Roman" w:cs="Times New Roman" w:eastAsia="Times New Roman" w:hAnsi="Times New Roman"/>
          <w:sz w:val="18"/>
          <w:szCs w:val="18"/>
          <w:b w:val="1"/>
          <w:bCs w:val="1"/>
          <w:color w:val="auto"/>
        </w:rPr>
        <w:t>” beginning on page 30 of the Prospectus and in any applicable prospectus supplement.</w:t>
      </w:r>
    </w:p>
    <w:p>
      <w:pPr>
        <w:spacing w:after="0" w:line="171" w:lineRule="exact"/>
        <w:rPr>
          <w:sz w:val="24"/>
          <w:szCs w:val="24"/>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passed upon the adequacy or accuracy of the Prospectus or this prospectus supplement. Any representation to the contrary is a criminal offense.</w:t>
      </w:r>
    </w:p>
    <w:p>
      <w:pPr>
        <w:spacing w:after="0" w:line="2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5, 2022.</w:t>
      </w:r>
    </w:p>
    <w:p>
      <w:pPr>
        <w:sectPr>
          <w:pgSz w:w="11900" w:h="16838" w:orient="portrait"/>
          <w:cols w:equalWidth="0" w:num="1">
            <w:col w:w="11220"/>
          </w:cols>
          <w:pgMar w:left="320" w:top="1440"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663575</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0"/>
          <w:szCs w:val="20"/>
          <w:color w:val="auto"/>
        </w:rPr>
      </w:pPr>
    </w:p>
    <w:p>
      <w:pPr>
        <w:ind w:left="480" w:hanging="440"/>
        <w:spacing w:after="0"/>
        <w:tabs>
          <w:tab w:leader="none" w:pos="48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4" w:lineRule="exact"/>
        <w:rPr>
          <w:sz w:val="20"/>
          <w:szCs w:val="20"/>
          <w:color w:val="auto"/>
        </w:rPr>
      </w:pPr>
    </w:p>
    <w:p>
      <w:pPr>
        <w:ind w:left="480" w:hanging="440"/>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5"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0" w:lineRule="exact"/>
        <w:rPr>
          <w:sz w:val="20"/>
          <w:szCs w:val="20"/>
          <w:color w:val="auto"/>
        </w:rPr>
      </w:pPr>
    </w:p>
    <w:tbl>
      <w:tblPr>
        <w:tblLayout w:type="fixed"/>
        <w:tblInd w:w="2200" w:type="dxa"/>
        <w:tblCellMar>
          <w:top w:w="0" w:type="dxa"/>
          <w:left w:w="0" w:type="dxa"/>
          <w:bottom w:w="0" w:type="dxa"/>
          <w:right w:w="0" w:type="dxa"/>
        </w:tblCellMar>
      </w:tblPr>
      <w:tr>
        <w:trPr>
          <w:trHeight w:val="238"/>
        </w:trPr>
        <w:tc>
          <w:tcPr>
            <w:tcW w:w="6080" w:type="dxa"/>
            <w:vAlign w:val="bottom"/>
          </w:tcPr>
          <w:p>
            <w:pPr>
              <w:jc w:val="center"/>
              <w:ind w:right="39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84-1770732</w:t>
            </w:r>
          </w:p>
        </w:tc>
      </w:tr>
      <w:tr>
        <w:trPr>
          <w:trHeight w:val="268"/>
        </w:trPr>
        <w:tc>
          <w:tcPr>
            <w:tcW w:w="6080" w:type="dxa"/>
            <w:vAlign w:val="bottom"/>
          </w:tcPr>
          <w:p>
            <w:pPr>
              <w:jc w:val="center"/>
              <w:ind w:right="3922"/>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202"/>
        </w:trPr>
        <w:tc>
          <w:tcPr>
            <w:tcW w:w="6080" w:type="dxa"/>
            <w:vAlign w:val="bottom"/>
          </w:tcPr>
          <w:p>
            <w:pPr>
              <w:jc w:val="center"/>
              <w:ind w:right="392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77"/>
        </w:trPr>
        <w:tc>
          <w:tcPr>
            <w:tcW w:w="6080" w:type="dxa"/>
            <w:vAlign w:val="bottom"/>
          </w:tcPr>
          <w:p>
            <w:pPr>
              <w:jc w:val="center"/>
              <w:ind w:right="3942"/>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1060" w:type="dxa"/>
            <w:vAlign w:val="bottom"/>
          </w:tcPr>
          <w:p>
            <w:pPr>
              <w:spacing w:after="0"/>
              <w:rPr>
                <w:sz w:val="24"/>
                <w:szCs w:val="24"/>
                <w:color w:val="auto"/>
              </w:rPr>
            </w:pPr>
          </w:p>
        </w:tc>
      </w:tr>
      <w:tr>
        <w:trPr>
          <w:trHeight w:val="232"/>
        </w:trPr>
        <w:tc>
          <w:tcPr>
            <w:tcW w:w="6080" w:type="dxa"/>
            <w:vAlign w:val="bottom"/>
          </w:tcPr>
          <w:p>
            <w:pPr>
              <w:jc w:val="center"/>
              <w:ind w:right="3922"/>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106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10153</w:t>
            </w:r>
          </w:p>
        </w:tc>
      </w:tr>
      <w:tr>
        <w:trPr>
          <w:trHeight w:val="166"/>
        </w:trPr>
        <w:tc>
          <w:tcPr>
            <w:tcW w:w="6080" w:type="dxa"/>
            <w:vAlign w:val="bottom"/>
          </w:tcPr>
          <w:p>
            <w:pPr>
              <w:jc w:val="center"/>
              <w:ind w:right="392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13"/>
        </w:trPr>
        <w:tc>
          <w:tcPr>
            <w:tcW w:w="60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tc>
        <w:tc>
          <w:tcPr>
            <w:tcW w:w="1060" w:type="dxa"/>
            <w:vAlign w:val="bottom"/>
          </w:tcPr>
          <w:p>
            <w:pPr>
              <w:spacing w:after="0"/>
              <w:rPr>
                <w:sz w:val="24"/>
                <w:szCs w:val="24"/>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r>
      <w:tr>
        <w:trPr>
          <w:trHeight w:val="21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PWP</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22"/>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Warrants, each whole warrant exercisable for one share of Class A</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PWPPW</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bl>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w:t>
      </w:r>
    </w:p>
    <w:p>
      <w:pPr>
        <w:spacing w:after="0" w:line="61"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spacing w:after="0" w:line="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20" w:type="dxa"/>
            <w:vAlign w:val="bottom"/>
          </w:tcPr>
          <w:p>
            <w:pPr>
              <w:ind w:left="1160"/>
              <w:spacing w:after="0"/>
              <w:rPr>
                <w:sz w:val="20"/>
                <w:szCs w:val="20"/>
                <w:color w:val="auto"/>
              </w:rPr>
            </w:pPr>
            <w:r>
              <w:rPr>
                <w:rFonts w:ascii="Arial" w:cs="Arial" w:eastAsia="Arial" w:hAnsi="Arial"/>
                <w:sz w:val="16"/>
                <w:szCs w:val="16"/>
                <w:color w:val="auto"/>
              </w:rPr>
              <w:t>o</w:t>
            </w:r>
          </w:p>
        </w:tc>
        <w:tc>
          <w:tcPr>
            <w:tcW w:w="36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Accelerated filer</w:t>
            </w:r>
          </w:p>
        </w:tc>
        <w:tc>
          <w:tcPr>
            <w:tcW w:w="1100" w:type="dxa"/>
            <w:vAlign w:val="bottom"/>
          </w:tcPr>
          <w:p>
            <w:pPr>
              <w:ind w:left="1000"/>
              <w:spacing w:after="0"/>
              <w:rPr>
                <w:sz w:val="20"/>
                <w:szCs w:val="20"/>
                <w:color w:val="auto"/>
              </w:rPr>
            </w:pPr>
            <w:r>
              <w:rPr>
                <w:rFonts w:ascii="Arial" w:cs="Arial" w:eastAsia="Arial" w:hAnsi="Arial"/>
                <w:sz w:val="16"/>
                <w:szCs w:val="16"/>
                <w:color w:val="auto"/>
                <w:w w:val="89"/>
              </w:rPr>
              <w:t>o</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20" w:type="dxa"/>
            <w:vAlign w:val="bottom"/>
          </w:tcPr>
          <w:p>
            <w:pPr>
              <w:ind w:left="1160"/>
              <w:spacing w:after="0"/>
              <w:rPr>
                <w:sz w:val="20"/>
                <w:szCs w:val="20"/>
                <w:color w:val="auto"/>
              </w:rPr>
            </w:pPr>
            <w:r>
              <w:rPr>
                <w:rFonts w:ascii="Arial" w:cs="Arial" w:eastAsia="Arial" w:hAnsi="Arial"/>
                <w:sz w:val="16"/>
                <w:szCs w:val="16"/>
                <w:color w:val="auto"/>
              </w:rPr>
              <w:t>x</w:t>
            </w:r>
          </w:p>
        </w:tc>
        <w:tc>
          <w:tcPr>
            <w:tcW w:w="36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00" w:type="dxa"/>
            <w:vAlign w:val="bottom"/>
          </w:tcPr>
          <w:p>
            <w:pPr>
              <w:ind w:left="1000"/>
              <w:spacing w:after="0"/>
              <w:rPr>
                <w:sz w:val="20"/>
                <w:szCs w:val="20"/>
                <w:color w:val="auto"/>
              </w:rPr>
            </w:pPr>
            <w:r>
              <w:rPr>
                <w:rFonts w:ascii="Arial" w:cs="Arial" w:eastAsia="Arial" w:hAnsi="Arial"/>
                <w:sz w:val="16"/>
                <w:szCs w:val="16"/>
                <w:color w:val="auto"/>
                <w:w w:val="99"/>
              </w:rPr>
              <w:t>x</w:t>
            </w:r>
          </w:p>
        </w:tc>
      </w:tr>
      <w:tr>
        <w:trPr>
          <w:trHeight w:val="216"/>
        </w:trPr>
        <w:tc>
          <w:tcPr>
            <w:tcW w:w="2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00" w:type="dxa"/>
            <w:vAlign w:val="bottom"/>
          </w:tcPr>
          <w:p>
            <w:pPr>
              <w:ind w:left="1000"/>
              <w:spacing w:after="0"/>
              <w:rPr>
                <w:sz w:val="20"/>
                <w:szCs w:val="20"/>
                <w:color w:val="auto"/>
              </w:rPr>
            </w:pPr>
            <w:r>
              <w:rPr>
                <w:rFonts w:ascii="Arial" w:cs="Arial" w:eastAsia="Arial" w:hAnsi="Arial"/>
                <w:sz w:val="16"/>
                <w:szCs w:val="16"/>
                <w:color w:val="auto"/>
                <w:w w:val="99"/>
              </w:rPr>
              <w:t>x</w:t>
            </w:r>
          </w:p>
        </w:tc>
      </w:tr>
    </w:tbl>
    <w:p>
      <w:pPr>
        <w:spacing w:after="0" w:line="150" w:lineRule="exact"/>
        <w:rPr>
          <w:sz w:val="20"/>
          <w:szCs w:val="20"/>
          <w:color w:val="auto"/>
        </w:rPr>
      </w:pPr>
    </w:p>
    <w:p>
      <w:pPr>
        <w:ind w:right="580"/>
        <w:spacing w:after="0" w:line="28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w:cs="Arial" w:eastAsia="Arial" w:hAnsi="Arial"/>
          <w:sz w:val="16"/>
          <w:szCs w:val="16"/>
          <w:color w:val="auto"/>
        </w:rPr>
        <w:t>o</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p>
    <w:p>
      <w:pPr>
        <w:spacing w:after="0" w:line="86"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As of May 2, 2022, the registrant had 46,281,037 shares of Class A common stock, par value $0.0001 per share, and 46,318,953 shares of Class B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780" w:type="dxa"/>
            <w:vAlign w:val="bottom"/>
            <w:gridSpan w:val="2"/>
            <w:vMerge w:val="restart"/>
          </w:tcPr>
          <w:p>
            <w:pPr>
              <w:spacing w:after="0"/>
              <w:rPr>
                <w:sz w:val="2"/>
                <w:szCs w:val="2"/>
                <w:color w:val="auto"/>
              </w:rPr>
            </w:pPr>
          </w:p>
        </w:tc>
        <w:tc>
          <w:tcPr>
            <w:tcW w:w="24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480" w:type="dxa"/>
            <w:vAlign w:val="bottom"/>
            <w:gridSpan w:val="9"/>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40" w:type="dxa"/>
            <w:vAlign w:val="bottom"/>
            <w:tcBorders>
              <w:bottom w:val="single" w:sz="8" w:color="0000FF"/>
            </w:tcBorders>
            <w:gridSpan w:val="3"/>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0" w:type="dxa"/>
            <w:vAlign w:val="bottom"/>
            <w:tcBorders>
              <w:bottom w:val="single" w:sz="8" w:color="0000FF"/>
            </w:tcBorders>
            <w:gridSpan w:val="8"/>
            <w:vMerge w:val="continue"/>
          </w:tcPr>
          <w:p>
            <w:pPr>
              <w:spacing w:after="0"/>
              <w:rPr>
                <w:sz w:val="17"/>
                <w:szCs w:val="17"/>
                <w:color w:val="auto"/>
              </w:rPr>
            </w:pPr>
          </w:p>
        </w:tc>
        <w:tc>
          <w:tcPr>
            <w:tcW w:w="6480" w:type="dxa"/>
            <w:vAlign w:val="bottom"/>
            <w:gridSpan w:val="9"/>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00" w:type="dxa"/>
            <w:vAlign w:val="bottom"/>
            <w:gridSpan w:val="4"/>
          </w:tcPr>
          <w:p>
            <w:pPr>
              <w:spacing w:after="0"/>
              <w:rPr>
                <w:sz w:val="22"/>
                <w:szCs w:val="22"/>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Condition as of March 31, 2022 and December 31, 2021</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2022 and 2021</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Months Ended March 31, 2022 and</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FF"/>
              <w:bottom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9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540" w:type="dxa"/>
            <w:vAlign w:val="bottom"/>
            <w:tcBorders>
              <w:top w:val="single" w:sz="8" w:color="0000FF"/>
            </w:tcBorders>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for the Three Months Ended March 31, 2022 and 2021</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7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2022 and 2021</w:t>
            </w:r>
          </w:p>
        </w:tc>
        <w:tc>
          <w:tcPr>
            <w:tcW w:w="480" w:type="dxa"/>
            <w:vAlign w:val="bottom"/>
            <w:tcBorders>
              <w:top w:val="single" w:sz="8" w:color="0000FF"/>
            </w:tcBorders>
          </w:tcPr>
          <w:p>
            <w:pPr>
              <w:spacing w:after="0"/>
              <w:rPr>
                <w:sz w:val="22"/>
                <w:szCs w:val="22"/>
                <w:color w:val="auto"/>
              </w:rPr>
            </w:pPr>
          </w:p>
        </w:tc>
        <w:tc>
          <w:tcPr>
            <w:tcW w:w="700" w:type="dxa"/>
            <w:vAlign w:val="bottom"/>
            <w:gridSpan w:val="2"/>
          </w:tcPr>
          <w:p>
            <w:pPr>
              <w:spacing w:after="0"/>
              <w:rPr>
                <w:sz w:val="22"/>
                <w:szCs w:val="22"/>
                <w:color w:val="auto"/>
              </w:rPr>
            </w:pPr>
          </w:p>
        </w:tc>
        <w:tc>
          <w:tcPr>
            <w:tcW w:w="780" w:type="dxa"/>
            <w:vAlign w:val="bottom"/>
            <w:gridSpan w:val="2"/>
          </w:tcPr>
          <w:p>
            <w:pPr>
              <w:spacing w:after="0"/>
              <w:rPr>
                <w:sz w:val="22"/>
                <w:szCs w:val="22"/>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960" w:type="dxa"/>
            <w:vAlign w:val="bottom"/>
            <w:gridSpan w:val="6"/>
          </w:tcPr>
          <w:p>
            <w:pPr>
              <w:spacing w:after="0"/>
              <w:rPr>
                <w:sz w:val="22"/>
                <w:szCs w:val="22"/>
                <w:color w:val="auto"/>
              </w:rPr>
            </w:pPr>
          </w:p>
        </w:tc>
        <w:tc>
          <w:tcPr>
            <w:tcW w:w="7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780" w:type="dxa"/>
            <w:vAlign w:val="bottom"/>
            <w:gridSpan w:val="2"/>
          </w:tcPr>
          <w:p>
            <w:pPr>
              <w:spacing w:after="0"/>
              <w:rPr>
                <w:sz w:val="22"/>
                <w:szCs w:val="22"/>
                <w:color w:val="auto"/>
              </w:rPr>
            </w:pPr>
          </w:p>
        </w:tc>
        <w:tc>
          <w:tcPr>
            <w:tcW w:w="6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20" w:type="dxa"/>
            <w:vAlign w:val="bottom"/>
            <w:gridSpan w:val="5"/>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Pr>
          <w:p>
            <w:pPr>
              <w:spacing w:after="0"/>
              <w:rPr>
                <w:sz w:val="22"/>
                <w:szCs w:val="22"/>
                <w:color w:val="auto"/>
              </w:rPr>
            </w:pPr>
          </w:p>
        </w:tc>
        <w:tc>
          <w:tcPr>
            <w:tcW w:w="780" w:type="dxa"/>
            <w:vAlign w:val="bottom"/>
            <w:gridSpan w:val="2"/>
          </w:tcPr>
          <w:p>
            <w:pPr>
              <w:spacing w:after="0"/>
              <w:rPr>
                <w:sz w:val="22"/>
                <w:szCs w:val="22"/>
                <w:color w:val="auto"/>
              </w:rPr>
            </w:pPr>
          </w:p>
        </w:tc>
        <w:tc>
          <w:tcPr>
            <w:tcW w:w="4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2"/>
          </w:tcPr>
          <w:p>
            <w:pPr>
              <w:spacing w:after="0"/>
              <w:rPr>
                <w:sz w:val="22"/>
                <w:szCs w:val="22"/>
                <w:color w:val="auto"/>
              </w:rPr>
            </w:pPr>
          </w:p>
        </w:tc>
        <w:tc>
          <w:tcPr>
            <w:tcW w:w="2420" w:type="dxa"/>
            <w:vAlign w:val="bottom"/>
            <w:gridSpan w:val="5"/>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520" w:type="dxa"/>
            <w:vAlign w:val="bottom"/>
            <w:tcBorders>
              <w:left w:val="single" w:sz="8" w:color="0000FF"/>
            </w:tcBorders>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22"/>
                <w:szCs w:val="22"/>
                <w:color w:val="auto"/>
              </w:rPr>
            </w:pPr>
          </w:p>
        </w:tc>
        <w:tc>
          <w:tcPr>
            <w:tcW w:w="880" w:type="dxa"/>
            <w:vAlign w:val="bottom"/>
            <w:gridSpan w:val="3"/>
          </w:tcPr>
          <w:p>
            <w:pPr>
              <w:spacing w:after="0"/>
              <w:rPr>
                <w:sz w:val="22"/>
                <w:szCs w:val="22"/>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5"/>
          </w:tcPr>
          <w:p>
            <w:pPr>
              <w:spacing w:after="0"/>
              <w:rPr>
                <w:sz w:val="22"/>
                <w:szCs w:val="22"/>
                <w:color w:val="auto"/>
              </w:rPr>
            </w:pPr>
          </w:p>
        </w:tc>
        <w:tc>
          <w:tcPr>
            <w:tcW w:w="4520" w:type="dxa"/>
            <w:vAlign w:val="bottom"/>
            <w:gridSpan w:val="7"/>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20" w:type="dxa"/>
            <w:vAlign w:val="bottom"/>
            <w:tcBorders>
              <w:top w:val="single" w:sz="8" w:color="0000FF"/>
            </w:tcBorders>
            <w:gridSpan w:val="2"/>
          </w:tcPr>
          <w:p>
            <w:pPr>
              <w:spacing w:after="0"/>
              <w:rPr>
                <w:sz w:val="22"/>
                <w:szCs w:val="22"/>
                <w:color w:val="auto"/>
              </w:rPr>
            </w:pPr>
          </w:p>
        </w:tc>
        <w:tc>
          <w:tcPr>
            <w:tcW w:w="660" w:type="dxa"/>
            <w:vAlign w:val="bottom"/>
          </w:tcPr>
          <w:p>
            <w:pPr>
              <w:spacing w:after="0"/>
              <w:rPr>
                <w:sz w:val="22"/>
                <w:szCs w:val="22"/>
                <w:color w:val="auto"/>
              </w:rPr>
            </w:pP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00" w:type="dxa"/>
            <w:vAlign w:val="bottom"/>
            <w:tcBorders>
              <w:top w:val="single" w:sz="8" w:color="0000FF"/>
            </w:tcBorders>
            <w:gridSpan w:val="2"/>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22"/>
                <w:szCs w:val="22"/>
                <w:color w:val="auto"/>
              </w:rPr>
            </w:pPr>
          </w:p>
        </w:tc>
        <w:tc>
          <w:tcPr>
            <w:tcW w:w="780" w:type="dxa"/>
            <w:vAlign w:val="bottom"/>
            <w:gridSpan w:val="2"/>
          </w:tcPr>
          <w:p>
            <w:pPr>
              <w:spacing w:after="0"/>
              <w:rPr>
                <w:sz w:val="22"/>
                <w:szCs w:val="22"/>
                <w:color w:val="auto"/>
              </w:rPr>
            </w:pPr>
          </w:p>
        </w:tc>
        <w:tc>
          <w:tcPr>
            <w:tcW w:w="4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20" w:type="dxa"/>
            <w:vAlign w:val="bottom"/>
            <w:gridSpan w:val="7"/>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2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4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520" w:type="dxa"/>
            <w:vAlign w:val="bottom"/>
            <w:gridSpan w:val="7"/>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220" w:type="dxa"/>
            <w:vAlign w:val="bottom"/>
            <w:tcBorders>
              <w:top w:val="single" w:sz="8" w:color="0000FF"/>
            </w:tcBorders>
            <w:gridSpan w:val="2"/>
          </w:tcPr>
          <w:p>
            <w:pPr>
              <w:spacing w:after="0"/>
              <w:rPr>
                <w:sz w:val="22"/>
                <w:szCs w:val="22"/>
                <w:color w:val="auto"/>
              </w:rPr>
            </w:pPr>
          </w:p>
        </w:tc>
        <w:tc>
          <w:tcPr>
            <w:tcW w:w="660" w:type="dxa"/>
            <w:vAlign w:val="bottom"/>
          </w:tcPr>
          <w:p>
            <w:pPr>
              <w:spacing w:after="0"/>
              <w:rPr>
                <w:sz w:val="22"/>
                <w:szCs w:val="22"/>
                <w:color w:val="auto"/>
              </w:rPr>
            </w:pPr>
          </w:p>
        </w:tc>
        <w:tc>
          <w:tcPr>
            <w:tcW w:w="17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22"/>
                <w:szCs w:val="22"/>
                <w:color w:val="auto"/>
              </w:rPr>
            </w:pPr>
          </w:p>
        </w:tc>
        <w:tc>
          <w:tcPr>
            <w:tcW w:w="6560" w:type="dxa"/>
            <w:vAlign w:val="bottom"/>
            <w:gridSpan w:val="10"/>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10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880" w:type="dxa"/>
            <w:vAlign w:val="bottom"/>
            <w:gridSpan w:val="3"/>
          </w:tcPr>
          <w:p>
            <w:pPr>
              <w:spacing w:after="0"/>
              <w:rPr>
                <w:sz w:val="22"/>
                <w:szCs w:val="2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60" w:type="dxa"/>
            <w:vAlign w:val="bottom"/>
          </w:tcPr>
          <w:p>
            <w:pPr>
              <w:spacing w:after="0"/>
              <w:rPr>
                <w:sz w:val="22"/>
                <w:szCs w:val="22"/>
                <w:color w:val="auto"/>
              </w:rPr>
            </w:pPr>
          </w:p>
        </w:tc>
        <w:tc>
          <w:tcPr>
            <w:tcW w:w="7100" w:type="dxa"/>
            <w:vAlign w:val="bottom"/>
            <w:gridSpan w:val="12"/>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6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880" w:type="dxa"/>
            <w:vAlign w:val="bottom"/>
            <w:gridSpan w:val="3"/>
          </w:tcPr>
          <w:p>
            <w:pPr>
              <w:spacing w:after="0"/>
              <w:rPr>
                <w:sz w:val="22"/>
                <w:szCs w:val="2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560" w:type="dxa"/>
            <w:vAlign w:val="bottom"/>
            <w:gridSpan w:val="13"/>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40" w:top="927" w:right="359" w:bottom="1440" w:gutter="0" w:footer="0" w:header="0"/>
        </w:sectPr>
      </w:pPr>
    </w:p>
    <w:bookmarkStart w:id="3" w:name="page4"/>
    <w:bookmarkEnd w:id="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24, 2021 (the “Closing Date” or the “Closing”), Perella Weinberg Partners (formerly known as FinTech Acquisition Corp. IV (“FTIV”)) consummated its previously announced business combination pursuant to that certain Business Combination Agreement, dated as of December 29, 2020 (the “Business Combination Agreement”). As contemplated by the Business Combination Agreement, (i) FTIV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statements made in this Quarterly Report on Form 10-Q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88"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projected financial information, anticipated growth rate, and market opportunity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Company’s Class A common stock and warrants on Nasdaq following the Business Combination;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Company, including:</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realizes all or any of the anticipated benefits from the Business Combination;</w:t>
      </w:r>
    </w:p>
    <w:p>
      <w:pPr>
        <w:spacing w:after="0" w:line="225" w:lineRule="exact"/>
        <w:rPr>
          <w:rFonts w:ascii="Times New Roman" w:cs="Times New Roman" w:eastAsia="Times New Roman" w:hAnsi="Times New Roman"/>
          <w:sz w:val="18"/>
          <w:szCs w:val="18"/>
          <w:color w:val="auto"/>
        </w:rPr>
      </w:pPr>
    </w:p>
    <w:p>
      <w:pPr>
        <w:ind w:left="1960" w:hanging="332"/>
        <w:spacing w:after="0" w:line="282" w:lineRule="auto"/>
        <w:tabs>
          <w:tab w:leader="none" w:pos="1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Company’s ability to retain or compete for professional talent or investor capital;</w:t>
      </w:r>
    </w:p>
    <w:p>
      <w:pPr>
        <w:spacing w:after="0" w:line="16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17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and ability to retain working partners and other key employees;</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recruit and develop talent;</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7" w:right="339" w:bottom="1440" w:gutter="0" w:footer="0" w:header="0"/>
        </w:sectPr>
      </w:pPr>
    </w:p>
    <w:bookmarkStart w:id="4" w:name="page5"/>
    <w:bookmarkEnd w:id="4"/>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impacting the corporate advisory industry;</w:t>
      </w:r>
    </w:p>
    <w:p>
      <w:pPr>
        <w:spacing w:after="0" w:line="225"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20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its fee-paying clients and fluctuating revenues from its non-exclusive, engagement-by-engagement business model;</w:t>
      </w:r>
    </w:p>
    <w:p>
      <w:pPr>
        <w:spacing w:after="0" w:line="161"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19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Company’s revenue as a result of its reliance on advisory fees that are largely contingent on the completion of events which may be out of its control;</w:t>
      </w:r>
    </w:p>
    <w:p>
      <w:pPr>
        <w:spacing w:after="0" w:line="16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clients to pay for its services, including its restructuring clients;</w:t>
      </w:r>
    </w:p>
    <w:p>
      <w:pPr>
        <w:spacing w:after="0" w:line="225"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9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7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Company’s assets;</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successful formulation and execution of its business and growth strategies;</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Company;</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into new markets and lines of businesses for the advisory business;</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225" w:lineRule="exact"/>
        <w:rPr>
          <w:rFonts w:ascii="Times New Roman" w:cs="Times New Roman" w:eastAsia="Times New Roman" w:hAnsi="Times New Roman"/>
          <w:sz w:val="18"/>
          <w:szCs w:val="18"/>
          <w:color w:val="auto"/>
        </w:rPr>
      </w:pPr>
    </w:p>
    <w:p>
      <w:pPr>
        <w:ind w:left="1960" w:hanging="332"/>
        <w:spacing w:after="0" w:line="282" w:lineRule="auto"/>
        <w:tabs>
          <w:tab w:leader="none" w:pos="1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Company’s operations, financial results, financial condition, business prospects, growth strategy and liquidity;</w:t>
      </w:r>
    </w:p>
    <w:p>
      <w:pPr>
        <w:spacing w:after="0" w:line="16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17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Annual Report on Form 10-K.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3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Perella Weinberg Partners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Per Share Amounts)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3"/>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502,773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32,352</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24,313</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lease assets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0" w:type="dxa"/>
            <w:vAlign w:val="bottom"/>
          </w:tcPr>
          <w:p>
            <w:pPr>
              <w:spacing w:after="0"/>
              <w:rPr>
                <w:sz w:val="1"/>
                <w:szCs w:val="1"/>
                <w:color w:val="auto"/>
              </w:rPr>
            </w:pPr>
          </w:p>
        </w:tc>
      </w:tr>
      <w:tr>
        <w:trPr>
          <w:trHeight w:val="277"/>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470,631</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718,327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compensation programs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27,805</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185,054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446,975</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A common stock, par value $0.0001 per share (1,500,000,000 shares authorized, 48,089,498 issued and</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46,917,195 outstanding at March 31, 2022; 1,500,000,000 shares authorized, 43,649,319 issued and</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42,649,319 outstanding at December 31, 2021)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2"/>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B common stock, par value $0.0001 per share (600,000,000 shares authorized, 46,318,953 issued and</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at March 31, 2022; 600,000,000 shares authorized, 50,154,199 issued and outstanding at</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0" w:type="dxa"/>
            <w:vAlign w:val="bottom"/>
          </w:tcPr>
          <w:p>
            <w:pPr>
              <w:spacing w:after="0"/>
              <w:rPr>
                <w:sz w:val="1"/>
                <w:szCs w:val="1"/>
                <w:color w:val="auto"/>
              </w:rPr>
            </w:pPr>
          </w:p>
        </w:tc>
      </w:tr>
      <w:tr>
        <w:trPr>
          <w:trHeight w:val="25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52"/>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 (1,172,303 and 1,000,000 shares at March 31, 2022 and December 31, 2021,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Perella Weinberg Partners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126,319</w:t>
            </w:r>
          </w:p>
        </w:tc>
        <w:tc>
          <w:tcPr>
            <w:tcW w:w="0" w:type="dxa"/>
            <w:vAlign w:val="bottom"/>
          </w:tcPr>
          <w:p>
            <w:pPr>
              <w:spacing w:after="0"/>
              <w:rPr>
                <w:sz w:val="1"/>
                <w:szCs w:val="1"/>
                <w:color w:val="auto"/>
              </w:rPr>
            </w:pPr>
          </w:p>
        </w:tc>
      </w:tr>
      <w:tr>
        <w:trPr>
          <w:trHeight w:val="25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271,352</w:t>
            </w:r>
          </w:p>
        </w:tc>
        <w:tc>
          <w:tcPr>
            <w:tcW w:w="0" w:type="dxa"/>
            <w:vAlign w:val="bottom"/>
          </w:tcPr>
          <w:p>
            <w:pPr>
              <w:spacing w:after="0"/>
              <w:rPr>
                <w:sz w:val="1"/>
                <w:szCs w:val="1"/>
                <w:color w:val="auto"/>
              </w:rPr>
            </w:pPr>
          </w:p>
        </w:tc>
      </w:tr>
      <w:tr>
        <w:trPr>
          <w:trHeight w:val="277"/>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470,631</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718,327</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5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40005</wp:posOffset>
            </wp:positionV>
            <wp:extent cx="1945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169,802</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109,470</w:t>
            </w: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115,627</w:t>
            </w: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 and occupancy</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r>
      <w:tr>
        <w:trPr>
          <w:trHeight w:val="250"/>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141,758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28,044</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income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250"/>
        </w:trPr>
        <w:tc>
          <w:tcPr>
            <w:tcW w:w="818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Net income (loss) per share attributable to Class A common shareholders </w:t>
            </w:r>
            <w:r>
              <w:rPr>
                <w:rFonts w:ascii="Times New Roman" w:cs="Times New Roman" w:eastAsia="Times New Roman" w:hAnsi="Times New Roman"/>
                <w:sz w:val="23"/>
                <w:szCs w:val="23"/>
                <w:b w:val="1"/>
                <w:bCs w:val="1"/>
                <w:color w:val="auto"/>
                <w:vertAlign w:val="superscript"/>
              </w:rPr>
              <w:t>(1)</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8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Weighted-average shares of Class A common stock outstanding </w:t>
            </w:r>
            <w:r>
              <w:rPr>
                <w:rFonts w:ascii="Times New Roman" w:cs="Times New Roman" w:eastAsia="Times New Roman" w:hAnsi="Times New Roman"/>
                <w:sz w:val="23"/>
                <w:szCs w:val="23"/>
                <w:b w:val="1"/>
                <w:bCs w:val="1"/>
                <w:color w:val="auto"/>
                <w:vertAlign w:val="superscript"/>
              </w:rPr>
              <w:t>(1)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spacing w:after="0" w:line="319" w:lineRule="exact"/>
        <w:rPr>
          <w:sz w:val="20"/>
          <w:szCs w:val="20"/>
          <w:color w:val="auto"/>
        </w:rPr>
      </w:pPr>
    </w:p>
    <w:p>
      <w:pPr>
        <w:jc w:val="both"/>
        <w:ind w:left="340" w:hanging="332"/>
        <w:spacing w:after="0" w:line="261"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analyzed the calculation of net income (loss) per share for periods prior to June 24, 2021, the date of the Business Combination (as defined in Note 1—Organization and Nature of Business), and determined that it resulted in values that would not be meaningful to the users of the condensed consolidated financial statements. Therefore, net income (loss) per share information has not been presented for periods prior to the Business Combination. For more information, refer to Note 15—Net Income (Loss) Per Share Attributable to Class A Common Shareholders.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 (unaudited)</w:t>
      </w:r>
    </w:p>
    <w:p>
      <w:pPr>
        <w:spacing w:after="0" w:line="4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40005</wp:posOffset>
            </wp:positionV>
            <wp:extent cx="1945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1,052</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9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(8,903)</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Perella Weinberg Partners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12"/>
                <w:szCs w:val="12"/>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Partners’</w:t>
            </w: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92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7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9"/>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76,509</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74,183</w:t>
            </w:r>
          </w:p>
        </w:tc>
        <w:tc>
          <w:tcPr>
            <w:tcW w:w="0" w:type="dxa"/>
            <w:vAlign w:val="bottom"/>
          </w:tcPr>
          <w:p>
            <w:pPr>
              <w:spacing w:after="0"/>
              <w:rPr>
                <w:sz w:val="1"/>
                <w:szCs w:val="1"/>
                <w:color w:val="auto"/>
              </w:rPr>
            </w:pPr>
          </w:p>
        </w:tc>
      </w:tr>
      <w:tr>
        <w:trPr>
          <w:trHeight w:val="153"/>
        </w:trPr>
        <w:tc>
          <w:tcPr>
            <w:tcW w:w="17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22,507</w:t>
            </w:r>
          </w:p>
        </w:tc>
        <w:tc>
          <w:tcPr>
            <w:tcW w:w="80" w:type="dxa"/>
            <w:vAlign w:val="bottom"/>
          </w:tcPr>
          <w:p>
            <w:pPr>
              <w:spacing w:after="0"/>
              <w:rPr>
                <w:sz w:val="13"/>
                <w:szCs w:val="13"/>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22,507</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compensation</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6,157</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6,157</w:t>
            </w:r>
          </w:p>
        </w:tc>
        <w:tc>
          <w:tcPr>
            <w:tcW w:w="0" w:type="dxa"/>
            <w:vAlign w:val="bottom"/>
          </w:tcPr>
          <w:p>
            <w:pPr>
              <w:spacing w:after="0"/>
              <w:rPr>
                <w:sz w:val="1"/>
                <w:szCs w:val="1"/>
                <w:color w:val="auto"/>
              </w:rPr>
            </w:pPr>
          </w:p>
        </w:tc>
      </w:tr>
      <w:tr>
        <w:trPr>
          <w:trHeight w:val="153"/>
        </w:trPr>
        <w:tc>
          <w:tcPr>
            <w:tcW w:w="17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(9,816)</w:t>
            </w:r>
          </w:p>
        </w:tc>
        <w:tc>
          <w:tcPr>
            <w:tcW w:w="80" w:type="dxa"/>
            <w:vAlign w:val="bottom"/>
          </w:tcPr>
          <w:p>
            <w:pPr>
              <w:spacing w:after="0"/>
              <w:rPr>
                <w:sz w:val="13"/>
                <w:szCs w:val="13"/>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(9,816)</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384</w:t>
            </w:r>
          </w:p>
        </w:tc>
        <w:tc>
          <w:tcPr>
            <w:tcW w:w="0" w:type="dxa"/>
            <w:vAlign w:val="bottom"/>
          </w:tcPr>
          <w:p>
            <w:pPr>
              <w:spacing w:after="0"/>
              <w:rPr>
                <w:sz w:val="1"/>
                <w:szCs w:val="1"/>
                <w:color w:val="auto"/>
              </w:rPr>
            </w:pPr>
          </w:p>
        </w:tc>
      </w:tr>
      <w:tr>
        <w:trPr>
          <w:trHeight w:val="148"/>
        </w:trPr>
        <w:tc>
          <w:tcPr>
            <w:tcW w:w="17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(loss)</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228</w:t>
            </w:r>
          </w:p>
        </w:tc>
        <w:tc>
          <w:tcPr>
            <w:tcW w:w="0" w:type="dxa"/>
            <w:vAlign w:val="bottom"/>
          </w:tcPr>
          <w:p>
            <w:pPr>
              <w:spacing w:after="0"/>
              <w:rPr>
                <w:sz w:val="1"/>
                <w:szCs w:val="1"/>
                <w:color w:val="auto"/>
              </w:rPr>
            </w:pPr>
          </w:p>
        </w:tc>
      </w:tr>
      <w:tr>
        <w:trPr>
          <w:trHeight w:val="36"/>
        </w:trPr>
        <w:tc>
          <w:tcPr>
            <w:tcW w:w="17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95,741</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93,643</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0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Non-</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92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60" w:type="dxa"/>
            <w:vAlign w:val="bottom"/>
          </w:tcPr>
          <w:p>
            <w:pPr>
              <w:spacing w:after="0"/>
              <w:rPr>
                <w:sz w:val="13"/>
                <w:szCs w:val="13"/>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9"/>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43,649,319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50,154,199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158,131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(18,075)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145,033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271,352</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1,052</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compensation</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22,695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18,710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41,405</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(15,823)</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RSUs</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601,098</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Withholding payments on vested RSUs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(6,075)</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(4,113)</w:t>
            </w: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(2,102)</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1,265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1,999</w:t>
            </w:r>
          </w:p>
        </w:tc>
        <w:tc>
          <w:tcPr>
            <w:tcW w:w="0" w:type="dxa"/>
            <w:vAlign w:val="bottom"/>
          </w:tcPr>
          <w:p>
            <w:pPr>
              <w:spacing w:after="0"/>
              <w:rPr>
                <w:sz w:val="1"/>
                <w:szCs w:val="1"/>
                <w:color w:val="auto"/>
              </w:rPr>
            </w:pPr>
          </w:p>
        </w:tc>
      </w:tr>
      <w:tr>
        <w:trPr>
          <w:trHeight w:val="148"/>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and exchange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PWP OpCo Units with corresponding Class B</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common stock for cash using Offering proceeds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(Note 11—Stockholders' Equity)</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3,502,033</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(3,498,534)</w:t>
            </w:r>
          </w:p>
        </w:tc>
        <w:tc>
          <w:tcPr>
            <w:tcW w:w="8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Class B common stock for Class A common stock</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(Note 11—Stockholders' Equity)</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337,048</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(336,712)</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(172,303)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(1,598)</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4,665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8"/>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2022</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48,089,498</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46,318,953</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(1,172,303)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(13,598)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179,745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(13,410)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135,616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285,577</w:t>
            </w: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33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41275</wp:posOffset>
            </wp:positionV>
            <wp:extent cx="1945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06"/>
        </w:trPr>
        <w:tc>
          <w:tcPr>
            <w:tcW w:w="8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22,507</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Equity-based awards vesting expense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debt discounts and deferred financing costs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taxes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Decrease (increase) in operating assets: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(21,621)</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Due from related parties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(129,941)</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compensation programs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5,683</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Lease liabilities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(4,379)</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(121,229)</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the Offering, net of underwriting discount</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Exchange of PWP OpCo Units and corresponding Class B common stock for cash using Offering proceeds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Payment of offering costs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(9,816)</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Dividends paid on Class A and Class B common stock</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Withholding payments for vested RSUs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Treasury stock purchases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(27,319)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(9,816)</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(279,638)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(131,883)</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504,775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330,908</w:t>
            </w:r>
          </w:p>
        </w:tc>
      </w:tr>
      <w:tr>
        <w:trPr>
          <w:trHeight w:val="23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225,137</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199,025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Pending broker-to-broker trades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5,763</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Non-cash paydown of Partner promissory notes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Lease liabilities arising from obtaining right-of-use lease assets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dividends and dividend equivalents on unvested RSUs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tax effect resulting from exchanges of PWP OpCo units, net of amounts payable under tax receivable agreement</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treasury stock purchases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assets of deconsolidated affiliate</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paid for interest</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w:t>
            </w:r>
          </w:p>
        </w:tc>
      </w:tr>
      <w:tr>
        <w:trPr>
          <w:trHeight w:val="37"/>
        </w:trPr>
        <w:tc>
          <w:tcPr>
            <w:tcW w:w="8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6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 (unaudited)</w:t>
      </w:r>
    </w:p>
    <w:p>
      <w:pPr>
        <w:spacing w:after="0" w:line="4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7" w:right="339" w:bottom="645"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Nature of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a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3—Business Combination for additional discussion related to the transaction.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11—Stockholders' Equity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the financial condition, results of operations and cash flows of the Company and have been prepared in accordance with generally accepted accounting principles in the United States (“U.S. GAAP”). All intercompany balances and transactions between the consolidated subsidiaries comprising the Company have been eliminated in the accompanying condensed consolidated financial statements.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See Note 3—Business Combination for additional discussion related to the transaction.</w:t>
      </w:r>
    </w:p>
    <w:p>
      <w:pPr>
        <w:spacing w:after="0" w:line="200" w:lineRule="exact"/>
        <w:rPr>
          <w:sz w:val="20"/>
          <w:szCs w:val="20"/>
          <w:color w:val="auto"/>
        </w:rPr>
      </w:pPr>
    </w:p>
    <w:p>
      <w:pPr>
        <w:spacing w:after="0" w:line="36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2021 included in the Company’s Annual Report on Form 10-K. The condensed consolidated financial statements reflect all material adjustments of a normal recurring nature that, in the opinion of management, are necessary for a fair presentation of the results for the interim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March 31, 2022 and December 31, 2021, the net assets of PWP OpCo were $273.1 million and $268.5 million, respectively. As of March 31, 2022 and December 31, 2021, the Company did not consolidate any VIEs other than PWP OpCo that were deemed material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preparing the condensed consolidated financial statements, management makes estimates regarding the following:</w:t>
      </w:r>
    </w:p>
    <w:p>
      <w:pPr>
        <w:spacing w:after="0" w:line="225" w:lineRule="exact"/>
        <w:rPr>
          <w:sz w:val="20"/>
          <w:szCs w:val="20"/>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amount due pursuant to the tax receivable agreement;</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and timing of revenue recognition;</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the allowance for credit losses;</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and realization of deferred taxes;</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equity-based awards;</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goodwill and intangible assets;</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 of financial instruments; and</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that affect the reported amounts and disclosures of contingencies in the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with original maturities of three months or less from the date of purchase. As of March 31, 2022 and December 31, 2021, the Company had no cash equivalents. The Company maintains cash with banks and brokerage firms, which from time to time may exceed federally insured limits.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cash represents cash that is not readily available for general purpose cash needs. As of both March 31, 2022 and December 31, 2021, the Company had restricted cash of $2.0 million maintained as collateral for letters of credit related to certain office leases.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Company’s cash, cash equivalents and restricted cash as of March 31, 2022 and March 31, 2021 is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197,189</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as shown on statements of cash flows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225,137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March 31, 2022 and December 31, 2021, $16.8 million and $2.5 million, respectively, of accrued revenue was included in Accounts receivable, net of allowance on the Condensed Consolidated Statements of Financial Condition. These amounts represent amounts due from clients and recognized as revenue in accordance with the Company’s revenue recognition policies but unbilled at the end of the period.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represent amounts due from clients from various industry and geographic backgrounds. As of March 31, 2022, certain accounts receivable in the aggregate amount of $7.8 million were individually greater than 10% of the Company’s gross accounts receivable and were concentrated with one client. As of the issuance date of these condensed consolidated financial statements, this amount has not been collected. As of December 31, 2021, certain accounts receivable in the aggregate amount of $13.6 million, were greater than 10% of the Company’s gross accounts receivable and were concentrated with two clients. Of that amount, all was subsequently received after year end.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Condensed Consolidated Statements of Operations. After concluding that a reserved accounts receivable is no longer collectible, the Company reduces both the gross receivable and the allowance for credit losses.</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prepaid expenses comprise the majority of Prepaid expenses and other assets on the Condensed Consolidated Statements of Financial Condition and represent upfront payments for various services, including subscriptions, software licenses and insurance, which are amortized over the life, related service period or policy. When applicable, deferred offering costs are also presented within Prepaid expenses and other assets. As of December 31, 2021, Prepaid expenses and other assets included deferred offering costs of $0.9 million related to a primary offering of shares of its Class A common stock. Total deferred offering costs of $1.3 million for this primary offering were netted against the proceeds of the offering in Additional paid-in-capital on the Condensed Consolidated Statements of Financial Condition. Refer to Note 11—Stockholders' Equity for additional information regarding this offering.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Tudor, Pickering, Holt &amp; Co. Securities Canada, ULC (“TPH Canada”) executes certain client trades through a counterparty other than its carrying broker (referred to as “broker-to-broker trades”). Per the introducing broker agreement between TPH Canada and its carrying broker, TPH Canada assumes the risk of any failed obligations with respect to broker-to-broker trades and is required to reimburse the carrying broker for any loss which the carrying broker may sustain as a result of these trades. TPH Canada is deemed to be a principal with regards to broker-to-broker trades; and therefore, the value of unsettled broker-to-broker trades as of March 31, 2022 in the amount of $5.8 million was recorded as a receivable from the carrying broker or other counterparty as well as a corresponding payable to the carrying broker or other counterparty, which were included in Prepaid expenses and other assets and Accounts payable, accrued expenses and other liabilities, respectively, on the Condensed Consolidated Statements of Financial Condition. Subsequent to March 31, 2022, these trades were settled and the related receivable and payable were derecognized. There were no unsettled broker-to-broker trades as of December 31,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entities held by PWP OpCo that are disregarded for U.S. federal and state tax purposes. Certain non-U.S. subsidiaries are subject to income taxes in their respective local jurisdictions, and therefore, the related income tax provision is reported in the Condensed Consolidated Statements of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of a change in tax rates on deferred tax assets and liabilities is recognized in Income tax benefit (expense)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analyzes its tax positions for all U.S. federal, state and local tax jurisdictions where it is required to file income tax returns. The Company records unrecognized tax benefits based on whether it is more-likely-than-not that the uncertain tax position will be sustained based on the technical merits of the position. If it is determined that an uncertain tax position is more-likely-than-not to be sustained, the Company records the largest amount of tax benefit that is more than 50% likely to be realized upon ultimate settlement with the related tax authorities. The Company recognizes interest and penalties, if any, related to unrecognized tax benefits in General, administrative and other expenses in the Condensed Consolidated Statements of Operations.</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Transaction-Related Advisory Services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Fairness Opinion Services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Trading Services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various ways – by direct payment (the amount of which is typically at the client’s discretion based upon the perceived value of the research services provided),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Services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Such amounts are adjusted to reflect actual expenses in the period in which the Company receives the final settlement, typically within 90 days following the closing of the transaction.</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 and Contract Balances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Company is typically reimbursed by the client for certain of these out-of-pocket expenses, which is recorded within Revenues in the Condensed Consolidated Statements of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are included in Compensation and benefits on the Condensed Consolidated Statements of Operations and equity-based compensation expense for non-employees is included in Professional fees on the Condensed Consolidated Statements of Operations. Refer to Note 13—Equity-Based Compensation for detail of amounts 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condensed consolidated financial statements. Non-controlling interests are presented as a separate component of equity on the Condensed Consolidated Statements of Financial Condition. Net income (loss) includes the net income (loss) attributable to the holders of the non-controlling interests on the Condensed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13—Equity-Based Compensation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changes to U.S. GAAP that went into effect during the three months ended March 31, 2022 had a material effect on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Accounting Pronouncements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changes to U.S. GAAP that are not yet effective are expected to have a material effect on the Company’s condensed consolidated financial statements.</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24, 2021, the Company consummated a business combination pursuant to the Business Combination Agreement dated as of December 29, 2020, by and among the Company (previously FTIV), the Sponsor,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consummation of the Business Combination, the following occurred:</w:t>
      </w:r>
    </w:p>
    <w:p>
      <w:pPr>
        <w:spacing w:after="0" w:line="225" w:lineRule="exact"/>
        <w:rPr>
          <w:sz w:val="20"/>
          <w:szCs w:val="20"/>
          <w:color w:val="auto"/>
        </w:rPr>
      </w:pPr>
    </w:p>
    <w:p>
      <w:pPr>
        <w:jc w:val="both"/>
        <w:ind w:left="1140" w:hanging="484"/>
        <w:spacing w:after="0" w:line="266"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75" w:lineRule="exact"/>
        <w:rPr>
          <w:rFonts w:ascii="Times New Roman" w:cs="Times New Roman" w:eastAsia="Times New Roman" w:hAnsi="Times New Roman"/>
          <w:sz w:val="18"/>
          <w:szCs w:val="18"/>
          <w:color w:val="auto"/>
        </w:rPr>
      </w:pPr>
    </w:p>
    <w:p>
      <w:pPr>
        <w:jc w:val="both"/>
        <w:ind w:left="1140" w:hanging="484"/>
        <w:spacing w:after="0" w:line="261"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179"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acquired newly-issued common units of PWP OpCo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75" w:lineRule="exact"/>
        <w:rPr>
          <w:rFonts w:ascii="Times New Roman" w:cs="Times New Roman" w:eastAsia="Times New Roman" w:hAnsi="Times New Roman"/>
          <w:sz w:val="18"/>
          <w:szCs w:val="18"/>
          <w:color w:val="auto"/>
        </w:rPr>
      </w:pPr>
    </w:p>
    <w:p>
      <w:pPr>
        <w:jc w:val="both"/>
        <w:ind w:left="1140" w:hanging="484"/>
        <w:spacing w:after="0" w:line="261"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17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Partners contributed the equity interests of PWP GP, the general partner of PWP OpCo, to FTIV;</w:t>
      </w:r>
    </w:p>
    <w:p>
      <w:pPr>
        <w:spacing w:after="0" w:line="225"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repaid all of its indebtedness including $150.0 million of Convertible Notes and $27.7 million of the Revolving Credit Facility, both as defined in Note 10—Debt, as well as accrued interest and applicable premium, resulting in a Loss on debt extinguishment of $39.4 million;</w:t>
      </w:r>
    </w:p>
    <w:p>
      <w:pPr>
        <w:spacing w:after="0" w:line="175"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6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was renamed “Perella Weinberg Partners.”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the date of the Closing, the Company recorded $22.2 million in public warrant liabilities and $0.7 million in private warrant liabilities, which represented their fair value on such date. See Note 12—Warrants for further information. In conjunction with the Business Combination, the Company incurred approximately $2.9 million in transaction expenses, which were recorded in Professional fees on the Condensed Consolidated Statements of Operations, as well as $27.6 million of offering costs which were offset against the proceeds of the Business Combination. The Business Combination resulted in an increase to the Company’s deferred tax assets, with a corresponding payable pursuant to the tax receivable agreement, primarily related to a step-up in the tax basis of certain assets that will be recovered as those assets are amortized.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time of the Closing, there were 42,956,667 shares of Class A common stock and 50,154,199 shares of Class B common stock outstanding. The number of shares of Class B common stock outstanding corresponds to the number of PWP OpCo Units attributable to the Professional Partners and ILPs. Such PWP OpCo Units are exchangeable into shares of PWP’s Class A common stock on a one-for-one basis and represent the non-controlling ownership interests in the Company. Class B-1 and B-2 common stock have de minimis economic rights. See Note 11—Stockholders' Equity for additional information.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Concurrent with the Closing, the Company entered into certain other related agreements which are discussed further in Note 11—Stockholders' Equity and Note 17—Related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4—Revenue and Receivables from Contracts with Customers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between over time and point in time recognition:</w:t>
      </w:r>
    </w:p>
    <w:p>
      <w:pPr>
        <w:spacing w:after="0" w:line="27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157,923</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Reimbursable expenses billed to clients was $0.3 million and $1.6 million for the three months ended March 31,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and Revenue Recognized from Past Performance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the aggregate amount of the transaction price allocated to performance obligations yet to be satisfied is $5.2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revenue of $119.9 million and $115.8 million during the three months ended March 31, 2022 and 2021, respectively, related to performance obligations that were satisfied or partially satisfied in prior periods, mainly due to constraints on variable consideration in prior periods being resolved for transaction-related advisory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2022 and December 31, 2021, the Company recorded $5.8 million and $7.8 million, respectively, for contract liabilities which are presented as Deferred revenue on the Condensed Consolidated Statements of Financial Condition. For the three months ended March 31, 2022 and 2021, $3.8 million and $6.7 million, respectively, of the respective beginning deferred revenue balance was recognized as revenue and was primarily related to transaction-related advisory services performance obligations that are recognized over time.</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91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allowance for credit losses activity for the three months ended March 31, 2022 and 2021 is as follows: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64"/>
        </w:trPr>
        <w:tc>
          <w:tcPr>
            <w:tcW w:w="8160" w:type="dxa"/>
            <w:vAlign w:val="bottom"/>
          </w:tcPr>
          <w:p>
            <w:pPr>
              <w:spacing w:after="0"/>
              <w:rPr>
                <w:sz w:val="24"/>
                <w:szCs w:val="24"/>
                <w:color w:val="auto"/>
              </w:rPr>
            </w:pPr>
          </w:p>
        </w:tc>
        <w:tc>
          <w:tcPr>
            <w:tcW w:w="25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24"/>
                <w:szCs w:val="24"/>
                <w:color w:val="auto"/>
              </w:rPr>
            </w:pPr>
          </w:p>
        </w:tc>
      </w:tr>
      <w:tr>
        <w:trPr>
          <w:trHeight w:val="238"/>
        </w:trPr>
        <w:tc>
          <w:tcPr>
            <w:tcW w:w="8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20"/>
                <w:szCs w:val="20"/>
                <w:color w:val="auto"/>
              </w:rPr>
            </w:pPr>
          </w:p>
        </w:tc>
      </w:tr>
      <w:tr>
        <w:trPr>
          <w:trHeight w:val="27"/>
        </w:trPr>
        <w:tc>
          <w:tcPr>
            <w:tcW w:w="8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21"/>
                <w:szCs w:val="2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7"/>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96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7"/>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8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9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1"/>
        </w:trPr>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5—Leases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2021, the Company extended the term of its New York office lease by five months, which resulted in an increase to Lease liabilities and a corresponding increase to Right-of-use lease assets of $5.1 million. In July 2021, the Company executed a lease amendment to vacate a portion of its Houston office space, which resulted in a $1.9 million decrease to Right-of-use lease assets, a $2.4 million decrease to Lease liabilities and a $0.5 million gain recorded in Other income (expense) in the Condensed Consolidated Statements of Operations. The Houston sublease agreement with PWP Capital Holdings LP was terminated in conjunction with this lease amendment.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2022, the Company entered into a lease agreement related to the relocation of its U.K. office. The lease has an initial term of 12 years and is expected to commence mid-2022. Also in February 2022, the Company entered into an amendment to its Los Angeles office lease which is expected to commence in mid-2022 and is scheduled to expire on December 31, 2032.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as it relates to the Company’s operating leases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57"/>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314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2.45%</w:t>
            </w: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3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3.13 years</w:t>
            </w:r>
          </w:p>
        </w:tc>
        <w:tc>
          <w:tcPr>
            <w:tcW w:w="160" w:type="dxa"/>
            <w:vAlign w:val="bottom"/>
          </w:tcPr>
          <w:p>
            <w:pPr>
              <w:spacing w:after="0"/>
              <w:rPr>
                <w:sz w:val="22"/>
                <w:szCs w:val="22"/>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3.26 years</w:t>
            </w:r>
          </w:p>
        </w:tc>
        <w:tc>
          <w:tcPr>
            <w:tcW w:w="0" w:type="dxa"/>
            <w:vAlign w:val="bottom"/>
          </w:tcPr>
          <w:p>
            <w:pPr>
              <w:spacing w:after="0"/>
              <w:rPr>
                <w:sz w:val="1"/>
                <w:szCs w:val="1"/>
                <w:color w:val="auto"/>
              </w:rPr>
            </w:pPr>
          </w:p>
        </w:tc>
      </w:tr>
      <w:tr>
        <w:trPr>
          <w:trHeight w:val="572"/>
        </w:trPr>
        <w:tc>
          <w:tcPr>
            <w:tcW w:w="50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 - operating leases</w:t>
            </w:r>
          </w:p>
        </w:tc>
        <w:tc>
          <w:tcPr>
            <w:tcW w:w="3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3140" w:type="dxa"/>
            <w:vAlign w:val="bottom"/>
          </w:tcPr>
          <w:p>
            <w:pPr>
              <w:spacing w:after="0"/>
              <w:rPr>
                <w:sz w:val="21"/>
                <w:szCs w:val="21"/>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lease obligation</w:t>
            </w:r>
          </w:p>
        </w:tc>
        <w:tc>
          <w:tcPr>
            <w:tcW w:w="3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715"/>
        </w:trPr>
        <w:tc>
          <w:tcPr>
            <w:tcW w:w="5020" w:type="dxa"/>
            <w:vAlign w:val="bottom"/>
          </w:tcPr>
          <w:p>
            <w:pPr>
              <w:spacing w:after="0"/>
              <w:rPr>
                <w:sz w:val="24"/>
                <w:szCs w:val="24"/>
                <w:color w:val="auto"/>
              </w:rPr>
            </w:pPr>
          </w:p>
        </w:tc>
        <w:tc>
          <w:tcPr>
            <w:tcW w:w="314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2022, the maturities of undiscounted operating lease liabilities of the Company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5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Pr>
          <w:p>
            <w:pPr>
              <w:spacing w:after="0"/>
              <w:rPr>
                <w:sz w:val="21"/>
                <w:szCs w:val="21"/>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Sublease Income</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72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41,577</w:t>
            </w:r>
          </w:p>
        </w:tc>
        <w:tc>
          <w:tcPr>
            <w:tcW w:w="7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40,208</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6—Intangible Assets</w:t>
      </w:r>
    </w:p>
    <w:p>
      <w:pPr>
        <w:spacing w:after="0" w:line="229" w:lineRule="exact"/>
        <w:rPr>
          <w:sz w:val="20"/>
          <w:szCs w:val="20"/>
          <w:color w:val="auto"/>
        </w:rPr>
      </w:pPr>
    </w:p>
    <w:p>
      <w:pPr>
        <w:jc w:val="right"/>
        <w:ind w:right="2140"/>
        <w:spacing w:after="0"/>
        <w:rPr>
          <w:sz w:val="20"/>
          <w:szCs w:val="20"/>
          <w:color w:val="auto"/>
        </w:rPr>
      </w:pPr>
      <w:r>
        <w:rPr>
          <w:rFonts w:ascii="Times New Roman" w:cs="Times New Roman" w:eastAsia="Times New Roman" w:hAnsi="Times New Roman"/>
          <w:sz w:val="18"/>
          <w:szCs w:val="18"/>
          <w:color w:val="auto"/>
        </w:rPr>
        <w:t>Below is the detail of the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36"/>
        </w:trPr>
        <w:tc>
          <w:tcPr>
            <w:tcW w:w="140" w:type="dxa"/>
            <w:vAlign w:val="bottom"/>
          </w:tcPr>
          <w:p>
            <w:pPr>
              <w:spacing w:after="0"/>
              <w:rPr>
                <w:sz w:val="3"/>
                <w:szCs w:val="3"/>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3"/>
                <w:szCs w:val="3"/>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4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66"/>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(25,280)</w:t>
            </w:r>
          </w:p>
        </w:tc>
        <w:tc>
          <w:tcPr>
            <w:tcW w:w="100" w:type="dxa"/>
            <w:vAlign w:val="bottom"/>
          </w:tcPr>
          <w:p>
            <w:pPr>
              <w:spacing w:after="0"/>
              <w:rPr>
                <w:sz w:val="23"/>
                <w:szCs w:val="23"/>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0" w:type="dxa"/>
            <w:vAlign w:val="bottom"/>
          </w:tcPr>
          <w:p>
            <w:pPr>
              <w:spacing w:after="0"/>
              <w:rPr>
                <w:sz w:val="1"/>
                <w:szCs w:val="1"/>
                <w:color w:val="auto"/>
              </w:rPr>
            </w:pPr>
          </w:p>
        </w:tc>
      </w:tr>
      <w:tr>
        <w:trPr>
          <w:trHeight w:val="283"/>
        </w:trPr>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-582295</wp:posOffset>
            </wp:positionV>
            <wp:extent cx="713232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-222250</wp:posOffset>
            </wp:positionV>
            <wp:extent cx="713232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40"/>
          </w:cols>
          <w:pgMar w:left="320" w:top="117" w:right="339" w:bottom="1440" w:gutter="0" w:footer="0" w:header="0"/>
          <w:type w:val="continuous"/>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5"/>
                <w:szCs w:val="15"/>
                <w:color w:val="auto"/>
              </w:rPr>
            </w:pPr>
          </w:p>
        </w:tc>
        <w:tc>
          <w:tcPr>
            <w:tcW w:w="1240" w:type="dxa"/>
            <w:vAlign w:val="bottom"/>
          </w:tcPr>
          <w:p>
            <w:pPr>
              <w:jc w:val="center"/>
              <w:ind w:right="150"/>
              <w:spacing w:after="0" w:line="174"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44"/>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40"/>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3"/>
                <w:szCs w:val="3"/>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intangible assets are amortized over an average useful life of 10 years. Intangible amortization expense was $1.6 million for each of the three months ended March 31, 2022 and 2021, which is included in Depreciation and amortization in the Condensed Consolidated Statements of Operations. Amortization of intangible assets held at March 31, 2022 is expected to be $6.6 million for each of the years ending December 31, 2022, 2023, 2024 and 2025, and $6.0 million for the year ending December 31, 2026. These intangible assets will be fully amortized by November 30, 2026.</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7—Regulatory Requirements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None of the SEC regulated subsidiaries hold funds or securities for, or owe money or securities to, clients or carry accounts of or for clients, and as such are all exempt from the SEC Customer Protection Rule (Rule 15c3-3). As of March 31, 2022 and December 31, 2021, all regulated subsidiaries were in excess of their applicable minimum capital requirements.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minimum capital requirements and various regulations on these broker dealers, a portion of the capital of each subsidiary of the Company is restricted and may be unavailable to pay its creditors.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8—Fixed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Fixed assets are recorded at cost less accumulated depreciation and amortization and consist of the following as of March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7"/>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49,610</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82,348</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Fixed assets,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related to fixed assets was $1.1 million and $1.9 million for the three months ended March 31, 2022 and 2021, respectively. Amortization expense related to software development costs was $0.2 million and $0.4 million for the three months ended March 31,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tax position for the periods presented:</w:t>
      </w:r>
    </w:p>
    <w:p>
      <w:pPr>
        <w:spacing w:after="0" w:line="27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22860</wp:posOffset>
            </wp:positionV>
            <wp:extent cx="2100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24,531</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7"/>
        </w:trPr>
        <w:tc>
          <w:tcPr>
            <w:tcW w:w="7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Company determined that the year-to-date actual effective tax rate represents the Company’s best estimate of the annual effective tax rate. This is due to the Company’s significant permanent differences as compared to estimated pre-tax income.</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effective tax rate is dependent on many factors, including the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has a liability for unrecognized tax benefits of $6.1 million related to the potential double inclusion of income on its foreign income tax returns. The Company does not expect there to be any material changes to uncertain tax positions within 12 months of the reporting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10—Debt</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debt as of March 31, 2022 and December 31, 2021: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4"/>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Unamortized debt discount and issuance costs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302"/>
        </w:trPr>
        <w:tc>
          <w:tcPr>
            <w:tcW w:w="8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debt,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hanging="332"/>
        <w:spacing w:after="0" w:line="266"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and December 31, 2021, the Company included unamortized debt issuance costs within Prepaid expenses and other assets on the Condensed Consolidated Statements of Financial Position since there were no outstanding borrowings under the Revolving Credit Facility, as defined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revolving credit facility (the “Revolving Credit Facility”) with Cadence Bank, N.A. (“Cadence Bank”) with an available line of credit of $50 million. Prior to the Business Combination, the Revolving Credit Facility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 Leverage Ratio</w:t>
            </w:r>
          </w:p>
        </w:tc>
        <w:tc>
          <w:tcPr>
            <w:tcW w:w="2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Eurodollar Rate</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w:t>
            </w:r>
          </w:p>
        </w:tc>
      </w:tr>
      <w:tr>
        <w:trPr>
          <w:trHeight w:val="23"/>
        </w:trPr>
        <w:tc>
          <w:tcPr>
            <w:tcW w:w="6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0.50 : 1.00</w:t>
            </w:r>
          </w:p>
        </w:tc>
        <w:tc>
          <w:tcPr>
            <w:tcW w:w="3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26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r>
      <w:tr>
        <w:trPr>
          <w:trHeight w:val="234"/>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1.00, but &lt; 1.50 : 1.00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26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r>
      <w:tr>
        <w:trPr>
          <w:trHeight w:val="22"/>
        </w:trPr>
        <w:tc>
          <w:tcPr>
            <w:tcW w:w="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4"/>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1.50</w:t>
            </w: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w:t>
            </w:r>
          </w:p>
        </w:tc>
        <w:tc>
          <w:tcPr>
            <w:tcW w:w="30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26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r>
      <w:tr>
        <w:trPr>
          <w:trHeight w:val="22"/>
        </w:trPr>
        <w:tc>
          <w:tcPr>
            <w:tcW w:w="500" w:type="dxa"/>
            <w:vAlign w:val="bottom"/>
            <w:shd w:val="clear" w:color="auto" w:fill="CCEEFF"/>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consummation of the Business Combination, the Company repaid all of the outstanding borrowings under the Credit Agreement, which included $27.7 million principal amount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w:t>
      </w:r>
    </w:p>
    <w:p>
      <w:pPr>
        <w:spacing w:after="0" w:line="3" w:lineRule="exact"/>
        <w:rPr>
          <w:sz w:val="20"/>
          <w:szCs w:val="20"/>
          <w:color w:val="auto"/>
        </w:rPr>
      </w:pPr>
    </w:p>
    <w:p>
      <w:pPr>
        <w:jc w:val="both"/>
        <w:ind w:firstLine="8"/>
        <w:spacing w:after="0" w:line="255"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 million of the Revolving Credit Facility may be used for the issuance of letters of credit, (iv) up to $20.0 million of incremental revolving commitments may be incurred under the Credit Agreement, and (v) certain financial covenants were amended. As of March 31, 2022, the Company had no outstanding balance related to the Revolving Credit Facility and no incremental revolving commitments were incurred.</w:t>
      </w:r>
    </w:p>
    <w:p>
      <w:pPr>
        <w:spacing w:after="0" w:line="200" w:lineRule="exact"/>
        <w:rPr>
          <w:sz w:val="20"/>
          <w:szCs w:val="20"/>
          <w:color w:val="auto"/>
        </w:rPr>
      </w:pPr>
    </w:p>
    <w:p>
      <w:pPr>
        <w:spacing w:after="0" w:line="36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interest rate for the Revolving Credit Facility was 2.63% for the three months ended March 31, 2021.</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Debt Issuance Costs </w:t>
      </w:r>
      <w:r>
        <w:rPr>
          <w:rFonts w:ascii="Times New Roman" w:cs="Times New Roman" w:eastAsia="Times New Roman" w:hAnsi="Times New Roman"/>
          <w:sz w:val="18"/>
          <w:szCs w:val="18"/>
          <w:color w:val="auto"/>
        </w:rPr>
        <w:t>– Prior to the Business Combination, the Company incurred $1.8 million in issuance costs related to the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amortized to Interest expense using the effective interest method over the life of the Revolving Credit Facility. The effective interest rate of the Revolving Credit Facility, taking into account these issuance costs, was 3.75% for the three months ended March 31, 2021. The amendments described above were accounted for as modifications as opposed to a debt extinguishment in accordance with U.S. GAAP. As such, the unamortized original debt issuance costs as well as the additional $0.1 million in fees incurred to amend the facility are being amortized using the effective interest method to Interest expense over the amended remaining term of the Revolving Credit Facility. Interest expense related to the Revolving Credit Facility was $0.1 million and $0.3 million during the three months ended March 31, 2022 and 2021,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 Outstanding Prior to the Business Combination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7.0% subordinated unsecured convertible notes with an aggregate principal amount of $150.0 million (the “Convertible Notes”) were redeemed upon consummation of the Business Combination in June of 2021. The effective interest rate of the Convertible Notes, considering the cash coupon rate of 7.0% as well as amortization of the debt discount and issuance costs, was 11.95% for the three months ended March 31, 2021. The aggregate interest expense related to the Convertible Notes was $3.6 million for the three months ended March 31, 2021.</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of the persons who held Convertible Notes (each herein referred to as a “Holder”) are partners. Refer to Note 17—Related Party Transactions for further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11—Stockholders' Equity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Subsequent to the Business Combination as described in Note 3—Business Combination, the Company’s authorized capital stock consists of 2,200,000,000 shares including (i) 1,500,000,000 shares of Class A common stock, par value $0.0001 per share (the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(iv)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hares of Class A common stock and Class B common stock are not subject to any conversion right and holders of the Class A common stock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do not have preemptive or subscription rights. Additionally, the Company has 7,869,975 warrants outstanding as of March 31, 2022 and December 31, 2021. See Note 12—Warrants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February 16, 2022, the Company’s Board of Directors declared a cash dividend of $0.07 per outstanding share of Class A common stock. This dividend was paid on March 17, 2022 to each of the holders of Class A common stock of record as of the close of business on March 3, 2022. Holders of Class B common stock also received dividends equal to the amount of dividends made on 0.001 shares of Class A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 During the three months ended March 31, 2022, the Company purchased 172,303 shares resulting in an increase of $1.6 million, at cost, to Treasury stock on the Company’s Condensed Consolidated Statement of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Non-controlling interests represents the ownership interests in PWP OpCo held by holders other than Perella Weinberg Partners. Professional Partners and the ILPs own 46,318,953 PWP OpCo Units as of March 31, 2022, which represent a 49.65% non-controlling ownership interest in PWP OpCo. These PWP OpCo Units are exchangeable into PWP Class A common stock on a one-for-one basis. Class B-1 and Class B-2 common stock have de minimis economic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the Company entered into a registration rights agreement among the Sponsor, Professional Partners and the ILPs pursuant to which the Company was required to file with the SEC a registration statement pursuant to Rule 415 under the Securities Act of 1933, as amended (the “Securities Act”) registering the resale of certain shares of its Class A common stock and certain of its other equity securities, which was filed by the Company with the SEC on July 15, 2021. The Company bears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Share Surrender and Share Restriction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Concurrent with the Business Combination Agreement, FTIV, PWP OpCo and certain other parties entered into the Surrender Agreement with the Sponsor, which was amended on May 4, 2021, under which the founder shares owned by the Sponsor as of the Closing and certain shares of Class A common stock purchased by the Sponsor as part of private placement units in connection with the FTIV’s initial public offering were subject to transfer restrictions for six months following the Closing of the Business Combination, or until December 24, 2021, and certain of the founder shares owned by the Sponsor as of the Closing continue to be subject to transfer restrictions that lapse in tranches based on share price targets or the 10 year anniversary,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or its permitted transferees, as applicable, up to an aggregate of 1,000,000 founder shares per Trigger Date for a purchase price of $12.00 per share or $15.00 per share, respectively, by providing written notice of such repurchase election to the Sponsor or its permitted transferees, as applicable.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9, 2021, the Company repurchased 1,000,000 founder shares from the Sponsor at a purchase price of $12.00 per share for a total purchase price of $12.0 million. The share repurchase was recorded to Treasury stock, at cost, on our Condensed Consolidated Statements of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of Directors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for so long as the 10% Condition is met, the Board of Directors may not approve, absent the prior consent of Professional Partners, a number of ordinary course operating activities in respect of the Company, PWP OpCo and PWP OpCo’s subsidiaries.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OpCo Limited Partnership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and Voting and Economic Rights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Rights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the Company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PWP OpCo LPA contains restrictions on the ability to exchange PWP OpCo Units for shares of Class A common stock or cash from an offering of shares of Class A common stock, for the following periods: (i) PWP OpCo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Units held by ILPs existing at the time of the Business Combination were subject to such restriction for 180 days after the Closing which expired on December 24, 2021, and (iii) any other outstanding PWP OpCo Units not previously covered by clauses (i) and (ii) above are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21, 2022, the Company closed a follow-on public offering of 3,502,033 shares of Class A common stock (the “Offering”) at a public offering price of $10.75 per share for total gross proceeds of $37.6 million, before deducting underwriting discounts and commissions. All proceeds from the Offering, net of the underwriting discounts and commissions of $0.32 per share or an aggregate of $1.1 million, were used by the Company to settle an exchange of certain PWP OpCo Units and certain shares of Class B common stock. Under the terms of the underwriting agreement, directors, officers and certain significant shareholders signed customary lockup agreements with respect to their ownership of Class A common stock. Total deferred offering costs of $1.3 million for the Offering were netted against the proceeds of the offering in Additional paid-in-capital on the Condensed Consolidated Statements of Financial Condition.</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28, 2022, the Company settled an exchange of certain PWP OpCo Units and certain shares of Class B common stock for 337,048 shares of Class A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exchanges created a step-up in tax basis for which the Company recorded an increase in Deferred tax assets, net, as well as a related increase in Amounts due pursuant to the tax receivable agreement resulting in a net increase to Additional paid-in-capital.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public warrant entitles the registered holder to purchase one share of Class A common stock at an exercise price of $11.50 per share, subject to adjustment, and became exercisable on September 29, 2021, the one-year anniversary of FTIV’s initial public offering.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Company had 7,666,642 public warrants outstanding and no warrants had been exercised or redeemed.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warrants and the Class A common stock issuable upon the exercise of the private warrants were subject to certain restrictions on transfer, assignment or sale until July 24, 2021, 30 days after the completion of the Business Combination. Additionally, the 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March 31, 2022 and December 31, 2021, the Company had 203,333 private warrants outstanding and no private warrants were exercised or redeemed.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Condensed Consolidated Statements of Operations. See Note 16—Fair Value Measurements and Investments for descriptions of the valuation methodology and further information.</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13—Equity-Based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Omnibus Incentive Plan Awards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may grant options, stock appreciation rights, restricted stock, restricted stock units (“RSUs”), performance restricted stock units (“PSUs”), stock bonuses, other stock-based awards, cash awards or any combination of the foregoing. The PWP Incentive Plan established a reserve for a one-time grant of awards that occurred in connection with the Business Combination (the “Transaction Pool Reserve”) as well as a reserve for general purpose grants (the “General Share Reserve”). The maximum aggregate number of shares of Class A common stock reserved for issuance from the General Share Reserve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the last day of the immediately preceding fiscal year, over (ii) the number of shares of Class A common stock reserved and available for issuance in respect to future grants of awards under the PWP Incentive Plan as of the last day of the immediately preceding fiscal year. As of March 31, 2022, 7,823,995 total shares remained reserved and available for future issuance under the PWP Incentive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 Awards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2021, in connection with the Business Combination, the Company granted awards in the form of (i) restricted stock units out of the Transaction Pool Share Reserve consisting of (a) PSUs that only vest upon the achievement of both service and market conditions (“Transaction Pool PSUs”) and (b) RSUs that vest upon the achievement of service conditions (“Transaction Pool RSUs”) as well as (ii) PSUs out of the General Share Reserve to certain executives that vest upon the achievement of both service and market conditions (“Long-Term Incentive Awards”).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Transaction Pool PSUs – </w:t>
      </w:r>
      <w:r>
        <w:rPr>
          <w:rFonts w:ascii="Times New Roman" w:cs="Times New Roman" w:eastAsia="Times New Roman" w:hAnsi="Times New Roman"/>
          <w:sz w:val="18"/>
          <w:szCs w:val="18"/>
          <w:color w:val="auto"/>
        </w:rPr>
        <w:t>The service condition requirement with respect to the Transaction Pool PSUs is generally satisfied over three to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with 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March 31, 2022, the $12 and $13.50 market condition requirements were satisfied.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Transaction Pool PSUs for the three months ended March 31,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Transaction Pool PSUs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1"/>
        </w:trPr>
        <w:tc>
          <w:tcPr>
            <w:tcW w:w="8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38"/>
        </w:trPr>
        <w:tc>
          <w:tcPr>
            <w:tcW w:w="8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3"/>
        </w:trPr>
        <w:tc>
          <w:tcPr>
            <w:tcW w:w="8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3,208,126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8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3,055,615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line="282"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dividend equivalents that have been awarded in the form of additional Transaction Pool PSUs that were granted from the General Share Reserve.</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total unrecognized compensation expense related to unvested Transaction Pool PSUs was $32.7 million, which is expected to be recognized over a weighted average period of 3.44 years.</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Transaction Pool RSUs – </w:t>
      </w:r>
      <w:r>
        <w:rPr>
          <w:rFonts w:ascii="Times New Roman" w:cs="Times New Roman" w:eastAsia="Times New Roman" w:hAnsi="Times New Roman"/>
          <w:sz w:val="18"/>
          <w:szCs w:val="18"/>
          <w:color w:val="auto"/>
        </w:rPr>
        <w:t>The Transaction Pool RSUs generally vest in equal annual installments over the requisite service period of three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March 31, 2022, total unrecognized compensation expense related to unvested Transaction Pool RSUs was $43.4 million, which is expected to be recognized over a weighted average period of 2.52 years.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Transaction Pool RSUs for the three months ended March 31, 2022: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Transaction Pool RSUs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1"/>
        </w:trPr>
        <w:tc>
          <w:tcPr>
            <w:tcW w:w="8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38"/>
        </w:trPr>
        <w:tc>
          <w:tcPr>
            <w:tcW w:w="8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3"/>
        </w:trPr>
        <w:tc>
          <w:tcPr>
            <w:tcW w:w="8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5,450,604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8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(712,261)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3,923,803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line="28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dividend equivalents that have been awarded in the form of additional Transaction Pool RSUs that were granted from the General Share Reserve.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Incentive Awards – </w:t>
      </w:r>
      <w:r>
        <w:rPr>
          <w:rFonts w:ascii="Times New Roman" w:cs="Times New Roman" w:eastAsia="Times New Roman" w:hAnsi="Times New Roman"/>
          <w:sz w:val="18"/>
          <w:szCs w:val="18"/>
          <w:color w:val="auto"/>
        </w:rPr>
        <w:t>The service condition requirement with respect to the Long-Term Incentive Awards is generally satisfied in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installments subject to continued employment on the third and fifth anniversaries of the grant date. The market condition is satisfied upon the achievement of closing stock prices equal to $15, $20, $25 and $30 for any 20 trading days out of any 30 consecutive trading days prior to the fifth anniversary of the grant date, as measured on the last calendar day of each month, subject to linear interpolation between the applicable price points.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Long-Term Incentive Awards for the three months ended March 31, 2022: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Long-Term Incentive Awards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1"/>
        </w:trPr>
        <w:tc>
          <w:tcPr>
            <w:tcW w:w="8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29"/>
        </w:trPr>
        <w:tc>
          <w:tcPr>
            <w:tcW w:w="8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52"/>
        </w:trPr>
        <w:tc>
          <w:tcPr>
            <w:tcW w:w="8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9,500,000</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total unrecognized compensation expense related to unvested Long-Term Incentive Awards was $67.4 million, which is expected to be recognized over a weighted average period of 3.46 years.</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General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grants RSU awards out of the General Share Reserve that vest upon the achievement of service conditions (the “General RSUs”).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grant General RSUs from time to time in the ordinary course of business.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General RSUs vest over the requisite service period, which is generally one to five years. The grant date fair value of the General RSUs granted during the three months ended March 31, 2022 was $63.0 million, which was based on the PWP stock price on the date of grant. As of March 31, 2022, total unrecognized compensation expense related to unvested General RSUs was $62.9 million which is expected to be recognized over a weighted average period of 2.67 years.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General RSUs for the three months ended March 31,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6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General RSUs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4"/>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8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906,517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8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6,323,662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6,781,939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460" w:firstLine="8"/>
        <w:spacing w:after="0" w:line="500" w:lineRule="auto"/>
        <w:tabs>
          <w:tab w:leader="none" w:pos="3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dividend equivalents that have been awarded in the form of additional General RSUs that were granted from the General Share Reserve. </w:t>
      </w:r>
      <w:r>
        <w:rPr>
          <w:rFonts w:ascii="Times New Roman" w:cs="Times New Roman" w:eastAsia="Times New Roman" w:hAnsi="Times New Roman"/>
          <w:sz w:val="18"/>
          <w:szCs w:val="18"/>
          <w:u w:val="single" w:color="auto"/>
          <w:color w:val="auto"/>
        </w:rPr>
        <w:t>Voting and Dividend Equivalent Rights</w:t>
      </w:r>
    </w:p>
    <w:p>
      <w:pPr>
        <w:spacing w:after="0" w:line="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Grantees of the Company’s RSUs and PSUs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dividends in the form of award grants that match the underlying award from which the dividends were generated. The remaining employees receive such awards in the form of cash.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Awards and Professional Partners Awards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Professional Partners granted certain equity-based awards to partners providing services to PWP OpCo (the “Legacy Awards”). In January 2020, the Company granted Legacy Awards with a grant-date fair value of $6.4 million, which was estimated using the income approach and assumed a range of discount rates between 3.8% and 11.2%. In January 2021, the Company granted Legacy Awards with a grant-date fair value of $9.3 million, which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and a related internal reorganization of Professional Partners, an ownership structure was implemented that includes a class of partnership units that tracks PWP’s advisory business (including increases and decreases in value) and allocates income/distributions with respect to the advisory business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with the cost reflected in equity-based compensation over the requisite service period. The Company will continue to amortize the unrecognized cost associated with the Legacy Awards over its original vesting schedule. The $301.5 million grant-date fair value of the Professional Partners Awards is based on the closing price of PWP Class A common stock on the date of grant as units in Professional Partners are ultimately exchangeable into shares of PWP Class A common stock on a one-for-one basis.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there was $19.6 million of unrecognized compensation cost associated with the Legacy Awards that is expected to be recognized over a weighted-average period of 1.49 years. As of March 31, 2022, there was $252.2 million of unrecognized compensation expense related to unvested Professional Partners Awards, which is expected to be recognized over a weighted-average period of 4.12 years.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expense related to awards that were recorded in Professional fees and components of Equity-based compensation included on the Condensed Consolidated Statements of Operations:</w:t>
      </w:r>
    </w:p>
    <w:p>
      <w:pPr>
        <w:spacing w:after="0" w:line="22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40005</wp:posOffset>
            </wp:positionV>
            <wp:extent cx="1945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Professional fees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7"/>
        </w:trPr>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Professional fees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57"/>
        </w:trPr>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22,180</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Legacy Awards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r>
      <w:tr>
        <w:trPr>
          <w:trHeight w:val="284"/>
        </w:trPr>
        <w:tc>
          <w:tcPr>
            <w:tcW w:w="8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 xml:space="preserve">Professional Partners Awards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2"/>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of equity-based awards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340" w:hanging="332"/>
        <w:spacing w:after="0" w:line="282"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14—Other Compensation and Benefits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Programs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Deferred compensation liabilities will be paid at various intervals through 2023 and are presented within Deferred compensation programs on the Condensed Consolidated Statements of Financial Condition. During the three months ended March 31, 2022, the Company settled $5.8 million of the deferred compensation liability, of which $2.6 million was settled through a reduction of certain partners’ outstanding promissory notes and interest receivable. Refer to Note 17—Related Party Transactions for more information. There were no forfeitures of deferred compensation awards during each of the three months ended March 31, 2022 and March 31, 2021. Compensation expenses related to these deferred compensation plans was $0.3 million for the three months ended March 31, 2021, and is presented within Compensation and benefits in the Condensed Consolidated Statements of Operations. As of March 31, 2022, substantially all deferred amounts were vested, and as such, there was nominal compensation expense related to these deferred compensations plans during the three months ended March 31, 2022.</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employees participate in employee benefit plans, which consists of defined contribution plans including (i) profit-sharing plans qualified under Section 401(k) of the Internal Revenue Code and (ii) a UK pension scheme for UK employees and (iii) a Germany pension plan for employees in Germany.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expenses related to the Company’s employee benefit plans was $1.5 million and $1.2 million, and are included in Compensation and benefits in the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15—Net Income (Loss) Per Share Attributable to Class A Common Shareholders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analyzed the calculation of net income (loss) per share for periods prior to the Business Combination on June 24, 2021 and determined that it resulted in values that would not be meaningful to the users of the condensed consolidated financial statements. Therefore, net income (loss) per share information has not been presented for periods prior to the Business Combination. The basic and diluted net income (loss) per share attributable to Class A common shareholders for the three months ended March 31, 2022, as presented on the Condensed Consolidated Statements of Operations, represent only the period after the Business Combination to March 31, 2022.</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calculations of basic and diluted net income (loss) per share attributable to Class A common shareholders are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9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46"/>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57"/>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w:t>
            </w:r>
          </w:p>
        </w:tc>
      </w:tr>
      <w:tr>
        <w:trPr>
          <w:trHeight w:val="27"/>
        </w:trPr>
        <w:tc>
          <w:tcPr>
            <w:tcW w:w="9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84"/>
        </w:trPr>
        <w:tc>
          <w:tcPr>
            <w:tcW w:w="9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from assumed exchange of PWP OpCo Units, net of tax</w:t>
            </w:r>
          </w:p>
        </w:tc>
        <w:tc>
          <w:tcPr>
            <w:tcW w:w="1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r>
      <w:tr>
        <w:trPr>
          <w:trHeight w:val="277"/>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diluted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9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57"/>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basic</w:t>
            </w:r>
          </w:p>
        </w:tc>
        <w:tc>
          <w:tcPr>
            <w:tcW w:w="18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45,917,935</w:t>
            </w:r>
          </w:p>
        </w:tc>
      </w:tr>
      <w:tr>
        <w:trPr>
          <w:trHeight w:val="27"/>
        </w:trPr>
        <w:tc>
          <w:tcPr>
            <w:tcW w:w="9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83"/>
        </w:trPr>
        <w:tc>
          <w:tcPr>
            <w:tcW w:w="9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incremental shares from assumed exchange of PWP OpCo Units</w:t>
            </w:r>
          </w:p>
        </w:tc>
        <w:tc>
          <w:tcPr>
            <w:tcW w:w="1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47,313,397</w:t>
            </w:r>
          </w:p>
        </w:tc>
      </w:tr>
      <w:tr>
        <w:trPr>
          <w:trHeight w:val="277"/>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diluted</w:t>
            </w:r>
          </w:p>
        </w:tc>
        <w:tc>
          <w:tcPr>
            <w:tcW w:w="180" w:type="dxa"/>
            <w:vAlign w:val="bottom"/>
            <w:tcBorders>
              <w:top w:val="single" w:sz="8" w:color="auto"/>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93,231,332</w:t>
            </w:r>
          </w:p>
        </w:tc>
      </w:tr>
      <w:tr>
        <w:trPr>
          <w:trHeight w:val="20"/>
        </w:trPr>
        <w:tc>
          <w:tcPr>
            <w:tcW w:w="9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Class A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57"/>
        </w:trPr>
        <w:tc>
          <w:tcPr>
            <w:tcW w:w="9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7"/>
        </w:trPr>
        <w:tc>
          <w:tcPr>
            <w:tcW w:w="9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7"/>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9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Class B common shareholders has not been presented as these shares are entitled to an insignificant amount of economic participation.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uses the treasury stock method to determine the potential dilutive effect of outstanding warrants and unvested RSUs and PSUs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2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908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7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3"/>
                <w:szCs w:val="23"/>
                <w:color w:val="auto"/>
                <w:vertAlign w:val="superscript"/>
              </w:rPr>
              <w:t>(1)</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295,216</w:t>
            </w:r>
          </w:p>
        </w:tc>
      </w:tr>
      <w:tr>
        <w:trPr>
          <w:trHeight w:val="27"/>
        </w:trPr>
        <w:tc>
          <w:tcPr>
            <w:tcW w:w="90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302"/>
        </w:trPr>
        <w:tc>
          <w:tcPr>
            <w:tcW w:w="9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295,216</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line="282"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assessed for the three months ended March 31, 2022, the warrants were out-of-the-money, which resulted in no potentially dilutive shares under the treasury stock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16—Fair Value Measurements and Investments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(from highest to lowest)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inputs: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are available in active markets for identical financial instruments as of the reporting date.</w:t>
      </w:r>
    </w:p>
    <w:p>
      <w:pPr>
        <w:spacing w:after="0" w:line="225"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Level 2 – Pricing inputs are observable inputs other than quoted prices included in Level 1, such as quoted prices for similar assets or liabilities in active markets or quoted prices for identical assets or liabilities in active markets.</w:t>
      </w:r>
    </w:p>
    <w:p>
      <w:pPr>
        <w:spacing w:after="0" w:line="162"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cash, restricted cash, accounts receivable, due from related parties, accounts payable and certain accrued liabilities approximate their carrying amounts due to the short-term nature of these items. Due to the variable rate nature of the Revolving Credit Facility, the carrying value as of December 31, 2021 approximated the fair value.</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categorization and fair value estimate of the Company’s financial instruments that are measured on a recurring basis pursuant to the above fair value hierarchy levels as of March 31, 2022 and December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57"/>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surrender value of company-owned life insurance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r>
      <w:tr>
        <w:trPr>
          <w:trHeight w:val="257"/>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2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02"/>
        </w:trPr>
        <w:tc>
          <w:tcPr>
            <w:tcW w:w="6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57"/>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mutual funds and other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3"/>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surrender value of company-owned life insurance</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50"/>
        </w:trPr>
        <w:tc>
          <w:tcPr>
            <w:tcW w:w="6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3"/>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27,063</w:t>
            </w:r>
          </w:p>
        </w:tc>
      </w:tr>
      <w:tr>
        <w:trPr>
          <w:trHeight w:val="257"/>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2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02"/>
        </w:trPr>
        <w:tc>
          <w:tcPr>
            <w:tcW w:w="6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no transfers between fair value levels during the three months ended March 31, 2022 and 2021.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held investments related to a legacy deferred compensation program and securities. These amounts are included in Prepaid expenses and other assets on the Condensed Consolidated Statements of Financial Condition.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cash surrender value of company-owned life insurance is included in Prepaid expenses and other assets on the Condensed Consolidated Statements of Financial Condition at the amount that could be realized under the contract as of March 31, 2022 and December 31, 2021, which approximates fair value.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public warrants are valued using quoted market prices on the Nasdaq Global Select Market under the ticker PWPPW and are included in Warrant liabilities on the Condensed Consolidated Statements of Financial Condition. As of March 31, 2022, the price per public warrant was $2.01.</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determines the fair value of the private warrants using the Black-Scholes option pricing valuation model (“Valuation Model”). The private warrants are classified as Level 3 as of March 31, 2022 because of the use of significant unobservable inputs in the Valuation Model. The inputs into the Valuation Model for the private warrants, including some significant unobservable inputs,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80" w:type="dxa"/>
            <w:vAlign w:val="bottom"/>
          </w:tcPr>
          <w:p>
            <w:pPr>
              <w:spacing w:after="0"/>
              <w:rPr>
                <w:sz w:val="20"/>
                <w:szCs w:val="20"/>
                <w:color w:val="auto"/>
              </w:rPr>
            </w:pPr>
          </w:p>
        </w:tc>
        <w:tc>
          <w:tcPr>
            <w:tcW w:w="2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7"/>
        </w:trPr>
        <w:tc>
          <w:tcPr>
            <w:tcW w:w="88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57"/>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38.02 %</w:t>
            </w:r>
          </w:p>
        </w:tc>
      </w:tr>
      <w:tr>
        <w:trPr>
          <w:trHeight w:val="257"/>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resulting valuation for the private warrants were determined to be $1.93 per unit as of March 31, 2022. The Company had 203,333 private warrants outstanding as of March 31, 2022, resulting in a fair value of $0.4 million recorded within Warrant liabilities in the Condensed Consolidated Statements of Financial Condition.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changes in Level 3 financial liabilities measured at fair value for three months ended March 31,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Private Warrants</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6"/>
              </w:rPr>
              <w:t>742</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Pr>
          <w:p>
            <w:pPr>
              <w:spacing w:after="0"/>
              <w:rPr>
                <w:sz w:val="22"/>
                <w:szCs w:val="22"/>
                <w:color w:val="auto"/>
              </w:rPr>
            </w:pPr>
          </w:p>
        </w:tc>
        <w:tc>
          <w:tcPr>
            <w:tcW w:w="196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302"/>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6"/>
              </w:rPr>
              <w:t>392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Changes in fair value of the private warrants are presented within Change in fair value of warrant liabilities on the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applies the equity method of accounting to its investment in PFAC Holdings I LLC (“PFAC Holdings”), an indirect parent of PWP Forward Acquisition Corp. I (“PFAC”), a special purpose acquisition company. As of March 31, 2022 and December 31, 2021, the Company’s investment in PFAC Holdings was $1.8 million and $1.3 million, respectively. The Company’s share of earnings of PFAC Holdings is included in Other income (expense) on the Condensed Consolidated Statements of Operations for the three months ended March 31, 2022 and 2021.</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Capital Holdings LP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TSA Agreement </w:t>
      </w:r>
      <w:r>
        <w:rPr>
          <w:rFonts w:ascii="Times New Roman" w:cs="Times New Roman" w:eastAsia="Times New Roman" w:hAnsi="Times New Roman"/>
          <w:sz w:val="18"/>
          <w:szCs w:val="18"/>
          <w:color w:val="auto"/>
        </w:rPr>
        <w:t>– In connection with the Separation, the Company entered into a transition services agreement (the “TSA”) with PWP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legal,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Sublease Income </w:t>
      </w:r>
      <w:r>
        <w:rPr>
          <w:rFonts w:ascii="Times New Roman" w:cs="Times New Roman" w:eastAsia="Times New Roman" w:hAnsi="Times New Roman"/>
          <w:sz w:val="18"/>
          <w:szCs w:val="18"/>
          <w:color w:val="auto"/>
        </w:rPr>
        <w:t>– In connection with the Separation, the Company subleases a portion of its office space at its New York location to PWP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5—Leases.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Arrangements </w:t>
      </w:r>
      <w:r>
        <w:rPr>
          <w:rFonts w:ascii="Times New Roman" w:cs="Times New Roman" w:eastAsia="Times New Roman" w:hAnsi="Times New Roman"/>
          <w:sz w:val="18"/>
          <w:szCs w:val="18"/>
          <w:color w:val="auto"/>
        </w:rPr>
        <w:t>– In addition, PWP Capital Holdings LP has entered into an arrangement with certain employees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services provided directly to PWP Capital Holdings LP. With respect to services provided to PWP Capital Holdings LP, the amounts paid and payable to such employees now and in the future are recognized by PWP Capital Holdings LP. All compensation related to services these employees provide to the Company are included in Compensation and benefits in the Condensed Consolidated Statements of Operations.</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Amounts due from PWP Capital Holdings LP are reflected as Due from related parties on the Condensed Consolidated Statements of Financial Condition.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TSA income reported within Related party income in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periods presented:</w:t>
      </w:r>
    </w:p>
    <w:p>
      <w:pPr>
        <w:spacing w:after="0" w:line="27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40005</wp:posOffset>
            </wp:positionV>
            <wp:extent cx="1945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4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TSA income</w:t>
            </w:r>
          </w:p>
        </w:tc>
        <w:tc>
          <w:tcPr>
            <w:tcW w:w="37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TSA income – Compensation related</w:t>
            </w:r>
          </w:p>
        </w:tc>
        <w:tc>
          <w:tcPr>
            <w:tcW w:w="47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TSA income – Non-compensation related</w:t>
            </w:r>
          </w:p>
        </w:tc>
        <w:tc>
          <w:tcPr>
            <w:tcW w:w="37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57"/>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Sublease income</w:t>
            </w:r>
          </w:p>
        </w:tc>
        <w:tc>
          <w:tcPr>
            <w:tcW w:w="3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TSA income</w:t>
            </w:r>
          </w:p>
        </w:tc>
        <w:tc>
          <w:tcPr>
            <w:tcW w:w="474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36</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4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with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March 31, 2022, the Company had an amount due of $19.7 million pursuant to the tax receivable agreement, which represents management’s best estimate of the amounts currently expected to be owed in connection with the tax receivable agreement and is reported within Amount due pursuant to tax receivable agreement on the Condensed Consolidated Statement of Financial Condition. The Company expects to make the following payments with respect to the tax receivable agreement, which may differ significantly from actual payments made: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Payments Under</w:t>
            </w:r>
          </w:p>
        </w:tc>
      </w:tr>
      <w:tr>
        <w:trPr>
          <w:trHeight w:val="252"/>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Tax Receivable Agreement</w:t>
            </w: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w:t>
            </w: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02"/>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19,731</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Promissory Notes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PWP OpCo or other affiliate. As the Partner Promissory Notes and associated interest receivable relate to equity transactions, they have been recognized as a reduction of equity on the Condensed Consolidated Statements of Financial Condition in the amount of $3.5 million and $6.0 million as of March 31, 2022 and December 31, 2021, respectively.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certain partners effectively repaid $2.6 million of principal and interest related to Partner Promissory Notes by foregoing the amount due from their respective deferred compensation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Partner Loans and Loan Guarantees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$3.3 million of outstanding loans to certain partners are recognized in Due from related parties on the Condensed Consolidated Statements of Financial Condition.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unconditionally guaranteed certain of its partners’ loans with First Republic Bank. Refer to Note 18—Commitments and Contingencies for additional information on the guarantees.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Principal amounts of $8.7 million related to the Convertible Notes were held by partners prior to redemption upon closing of the Business Combination. Refer to Note 10—Debt for additional information on the Convertible Notes.</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2022, the Company paid $0.5 million to an entity controlled by a member of the Board of Directors to reimburse a portion of expenses incurred by that entity in connection with the joint pursuit of a potential investment opportunity.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Perella Weinberg UK Limited, Professional Partners and certain partners (including one partner who serves as a Company director and co-president) are party 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Guarantees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unconditionally guaranteed certain of its partners’ loans with First Republic Bank (“Lender”) whereby it will pay the Lender upon the occurrence of a default event. The total guarantees related to partners was $1.8 million and $3.3 million as of March 31, 2022 and December 31, 2021, respectively. These guarantees are secured by the partners’ interests in Professional Partners. As of March 31, 2022 and December 31, 2021, no loans were in default.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certain contracts that contain a variety of indemnification provisions. The Company’s maximum exposure under these arrangements is unknown. As of March 31, 2022 and December 31, 2021, the Company expects no claims or losses pursuant to these contracts; therefore, no liability has been recorded related to these indemnification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March 31, 2022 and December 31, 2021 and for the three months ended March 31, 2022 and 2021.</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$0.3 million and $0.2 million during the three months ended March 31, 2022 and 2021, respectively, in legal and professional fees, net of expected insurance reimbursement, related to this litigation. These litigation costs are included in Professional fees in the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19—Business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revenues of $26.1 million related to one individual client accounted for more than 10% of aggregate revenue. For the three months ended March 31, 2021, revenues of $28.7 million related to one individual client accounted for more than 10% of aggregate revenue.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1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40005</wp:posOffset>
            </wp:positionV>
            <wp:extent cx="19291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7"/>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92,158</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126,827</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42,975</w:t>
            </w:r>
          </w:p>
        </w:tc>
      </w:tr>
      <w:tr>
        <w:trPr>
          <w:trHeight w:val="250"/>
        </w:trPr>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8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169,802</w:t>
            </w:r>
          </w:p>
        </w:tc>
      </w:tr>
      <w:tr>
        <w:trPr>
          <w:trHeight w:val="27"/>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9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4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81" w:lineRule="exact"/>
        <w:rPr>
          <w:sz w:val="20"/>
          <w:szCs w:val="20"/>
          <w:color w:val="auto"/>
        </w:rPr>
      </w:pPr>
    </w:p>
    <w:p>
      <w:pPr>
        <w:sectPr>
          <w:pgSz w:w="11900" w:h="16838" w:orient="portrait"/>
          <w:cols w:equalWidth="0" w:num="2">
            <w:col w:w="9520" w:space="460"/>
            <w:col w:w="126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348,284</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552,865</w:t>
            </w:r>
          </w:p>
        </w:tc>
      </w:tr>
      <w:tr>
        <w:trPr>
          <w:trHeight w:val="27"/>
        </w:trPr>
        <w:tc>
          <w:tcPr>
            <w:tcW w:w="8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165,462</w:t>
            </w:r>
          </w:p>
        </w:tc>
      </w:tr>
      <w:tr>
        <w:trPr>
          <w:trHeight w:val="25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470,631</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718,327</w:t>
            </w:r>
          </w:p>
        </w:tc>
      </w:tr>
      <w:tr>
        <w:trPr>
          <w:trHeight w:val="27"/>
        </w:trPr>
        <w:tc>
          <w:tcPr>
            <w:tcW w:w="8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condensed consolidated financial statements.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 2022, the Company entered into a lease amendment related to the New York office. The amendment extends the term of the lease by approximately 16 years with an expected expiration of December 31, 2039.</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4, 2022, the Company’s Board of Directors declared a cash dividend of $0.07 per outstanding share of Class A common stock. This dividend will be payable on June 2, 2022 to each of the holders of Class A common stock of record as of the close of business on May 19, 2022.</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(“M&amp;A”) execution, capital markets advisory, shareholder and defense advisory, capital raising, capital structure and restructuring, specialized underwriting and research services for the energy and related industries.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(“TPH”), an independent advisory firm, focused on the energy industry. As of March 31, 2022, we serve our clients with 62 advisory partners based in 10 offices, located in five countries around the world.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359" w:right="339" w:bottom="1440" w:gutter="0" w:footer="0" w:header="0"/>
        </w:sectPr>
      </w:pPr>
    </w:p>
    <w:bookmarkStart w:id="43" w:name="page44"/>
    <w:bookmarkEnd w:id="43"/>
    <w:p>
      <w:pPr>
        <w:ind w:firstLine="648"/>
        <w:spacing w:after="0" w:line="261" w:lineRule="auto"/>
        <w:rPr>
          <w:sz w:val="20"/>
          <w:szCs w:val="20"/>
          <w:color w:val="auto"/>
        </w:rPr>
      </w:pPr>
      <w:r>
        <w:rPr>
          <w:rFonts w:ascii="Times New Roman" w:cs="Times New Roman" w:eastAsia="Times New Roman" w:hAnsi="Times New Roman"/>
          <w:sz w:val="18"/>
          <w:szCs w:val="18"/>
          <w:color w:val="auto"/>
        </w:rPr>
        <w:t>On June 24, 2021, Perella Weinberg Partners consummated the Business Combination whereby (i) FTIV acquired certain partnership interests in PWP OpCo, (ii) PWP OpCo became jointly-owned by Perella Weinberg Partners, Professional Partners and certain existing partners of PWP OpCo, and</w:t>
      </w:r>
    </w:p>
    <w:p>
      <w:pPr>
        <w:jc w:val="both"/>
        <w:ind w:firstLine="8"/>
        <w:spacing w:after="0" w:line="251" w:lineRule="auto"/>
        <w:tabs>
          <w:tab w:leader="none" w:pos="3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serves as the Company’s operating partnership as part of an umbrella limited partnership C-corporation (Up-C) structure. The Business Combination was structured as a reverse recapitalization.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The Company shareholders are entitled to receive a portion of PWP OpCo’s economics through their ownership interests in shares of Class A common stock of Perella Weinberg Partners, which holds PWP OpCo Class A partnership units. The non-controlling interest owners of PWP OpCo receive a portion of its economics through their ownership of PWP OpCo Class A partnership units (“PWP OpCo Units”). See Note 3—Business Combination and Note 11—Stockholders' Equity in the notes to condensed consolidated financial statements included elsewhere in this Form 10-Q for additional discussion related to the transaction.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Outlook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macroeconomic headwinds coupled with elevated geopolitical risks have caused a break in M&amp;A momentum off of record 2021 levels.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Announced global M&amp;A volumes in the first quarter were down 30% both sequentially and annually, with activity falling steadily throughout the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volumes across the market also dropped more than 30% as timeframes from announcement to close experienced extensions.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While the level of M&amp;A advisory dialogue remains active across industries and geographies of focus, the tough macroeconomic environment may persist in the near-term and affect M&amp;A and financing volumes. Headwinds which are likely to impact 2022 industry volumes include rising rates, record inflation, a more aggressive anti-trust policy stance, supply chain disruptions and elevated geopolitical risks associated with Russia’s invasion of Ukraine, amongst others.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Near-term headwinds aside,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 over the long-term.</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Economic and global financial conditions can materially affect our operational and financial performance.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Form 10-Q for a discussion of some of the factors that can affect our performance.</w:t>
      </w:r>
    </w:p>
    <w:p>
      <w:pPr>
        <w:spacing w:after="0" w:line="200" w:lineRule="exact"/>
        <w:rPr>
          <w:sz w:val="20"/>
          <w:szCs w:val="20"/>
          <w:color w:val="auto"/>
        </w:rPr>
      </w:pPr>
    </w:p>
    <w:p>
      <w:pPr>
        <w:spacing w:after="0" w:line="3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36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respective periods indicated: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68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83"/>
        </w:trPr>
        <w:tc>
          <w:tcPr>
            <w:tcW w:w="68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83"/>
        </w:trPr>
        <w:tc>
          <w:tcPr>
            <w:tcW w:w="68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Non-compensation expenses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party income</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83"/>
        </w:trPr>
        <w:tc>
          <w:tcPr>
            <w:tcW w:w="6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83"/>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83"/>
        </w:trPr>
        <w:tc>
          <w:tcPr>
            <w:tcW w:w="6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7"/>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83"/>
        </w:trPr>
        <w:tc>
          <w:tcPr>
            <w:tcW w:w="68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9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4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359" w:right="339" w:bottom="1440" w:gutter="0" w:footer="0" w:header="0"/>
        </w:sectPr>
      </w:pPr>
    </w:p>
    <w:bookmarkStart w:id="45" w:name="page46"/>
    <w:bookmarkEnd w:id="4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specifically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2022 Compared to Three Months Ended March 31, 2021</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March 31, 2022 were $151.9 million, a decrease of 11% from the firm’s record first quarter in 2021 of $169.8 million. The period-over-period decline is primarily driven by a reduction in mergers and acquisition activity in our US business, partially offset by an increase in non-US mergers and acquisition completions. The decrease in revenue can be attributed to fewer advisory transaction completions despite a moderate increase in average fee size per client.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and 2021, we earned revenues from 77 and 95 advisory clients, respectively. The number of advisory clients who paid fees equal to or greater than $1.0 million decreased to 28 advisory clients for the three months ended March 31, 2022 compared to 29 advisory clients for the three months ended March 31, 2021. The average fee size increased to $1.9 million for the three months ended March 31, 2022 from $1.8 million for the three months ended March 31, 2021.</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36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6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our operating expenses: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91"/>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20" w:type="dxa"/>
            <w:vAlign w:val="bottom"/>
          </w:tcPr>
          <w:p>
            <w:pPr>
              <w:spacing w:after="0"/>
              <w:rPr>
                <w:sz w:val="24"/>
                <w:szCs w:val="24"/>
                <w:color w:val="auto"/>
              </w:rPr>
            </w:pPr>
          </w:p>
        </w:tc>
      </w:tr>
      <w:tr>
        <w:trPr>
          <w:trHeight w:val="238"/>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Pr>
          <w:p>
            <w:pPr>
              <w:spacing w:after="0"/>
              <w:rPr>
                <w:sz w:val="20"/>
                <w:szCs w:val="20"/>
                <w:color w:val="auto"/>
              </w:rPr>
            </w:pPr>
          </w:p>
        </w:tc>
      </w:tr>
      <w:tr>
        <w:trPr>
          <w:trHeight w:val="41"/>
        </w:trPr>
        <w:tc>
          <w:tcPr>
            <w:tcW w:w="6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5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8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87,245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109,470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84"/>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8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40,890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8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r>
      <w:tr>
        <w:trPr>
          <w:trHeight w:val="26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128,135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115,627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8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8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Non-compensation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34,100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84"/>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r>
      <w:tr>
        <w:trPr>
          <w:trHeight w:val="26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162,235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141,758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8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8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4,048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24,531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8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bl>
    <w:p>
      <w:pPr>
        <w:spacing w:after="0" w:line="2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expenses are classified as (i) total compensation and benefits expenses including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technology and infrastructure, rent and occupancy, travel and related expenses, general, administrative and other expenses and depreciation and amortization generally have been less significant in comparison with compensation and benefits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2022 Compared to Three Months Ended March 31, 2021</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were $162.2 million for the three months ended March 31, 2022 and represented 107% of revenues, compared with $141.8 million for the three months ended March 31, 2021, which represented 83% of revenues. The increase in operating expenses was primarily driven by an increase in total compensation and benefits which was $128.1 million for the three months ended March 31, 2022 compared to $115.6 million for the three months ended March 31, 2021, as well as higher non-compensation expenses which were $34.1 million for the three months ended March 31, 2022 compared to $26.1 million for the three months ended March 31,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359" w:right="339" w:bottom="1440" w:gutter="0" w:footer="0" w:header="0"/>
        </w:sectPr>
      </w:pPr>
    </w:p>
    <w:bookmarkStart w:id="47" w:name="page48"/>
    <w:bookmarkEnd w:id="4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The vesting of Legacy Awards granted prior to the Business Combination and the various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in the third quarter of 2021, the Company granted incentive compensation awards in accordance with the PWP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The accounting for this equity-based compensation expense, and potentially other factors as well, may cause the Company to experience operating losses in future periods.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intend to compensate our personnel competitively in order to continue building our business and growing our Company.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$76.2 million for the Transaction Pool RSUs and Transaction Pool PSUs and $67.4 million for the Long-Term Incentive Awards granted in conjunction with the Business Combination.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2022 Compared to Three Months Ended March 31, 2021</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total compensation and benefits expenses of $128.1 million represented 84% of revenues, compared with $115.6 million of compensation-related expenses, which represented 68% of revenues for the three months ended March 31, 2021. Included in total compensation-related expense was $40.9 million and $6.2 million of amortization of equity awards for the three months ended March 31, 2022 and 2021, respectively. The increase in total compensation and benefit expenses was due to increased equity-based compensation due principally to awards granted in connection with the Business Combination, partially offset by a lower bonus accrual attributable to decreased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Non-Compensation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non-compensation expenses include the costs of professional fees, technology and infrastructure, rent and occupancy, travel and related expenses, depreciation and amortization and general, administrative and other expenses including certain co-advisory fees and expenses reimbursed by our clients. Any expenses reimbursed by clients and the co-advisory fees are also presented within revenues on our Condensed Consolidated Statements of Operations.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our non-compensation expenses associated with business development have increased as we have increased our headcount. These costs include costs such as travel and related expenses. Growth in our headcount has increased rent and occupancy expenses as well as professional fees related to recruiting expenses, while geographic expansion has increased regulatory expenses. This trend may continue as we expand into new sectors, geographies and products to serve our clients’ growing needs, domestically and internationally. Additionally, travel and related expenses may increase as COVID-19 pandemic related travel restrictions ease.</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36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2022 Compared to Three Months Ended March 31, 2021</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non-compensation expenses of $34.1 million represented 22% of revenues, compared with $26.1 million, which represented 15% of revenues, for the three months ended March 31, 2021. The increase in non-compensation expense was primarily driven by a $4.6 million increase in professional fees, principally related to consulting, recruiting and general legal expenses, a $1.6 million increase in travel related expenses as pandemic-related travel restrictions began to ease and an increase in general, administrative and other expenses of $3.1 million primarily due to increased public company costs including D&amp;O insurance.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Non-operating income (expenses) includes the impact of income and expense items that we consider to be non-operational in nature, including related party income, change in the fair value of warrant liabilities, interest expense, and other income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2022 Compared to Three Months Ended March 31, 2021</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2022, non-operating income (expenses) was $14.4 million of income compared to $(3.5) million of expense for the three months ended March 31, 2021. The most significant components and change from the prior year period was the $12.0 million gain on the change in fair value of warrant liabilities and a decrease of $3.8 million of interest expense related to the repayment of all indebtedness in connection with the Business Combination. Additionally, the net impact of non functional currency related transaction gains and losses recorded in Other income (expense) resulted in a $3.8 million change year over year as the three months ended March 31, 2022 included a $1.4 million gain as opposed to a $2.0 million loss for the three months ended March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income tax provision and the corresponding effective tax rate are based on U.S. GAAP income adjusted for permanent book-tax differences at the currently enacted statutory tax rates in the various jurisdictions in which the Company operates. For the period ending March 31, 2022, the Company determined that the year-to-date actual effective tax rate represents the Company’s best estimate of the annual effective tax rate. This is due to the Company’s significant permanent differences as compared to estimated pre-tax income.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effective tax rate is dependent on many factors, including the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the payment of dividends, distributions to partners, purchase of treasury shares and withholding payments for vesting of incentive awards in the three months ended March 31, 2022.</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361" w:right="339" w:bottom="1440" w:gutter="0" w:footer="0" w:header="0"/>
        </w:sectPr>
      </w:pPr>
    </w:p>
    <w:bookmarkStart w:id="49" w:name="page50"/>
    <w:bookmarkEnd w:id="49"/>
    <w:p>
      <w:pPr>
        <w:jc w:val="right"/>
        <w:ind w:right="1200"/>
        <w:spacing w:after="0"/>
        <w:rPr>
          <w:sz w:val="20"/>
          <w:szCs w:val="20"/>
          <w:color w:val="auto"/>
        </w:rPr>
      </w:pPr>
      <w:r>
        <w:rPr>
          <w:rFonts w:ascii="Times New Roman" w:cs="Times New Roman" w:eastAsia="Times New Roman" w:hAnsi="Times New Roman"/>
          <w:sz w:val="18"/>
          <w:szCs w:val="18"/>
          <w:color w:val="auto"/>
        </w:rPr>
        <w:t>A summary of our operating, investing and financing cash flows is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Non-cash charges and other operating activity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operating activities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13335</wp:posOffset>
            </wp:positionV>
            <wp:extent cx="19456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p>
      <w:pPr>
        <w:ind w:left="54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960" w:val="left"/>
          <w:tab w:leader="none" w:pos="1560" w:val="left"/>
          <w:tab w:leader="none" w:pos="2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1,052</w:t>
        <w:tab/>
        <w:t>$</w:t>
      </w:r>
      <w:r>
        <w:rPr>
          <w:sz w:val="20"/>
          <w:szCs w:val="20"/>
          <w:color w:val="auto"/>
        </w:rPr>
        <w:tab/>
      </w:r>
      <w:r>
        <w:rPr>
          <w:rFonts w:ascii="Times New Roman" w:cs="Times New Roman" w:eastAsia="Times New Roman" w:hAnsi="Times New Roman"/>
          <w:sz w:val="17"/>
          <w:szCs w:val="17"/>
          <w:color w:val="auto"/>
        </w:rPr>
        <w:t>22,507</w:t>
      </w:r>
    </w:p>
    <w:p>
      <w:pPr>
        <w:spacing w:after="0" w:line="77" w:lineRule="exact"/>
        <w:rPr>
          <w:sz w:val="20"/>
          <w:szCs w:val="20"/>
          <w:color w:val="auto"/>
        </w:rPr>
      </w:pPr>
    </w:p>
    <w:p>
      <w:pPr>
        <w:ind w:left="900"/>
        <w:spacing w:after="0"/>
        <w:tabs>
          <w:tab w:leader="none" w:pos="2460" w:val="left"/>
        </w:tabs>
        <w:rPr>
          <w:sz w:val="20"/>
          <w:szCs w:val="20"/>
          <w:color w:val="auto"/>
        </w:rPr>
      </w:pPr>
      <w:r>
        <w:rPr>
          <w:rFonts w:ascii="Times New Roman" w:cs="Times New Roman" w:eastAsia="Times New Roman" w:hAnsi="Times New Roman"/>
          <w:sz w:val="18"/>
          <w:szCs w:val="18"/>
          <w:color w:val="auto"/>
        </w:rPr>
        <w:t>36,007</w:t>
      </w:r>
      <w:r>
        <w:rPr>
          <w:sz w:val="20"/>
          <w:szCs w:val="20"/>
          <w:color w:val="auto"/>
        </w:rPr>
        <w:tab/>
      </w:r>
      <w:r>
        <w:rPr>
          <w:rFonts w:ascii="Times New Roman" w:cs="Times New Roman" w:eastAsia="Times New Roman" w:hAnsi="Times New Roman"/>
          <w:sz w:val="18"/>
          <w:szCs w:val="18"/>
          <w:color w:val="auto"/>
        </w:rPr>
        <w:t>14,972</w:t>
      </w:r>
    </w:p>
    <w:p>
      <w:pPr>
        <w:spacing w:after="0" w:line="77" w:lineRule="exact"/>
        <w:rPr>
          <w:sz w:val="20"/>
          <w:szCs w:val="20"/>
          <w:color w:val="auto"/>
        </w:rPr>
      </w:pPr>
    </w:p>
    <w:p>
      <w:pPr>
        <w:jc w:val="both"/>
        <w:ind w:left="720"/>
        <w:spacing w:after="0"/>
        <w:tabs>
          <w:tab w:leader="none" w:pos="2280" w:val="left"/>
        </w:tabs>
        <w:rPr>
          <w:sz w:val="20"/>
          <w:szCs w:val="20"/>
          <w:color w:val="auto"/>
        </w:rPr>
      </w:pPr>
      <w:r>
        <w:rPr>
          <w:rFonts w:ascii="Times New Roman" w:cs="Times New Roman" w:eastAsia="Times New Roman" w:hAnsi="Times New Roman"/>
          <w:sz w:val="18"/>
          <w:szCs w:val="18"/>
          <w:color w:val="auto"/>
        </w:rPr>
        <w:t>(285,432)</w:t>
      </w:r>
      <w:r>
        <w:rPr>
          <w:sz w:val="20"/>
          <w:szCs w:val="20"/>
          <w:color w:val="auto"/>
        </w:rPr>
        <w:tab/>
      </w:r>
      <w:r>
        <w:rPr>
          <w:rFonts w:ascii="Times New Roman" w:cs="Times New Roman" w:eastAsia="Times New Roman" w:hAnsi="Times New Roman"/>
          <w:sz w:val="18"/>
          <w:szCs w:val="18"/>
          <w:color w:val="auto"/>
        </w:rPr>
        <w:t>(158,708)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456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7" w:lineRule="exact"/>
        <w:rPr>
          <w:sz w:val="20"/>
          <w:szCs w:val="20"/>
          <w:color w:val="auto"/>
        </w:rPr>
      </w:pPr>
    </w:p>
    <w:p>
      <w:pPr>
        <w:jc w:val="both"/>
        <w:ind w:left="720"/>
        <w:spacing w:after="0"/>
        <w:tabs>
          <w:tab w:leader="none" w:pos="2280" w:val="left"/>
        </w:tabs>
        <w:rPr>
          <w:sz w:val="20"/>
          <w:szCs w:val="20"/>
          <w:color w:val="auto"/>
        </w:rPr>
      </w:pPr>
      <w:r>
        <w:rPr>
          <w:rFonts w:ascii="Times New Roman" w:cs="Times New Roman" w:eastAsia="Times New Roman" w:hAnsi="Times New Roman"/>
          <w:sz w:val="18"/>
          <w:szCs w:val="18"/>
          <w:color w:val="auto"/>
        </w:rPr>
        <w:t>(248,373)</w:t>
      </w:r>
      <w:r>
        <w:rPr>
          <w:sz w:val="20"/>
          <w:szCs w:val="20"/>
          <w:color w:val="auto"/>
        </w:rPr>
        <w:tab/>
      </w:r>
      <w:r>
        <w:rPr>
          <w:rFonts w:ascii="Times New Roman" w:cs="Times New Roman" w:eastAsia="Times New Roman" w:hAnsi="Times New Roman"/>
          <w:sz w:val="18"/>
          <w:szCs w:val="18"/>
          <w:color w:val="auto"/>
        </w:rPr>
        <w:t>(121,229)</w:t>
      </w:r>
    </w:p>
    <w:p>
      <w:pPr>
        <w:spacing w:after="0" w:line="77" w:lineRule="exact"/>
        <w:rPr>
          <w:sz w:val="20"/>
          <w:szCs w:val="20"/>
          <w:color w:val="auto"/>
        </w:rPr>
      </w:pPr>
    </w:p>
    <w:p>
      <w:pPr>
        <w:jc w:val="both"/>
        <w:ind w:left="900"/>
        <w:spacing w:after="0"/>
        <w:tabs>
          <w:tab w:leader="none" w:pos="2460" w:val="left"/>
        </w:tabs>
        <w:rPr>
          <w:sz w:val="20"/>
          <w:szCs w:val="20"/>
          <w:color w:val="auto"/>
        </w:rPr>
      </w:pPr>
      <w:r>
        <w:rPr>
          <w:rFonts w:ascii="Times New Roman" w:cs="Times New Roman" w:eastAsia="Times New Roman" w:hAnsi="Times New Roman"/>
          <w:sz w:val="18"/>
          <w:szCs w:val="18"/>
          <w:color w:val="auto"/>
        </w:rPr>
        <w:t>(1,389)</w:t>
      </w:r>
      <w:r>
        <w:rPr>
          <w:sz w:val="20"/>
          <w:szCs w:val="20"/>
          <w:color w:val="auto"/>
        </w:rPr>
        <w:tab/>
      </w:r>
      <w:r>
        <w:rPr>
          <w:rFonts w:ascii="Times New Roman" w:cs="Times New Roman" w:eastAsia="Times New Roman" w:hAnsi="Times New Roman"/>
          <w:sz w:val="18"/>
          <w:szCs w:val="18"/>
          <w:color w:val="auto"/>
        </w:rPr>
        <w:t>(1,395)</w:t>
      </w:r>
    </w:p>
    <w:p>
      <w:pPr>
        <w:spacing w:after="0" w:line="77" w:lineRule="exact"/>
        <w:rPr>
          <w:sz w:val="20"/>
          <w:szCs w:val="20"/>
          <w:color w:val="auto"/>
        </w:rPr>
      </w:pPr>
    </w:p>
    <w:p>
      <w:pPr>
        <w:jc w:val="both"/>
        <w:ind w:left="820"/>
        <w:spacing w:after="0"/>
        <w:tabs>
          <w:tab w:leader="none" w:pos="2460" w:val="left"/>
        </w:tabs>
        <w:rPr>
          <w:sz w:val="20"/>
          <w:szCs w:val="20"/>
          <w:color w:val="auto"/>
        </w:rPr>
      </w:pPr>
      <w:r>
        <w:rPr>
          <w:rFonts w:ascii="Times New Roman" w:cs="Times New Roman" w:eastAsia="Times New Roman" w:hAnsi="Times New Roman"/>
          <w:sz w:val="18"/>
          <w:szCs w:val="18"/>
          <w:color w:val="auto"/>
        </w:rPr>
        <w:t>(27,319)</w:t>
      </w:r>
      <w:r>
        <w:rPr>
          <w:sz w:val="20"/>
          <w:szCs w:val="20"/>
          <w:color w:val="auto"/>
        </w:rPr>
        <w:tab/>
      </w:r>
      <w:r>
        <w:rPr>
          <w:rFonts w:ascii="Times New Roman" w:cs="Times New Roman" w:eastAsia="Times New Roman" w:hAnsi="Times New Roman"/>
          <w:sz w:val="18"/>
          <w:szCs w:val="18"/>
          <w:color w:val="auto"/>
        </w:rPr>
        <w:t>(9,816)</w:t>
      </w:r>
    </w:p>
    <w:p>
      <w:pPr>
        <w:spacing w:after="0" w:line="77" w:lineRule="exact"/>
        <w:rPr>
          <w:sz w:val="20"/>
          <w:szCs w:val="20"/>
          <w:color w:val="auto"/>
        </w:rPr>
      </w:pPr>
    </w:p>
    <w:p>
      <w:pPr>
        <w:ind w:left="900"/>
        <w:spacing w:after="0"/>
        <w:tabs>
          <w:tab w:leader="none" w:pos="2680" w:val="left"/>
        </w:tabs>
        <w:rPr>
          <w:sz w:val="20"/>
          <w:szCs w:val="20"/>
          <w:color w:val="auto"/>
        </w:rPr>
      </w:pPr>
      <w:r>
        <w:rPr>
          <w:rFonts w:ascii="Times New Roman" w:cs="Times New Roman" w:eastAsia="Times New Roman" w:hAnsi="Times New Roman"/>
          <w:sz w:val="18"/>
          <w:szCs w:val="18"/>
          <w:color w:val="auto"/>
        </w:rPr>
        <w:t>(2,557)</w:t>
      </w:r>
      <w:r>
        <w:rPr>
          <w:sz w:val="20"/>
          <w:szCs w:val="20"/>
          <w:color w:val="auto"/>
        </w:rPr>
        <w:tab/>
      </w:r>
      <w:r>
        <w:rPr>
          <w:rFonts w:ascii="Times New Roman" w:cs="Times New Roman" w:eastAsia="Times New Roman" w:hAnsi="Times New Roman"/>
          <w:sz w:val="18"/>
          <w:szCs w:val="18"/>
          <w:color w:val="auto"/>
        </w:rPr>
        <w:t>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456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7" w:lineRule="exact"/>
        <w:rPr>
          <w:sz w:val="20"/>
          <w:szCs w:val="20"/>
          <w:color w:val="auto"/>
        </w:rPr>
      </w:pPr>
    </w:p>
    <w:p>
      <w:pPr>
        <w:jc w:val="both"/>
        <w:ind w:left="720"/>
        <w:spacing w:after="0"/>
        <w:tabs>
          <w:tab w:leader="none" w:pos="2280" w:val="left"/>
        </w:tabs>
        <w:rPr>
          <w:sz w:val="20"/>
          <w:szCs w:val="20"/>
          <w:color w:val="auto"/>
        </w:rPr>
      </w:pPr>
      <w:r>
        <w:rPr>
          <w:rFonts w:ascii="Times New Roman" w:cs="Times New Roman" w:eastAsia="Times New Roman" w:hAnsi="Times New Roman"/>
          <w:sz w:val="18"/>
          <w:szCs w:val="18"/>
          <w:color w:val="auto"/>
        </w:rPr>
        <w:t>(279,638)</w:t>
      </w:r>
      <w:r>
        <w:rPr>
          <w:sz w:val="20"/>
          <w:szCs w:val="20"/>
          <w:color w:val="auto"/>
        </w:rPr>
        <w:tab/>
      </w:r>
      <w:r>
        <w:rPr>
          <w:rFonts w:ascii="Times New Roman" w:cs="Times New Roman" w:eastAsia="Times New Roman" w:hAnsi="Times New Roman"/>
          <w:sz w:val="18"/>
          <w:szCs w:val="18"/>
          <w:color w:val="auto"/>
        </w:rPr>
        <w:t>(131,883)</w:t>
      </w:r>
    </w:p>
    <w:p>
      <w:pPr>
        <w:spacing w:after="0" w:line="77" w:lineRule="exact"/>
        <w:rPr>
          <w:sz w:val="20"/>
          <w:szCs w:val="20"/>
          <w:color w:val="auto"/>
        </w:rPr>
      </w:pPr>
    </w:p>
    <w:p>
      <w:pPr>
        <w:ind w:left="800"/>
        <w:spacing w:after="0"/>
        <w:tabs>
          <w:tab w:leader="none" w:pos="2360" w:val="left"/>
        </w:tabs>
        <w:rPr>
          <w:sz w:val="20"/>
          <w:szCs w:val="20"/>
          <w:color w:val="auto"/>
        </w:rPr>
      </w:pPr>
      <w:r>
        <w:rPr>
          <w:rFonts w:ascii="Times New Roman" w:cs="Times New Roman" w:eastAsia="Times New Roman" w:hAnsi="Times New Roman"/>
          <w:sz w:val="18"/>
          <w:szCs w:val="18"/>
          <w:color w:val="auto"/>
        </w:rPr>
        <w:t>504,775</w:t>
      </w:r>
      <w:r>
        <w:rPr>
          <w:sz w:val="20"/>
          <w:szCs w:val="20"/>
          <w:color w:val="auto"/>
        </w:rPr>
        <w:tab/>
      </w:r>
      <w:r>
        <w:rPr>
          <w:rFonts w:ascii="Times New Roman" w:cs="Times New Roman" w:eastAsia="Times New Roman" w:hAnsi="Times New Roman"/>
          <w:sz w:val="18"/>
          <w:szCs w:val="18"/>
          <w:color w:val="auto"/>
        </w:rPr>
        <w:t>330,908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456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0" w:lineRule="exact"/>
        <w:rPr>
          <w:sz w:val="20"/>
          <w:szCs w:val="20"/>
          <w:color w:val="auto"/>
        </w:rPr>
      </w:pPr>
    </w:p>
    <w:p>
      <w:pPr>
        <w:spacing w:after="0"/>
        <w:tabs>
          <w:tab w:leader="none" w:pos="780" w:val="left"/>
          <w:tab w:leader="none" w:pos="1560" w:val="left"/>
          <w:tab w:leader="none" w:pos="2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225,137</w:t>
        <w:tab/>
        <w:t>$</w:t>
      </w:r>
      <w:r>
        <w:rPr>
          <w:sz w:val="20"/>
          <w:szCs w:val="20"/>
          <w:color w:val="auto"/>
        </w:rPr>
        <w:tab/>
      </w:r>
      <w:r>
        <w:rPr>
          <w:rFonts w:ascii="Times New Roman" w:cs="Times New Roman" w:eastAsia="Times New Roman" w:hAnsi="Times New Roman"/>
          <w:sz w:val="17"/>
          <w:szCs w:val="17"/>
          <w:color w:val="auto"/>
        </w:rPr>
        <w:t>199,025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4564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945640" cy="34290"/>
                    </a:xfrm>
                    <a:prstGeom prst="rect">
                      <a:avLst/>
                    </a:prstGeom>
                    <a:noFill/>
                  </pic:spPr>
                </pic:pic>
              </a:graphicData>
            </a:graphic>
          </wp:anchor>
        </w:drawing>
      </w:r>
    </w:p>
    <w:p>
      <w:pPr>
        <w:spacing w:after="0" w:line="778" w:lineRule="exact"/>
        <w:rPr>
          <w:sz w:val="20"/>
          <w:szCs w:val="20"/>
          <w:color w:val="auto"/>
        </w:rPr>
      </w:pPr>
    </w:p>
    <w:p>
      <w:pPr>
        <w:sectPr>
          <w:pgSz w:w="11900" w:h="16838" w:orient="portrait"/>
          <w:cols w:equalWidth="0" w:num="2">
            <w:col w:w="7480" w:space="720"/>
            <w:col w:w="3040"/>
          </w:cols>
          <w:pgMar w:left="320" w:top="1363" w:right="339" w:bottom="1440" w:gutter="0" w:footer="0" w:header="0"/>
        </w:sectPr>
      </w:pP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and restricted cash were $225.1 million as of March 31, 2022, a decrease of $279.6 million from $504.8 million as of December 31, 2021. The Company reported net income of $1.1 million for the three months ended March 31, 2022 which includes $36.0 million of non-cash charges, largely comprised of the equity-based compensation, depreciation and amortization and the change in fair value of warrant liabilities. This operating cash inflow was offset by working capital needs largely due to increased accounts receivable balances and the payment of the annual bonus compensation which occurs in the first quarter of each year, resulting in a net outflow to cash of $248.4 million during the three months ended March 31, 2022. Investing activities resulted in a net outflow of $1.4 million attributable to the purchases of fixed assets. Financing activities resulted in a net outflow of $27.3 million primarily related to distributions to partners, withholding payments for vesting of incentive awards, payment of dividends and the repurchase of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2021</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and restricted cash were $199.0 million as of March 31, 2021, a decrease of $131.9 million from $330.9 million as of December 31, 2020. The Company reported net income of $22.5 million for the three months ended March 31, 2021 which includes $15.0 million of non-cash charges, largely comprised of the equity-based compensation, depreciation and amortization and non-cash lease expense. These positive operating results were offset by working capital needs largely due to increased accounts receivable balances and the payment of the annual bonus compensation which occurs in the first quarter of each year, resulting in a net outflow to cash of $121.2 million. Investing activities resulted in a net outflow of $1.4 million and financing activities resulted in a net outflow of $9.8 million primarily related to distributions to limited partners of PWP OpCo.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363" w:right="339" w:bottom="1440" w:gutter="0" w:footer="0" w:header="0"/>
          <w:type w:val="continuous"/>
        </w:sectPr>
      </w:pPr>
    </w:p>
    <w:bookmarkStart w:id="50" w:name="page51"/>
    <w:bookmarkEnd w:id="5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current assets are primarily composed of cash, receivables related to fees earned from providing advisory services, certain prepaid expenses and amounts due from related parties. Our current liabilities are primarily composed of accounts payable, accrued expenses and accrued and deferred employee compensation. We pay a significant portion of our annual incentive compensation, in the form of cash bonuses, during the first quarter of each calendar year with respect to the prior year’s results. Therefore, levels of cash generally decline during the first quarter of each year after our annual incentive compensation has been paid to our employees. Cash then typically builds over the remainder of the year. The Company makes quarterly partner tax distributions as required under the partnership agreement of PWP OpCo. These distributions totaled $15.8 million and $9.8 million during the three months ended March 31, 2022 and 2021, respectively. Additionally, as a public company, we intend to pay dividends throughout the year and may consider share or warrant repurchases as well. During the three months ended March 31, 2022, the Company paid $3.4 million in cash dividends. The Company has the option to net settle vesting RSUs in order to remit required employee withholding taxes using cash on hand. During the three months ended March 31, 2022, the Company paid $6.1 million in withholding payments for the net settlement of 559,403 shares on vested RSUs. Additionally, during the three months ended March 31, 2021, the Company purchased 172,303 shares at a cost of $1.6 million pursuant to the stock repurchase program described below.</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March 31, 2022 and December 31, 2021. As of March 31, 2022 and December 31, 2021, the Company had cash balances of $223.1 million and $502.8 million, respectively, maintained in U.S. and non-U.S. bank accounts, of which most bank account balances exceeded the U.S. Federal Deposit Insurance Corporation (“FDIC”) and U.K. Financial Services Compensation Scheme (“FSCS”) coverage limits.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liquidity is highly dependent upon cash receipts from clients, which generally require the successful completion of transactions. Accounts receivable generally have net terms of 30 days. Accounts receivable were $75.3 million, net of a $1.4 million allowance for credit losses balance as of March 31, 2022. Accounts receivable were $46.9 million, net of a $1.9 million allowance for credit losses balance as of December 31,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the Revolving Credit Facility with Cadence Bank with an available line of credit of $50.0 million. Prior to the Business Combination, the Revolving Credit Facility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588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Combined Leverage Ratio</w:t>
            </w:r>
          </w:p>
        </w:tc>
        <w:tc>
          <w:tcPr>
            <w:tcW w:w="2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Eurodollar Rate</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w:t>
            </w:r>
          </w:p>
        </w:tc>
      </w:tr>
      <w:tr>
        <w:trPr>
          <w:trHeight w:val="23"/>
        </w:trPr>
        <w:tc>
          <w:tcPr>
            <w:tcW w:w="59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0.50 : 1.00</w:t>
            </w:r>
          </w:p>
        </w:tc>
        <w:tc>
          <w:tcPr>
            <w:tcW w:w="4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34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r>
      <w:tr>
        <w:trPr>
          <w:trHeight w:val="234"/>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1.00, but &lt; 1.50 : 1.00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3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r>
      <w:tr>
        <w:trPr>
          <w:trHeight w:val="22"/>
        </w:trPr>
        <w:tc>
          <w:tcPr>
            <w:tcW w:w="5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4"/>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1.50</w:t>
            </w: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w:t>
            </w:r>
          </w:p>
        </w:tc>
        <w:tc>
          <w:tcPr>
            <w:tcW w:w="40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34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r>
      <w:tr>
        <w:trPr>
          <w:trHeight w:val="22"/>
        </w:trPr>
        <w:tc>
          <w:tcPr>
            <w:tcW w:w="500" w:type="dxa"/>
            <w:vAlign w:val="bottom"/>
            <w:shd w:val="clear" w:color="auto" w:fill="CCEEFF"/>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consummation of the Business Combination, the Company repaid all of the outstanding borrowings under the Credit Agreement, which included $27.7 million principal amount plus accrued and unpaid interest. As of the Closing Date, the Credit Agreement was amended such that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above the $50.0 million commitment amount may be incurred under the Credit Agreement, and (v) certain financial covenants were amended. As of March 31, 2022, the Company had no outstanding balance related to the Revolving Credit Facility and no incremental revolving commitments were incurred. For further information on the Revolving Credit Facility, refer to Note 10—Debt in the notes to condensed consolidated financial statements included elsewhere in this Form 10-Q.</w:t>
      </w: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363"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current market conditions, 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 During the three months ended March 31, 2021, the Company purchased 172,303 shares at a cost of $1.6 million pursuant to this stock repurchase program.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Capital</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Rights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class A partnership units held by ILPs existing at the time of the Business Combination were subject to such restrictions for 180 days after the Closing, which expired on December 24, 2021, and (iii) any other outstanding PWP OpCo class A partnership units not previously covered by clauses (i) and (ii) above are subject to such restriction for a period of twelve months following the date on which such PWP OpCo class A partnership units were acquired. PWP GP may waive, and in certain cases has waived, the foregoing restrictions for any holder with respect to all or a portion of such holder’s units, with no obligation to do so for any other holder.</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36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Sponsor Share Surrender and Share Restriction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or its permitted transferees, as applicable, up to an aggregate of 1,000,000 founder shares per Trigger Date for a purchase price of $12.00 per share or $15.00 per share, respectively, by providing written notice of such repurchase election to the Sponsor or its permitted transfers, as applicable.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9, 2021, the Company repurchased 1,000,000 founder shares from the Sponsor at $12.00 per share for a total purchase price of $12.0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PWP OpCo has also unconditionally guaranteed, through a wholly-owned subsidiary, certain loans to limited partners of Professional Partners (“Limited Partners”) with First Republic Bank (the “Program Lender”), whereby PWP OpCo will pay the Program Lender upon the occurrence of a default event. Refer to Note 17—Related Party Transactions and Note 18—Commitments and Contingencies in the notes to condensed consolidated financial statements included elsewhere in this Form 10-Q for further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with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various non-cancelable operating leases in connection with the leases of our office spaces and equipment. The related lease agreements, which range from non-cancelable to month-to-month terms, generally provide for fixed monthly rentals and can also include renewal options. See Note 5— Leases in the notes to condensed consolidated financial statements included elsewhere in this Form 10-Q for further information as well as the expected timing of payments. Our London and New York office leases expire in December 2022 and September 2023, respectively. The Company signed new lease agreements in February 2022 for the London office and April 2022 for the New York office spaces, which expand our square footage meaningfully in both locations in order to accommodate our anticipated growth. This expansion will increase our contractual obligations upon lease commencement and will require capital contributions towards the design and construction of these spaces in excess of $50 million, mitigated in part, by free rent periods at both locations.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Note 14—Other Compensation and Benefits in the notes to condensed consolidated financial statements included elsewhere in this Form 10-Q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36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Cash and Cash Equivalents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 Summary of Significant Accounting Policies in the notes to condensed consolidated financial statements included elsewhere in this Form 10-Q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three months ended March 31, 2022 and 2021, the net impact of non functional currency related transaction gains and losses recorded in Other income (expense) on our Condensed Consolidated Statements of Operations was $1.4 million gain and $2.0 million loss, respectively. In addition, the reported amounts in our consolidated financial statements may be affected by movements in the rate of exchange between the pound sterling, Euro, and Canadian dollar and our reporting currency, the</w:t>
      </w:r>
    </w:p>
    <w:p>
      <w:pPr>
        <w:spacing w:after="0" w:line="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U.S. dollar, resulting in translation gains and losses. For the three months ended March 31, 2022 and 2021, the net impact of the fluctuation of foreign currencies recorded in Foreign currency translation gain (loss) within our Condensed Consolidated Statements of Comprehensive Income (Loss) was a $2.1 million loss and $0.2 million gain, respectively. We have not entered into any transactions to hedge our exposure to these foreign currency fluctuations using derivative instruments or other methods but may do so if we deem appropriate in the future.</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we held balances of $32.6 million of non-U.S. dollar denominated currencies, composed of pound sterling, the Euro, and Canadian dollars.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should be read together with the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Operations” </w:t>
      </w:r>
      <w:r>
        <w:rPr>
          <w:rFonts w:ascii="Times New Roman" w:cs="Times New Roman" w:eastAsia="Times New Roman" w:hAnsi="Times New Roman"/>
          <w:sz w:val="18"/>
          <w:szCs w:val="18"/>
          <w:color w:val="auto"/>
        </w:rPr>
        <w:t>contained in the Annual Report on Form 10-K filed on March 11, 2022 regarding these critical accounting policies. For changes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accounting policies during the three months ended March 31, 2022, refer to Note 2—Summary of Significant Accounting Policies in the notes to condensed consolidated financial statements included elsewhere in this Form 10-Q.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set forth above in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 - Market Risk and Credit Risk”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 Report on Form 10-Q as Exhibits 31.1 and 31.2.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ectPr>
          <w:pgSz w:w="11900" w:h="16838" w:orient="portrait"/>
          <w:cols w:equalWidth="0" w:num="1">
            <w:col w:w="11240"/>
          </w:cols>
          <w:pgMar w:left="320" w:top="135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359" w:right="339" w:bottom="1440" w:gutter="0" w:footer="0" w:header="0"/>
          <w:type w:val="continuous"/>
        </w:sectPr>
      </w:pPr>
    </w:p>
    <w:bookmarkStart w:id="54" w:name="page55"/>
    <w:bookmarkEnd w:id="5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March 31, 2022.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three months ended March 31, 2022 that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36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further details on the current legal proceedings, refer to Note 18—Commitments and Contingencies in the notes to condensed consolidated financial statements included elsewhere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or updates to our risk factors that were previously disclosed in Part I “Item 1A. Risk Factors” in the Company’s Annual Report on Form 10-K for the year ended December 31, 2021 as filed with the SEC on March 11, 2022.</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37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repurchase of equity securities during the three months ended March 31,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60" w:type="dxa"/>
            <w:vAlign w:val="bottom"/>
          </w:tcPr>
          <w:p>
            <w:pPr>
              <w:spacing w:after="0"/>
              <w:rPr>
                <w:sz w:val="19"/>
                <w:szCs w:val="19"/>
                <w:color w:val="auto"/>
              </w:rPr>
            </w:pPr>
          </w:p>
        </w:tc>
        <w:tc>
          <w:tcPr>
            <w:tcW w:w="2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r>
      <w:tr>
        <w:trPr>
          <w:trHeight w:val="230"/>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yet to be Purchased Under</w:t>
            </w:r>
          </w:p>
        </w:tc>
      </w:tr>
      <w:tr>
        <w:trPr>
          <w:trHeight w:val="243"/>
        </w:trPr>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1"/>
                <w:szCs w:val="21"/>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Publicly Announced Plans or</w:t>
            </w:r>
          </w:p>
        </w:tc>
      </w:tr>
      <w:tr>
        <w:trPr>
          <w:trHeight w:val="23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 Unit</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60" w:type="dxa"/>
            <w:vAlign w:val="bottom"/>
          </w:tcPr>
          <w:p>
            <w:pPr>
              <w:spacing w:after="0"/>
              <w:rPr>
                <w:sz w:val="20"/>
                <w:szCs w:val="20"/>
                <w:color w:val="auto"/>
              </w:rPr>
            </w:pPr>
          </w:p>
        </w:tc>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2022 - January 31,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2022 - February 28,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83"/>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2022 - March 31,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98,405,000</w:t>
            </w:r>
          </w:p>
        </w:tc>
      </w:tr>
      <w:tr>
        <w:trPr>
          <w:trHeight w:val="25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21"/>
                <w:szCs w:val="21"/>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172,303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98,405,000</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359"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8572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2064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88"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 Adopted Pursuant to Section 302 of the Sarbanes-Oxley Act of 2002.</w:t>
      </w:r>
    </w:p>
    <w:p>
      <w:pPr>
        <w:spacing w:after="0" w:line="14" w:lineRule="exact"/>
        <w:rPr>
          <w:sz w:val="20"/>
          <w:szCs w:val="20"/>
          <w:color w:val="auto"/>
        </w:rPr>
      </w:pPr>
    </w:p>
    <w:p>
      <w:pPr>
        <w:sectPr>
          <w:pgSz w:w="11900" w:h="16838" w:orient="portrait"/>
          <w:cols w:equalWidth="0" w:num="2">
            <w:col w:w="1280" w:space="200"/>
            <w:col w:w="9760"/>
          </w:cols>
          <w:pgMar w:left="320" w:top="1359" w:right="339" w:bottom="1440" w:gutter="0" w:footer="0" w:header="0"/>
          <w:type w:val="continuous"/>
        </w:sectPr>
      </w:pPr>
    </w:p>
    <w:tbl>
      <w:tblPr>
        <w:tblLayout w:type="fixed"/>
        <w:tblInd w:w="20" w:type="dxa"/>
        <w:tblCellMar>
          <w:top w:w="0" w:type="dxa"/>
          <w:left w:w="0" w:type="dxa"/>
          <w:bottom w:w="0" w:type="dxa"/>
          <w:right w:w="0" w:type="dxa"/>
        </w:tblCellMar>
      </w:tblP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234"/>
        </w:trPr>
        <w:tc>
          <w:tcPr>
            <w:tcW w:w="1080" w:type="dxa"/>
            <w:vAlign w:val="bottom"/>
          </w:tcPr>
          <w:p>
            <w:pPr>
              <w:spacing w:after="0"/>
              <w:rPr>
                <w:sz w:val="20"/>
                <w:szCs w:val="20"/>
                <w:color w:val="auto"/>
              </w:rPr>
            </w:pP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18 U.S.C. Section 1350, as Adopted Pursuant to Section 906 of the Sarbanes-</w:t>
            </w:r>
          </w:p>
        </w:tc>
      </w:tr>
      <w:tr>
        <w:trPr>
          <w:trHeight w:val="234"/>
        </w:trPr>
        <w:tc>
          <w:tcPr>
            <w:tcW w:w="1080" w:type="dxa"/>
            <w:vAlign w:val="bottom"/>
          </w:tcPr>
          <w:p>
            <w:pPr>
              <w:spacing w:after="0"/>
              <w:rPr>
                <w:sz w:val="20"/>
                <w:szCs w:val="20"/>
                <w:color w:val="auto"/>
              </w:rPr>
            </w:pP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234"/>
        </w:trPr>
        <w:tc>
          <w:tcPr>
            <w:tcW w:w="1080" w:type="dxa"/>
            <w:vAlign w:val="bottom"/>
          </w:tcPr>
          <w:p>
            <w:pPr>
              <w:spacing w:after="0"/>
              <w:rPr>
                <w:sz w:val="20"/>
                <w:szCs w:val="20"/>
                <w:color w:val="auto"/>
              </w:rPr>
            </w:pP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2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080" w:type="dxa"/>
            <w:vAlign w:val="bottom"/>
          </w:tcPr>
          <w:p>
            <w:pPr>
              <w:spacing w:after="0"/>
              <w:rPr>
                <w:sz w:val="20"/>
                <w:szCs w:val="20"/>
                <w:color w:val="auto"/>
              </w:rPr>
            </w:pP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480" w:hanging="1454"/>
        <w:spacing w:after="0"/>
        <w:tabs>
          <w:tab w:leader="none" w:pos="14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9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Indicates a management or compensatory plan.</w:t>
      </w:r>
    </w:p>
    <w:p>
      <w:pPr>
        <w:sectPr>
          <w:pgSz w:w="11900" w:h="16838" w:orient="portrait"/>
          <w:cols w:equalWidth="0" w:num="1">
            <w:col w:w="11240"/>
          </w:cols>
          <w:pgMar w:left="320" w:top="1359" w:right="339" w:bottom="1440" w:gutter="0" w:footer="0" w:header="0"/>
          <w:type w:val="continuous"/>
        </w:sect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359" w:right="339" w:bottom="1440" w:gutter="0" w:footer="0" w:header="0"/>
          <w:type w:val="continuous"/>
        </w:sectPr>
      </w:pPr>
    </w:p>
    <w:bookmarkStart w:id="57" w:name="page58"/>
    <w:bookmarkEnd w:id="57"/>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347"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Peter A. Weinberg</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49"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Gary S. Barancik</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3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20"/>
          </w:cols>
          <w:pgMar w:left="320" w:top="1359" w:right="65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Roman"/>
      <w:start w:val="3"/>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Roman"/>
      <w:start w:val="3"/>
    </w:lvl>
  </w:abstractNum>
  <w:abstractNum w:abstractNumId="15">
    <w:nsid w:val="4E6AFB66"/>
    <w:multiLevelType w:val="hybridMultilevel"/>
    <w:lvl w:ilvl="0">
      <w:lvlJc w:val="left"/>
      <w:lvlText w:val="*"/>
      <w:numFmt w:val="bullet"/>
      <w:start w:val="1"/>
    </w:lvl>
    <w:lvl w:ilvl="1">
      <w:lvlJc w:val="left"/>
      <w:lvlText w:val="%2"/>
      <w:numFmt w:val="decimal"/>
      <w:start w:val="104"/>
    </w:lvl>
  </w:abstractNum>
  <w:abstractNum w:abstractNumId="16">
    <w:nsid w:val="25E45D32"/>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9" Type="http://schemas.openxmlformats.org/officeDocument/2006/relationships/hyperlink" Target="https://www.sec.gov/Archives/edgar/data/0001777835/000162828022006932/perellaweinberg424b3.htm#ib3dd21f5b4264690b2d5d20645fb1bab_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2022-05-06T08:27:52Z</dcterms:created>
  <dcterms:modified xsi:type="dcterms:W3CDTF">2022-05-06T08:27:52Z</dcterms:modified>
</cp:coreProperties>
</file>