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147955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114300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001-39558</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84-1770732</w:t>
      </w:r>
    </w:p>
    <w:p>
      <w:pPr>
        <w:spacing w:after="0" w:line="31" w:lineRule="exact"/>
        <w:rPr>
          <w:sz w:val="24"/>
          <w:szCs w:val="24"/>
          <w:color w:val="auto"/>
        </w:rPr>
      </w:pPr>
    </w:p>
    <w:p>
      <w:pPr>
        <w:sectPr>
          <w:pgSz w:w="11900" w:h="16838" w:orient="portrait"/>
          <w:cols w:equalWidth="0" w:num="3">
            <w:col w:w="4580" w:space="720"/>
            <w:col w:w="2900" w:space="720"/>
            <w:col w:w="2320"/>
          </w:cols>
          <w:pgMar w:left="320" w:top="117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50" w:lineRule="exact"/>
        <w:rPr>
          <w:sz w:val="24"/>
          <w:szCs w:val="24"/>
          <w:color w:val="auto"/>
        </w:rPr>
      </w:pPr>
    </w:p>
    <w:p>
      <w:pPr>
        <w:sectPr>
          <w:pgSz w:w="11900" w:h="16838" w:orient="portrait"/>
          <w:cols w:equalWidth="0" w:num="3">
            <w:col w:w="4180" w:space="720"/>
            <w:col w:w="2780" w:space="720"/>
            <w:col w:w="2840"/>
          </w:cols>
          <w:pgMar w:left="320" w:top="1172"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b w:val="1"/>
          <w:bCs w:val="1"/>
          <w:color w:val="auto"/>
        </w:rPr>
        <w:t>767 Fifth Avenue</w:t>
      </w:r>
    </w:p>
    <w:p>
      <w:pPr>
        <w:sectPr>
          <w:pgSz w:w="11900" w:h="16838" w:orient="portrait"/>
          <w:cols w:equalWidth="0" w:num="1">
            <w:col w:w="11240"/>
          </w:cols>
          <w:pgMar w:left="320" w:top="1172" w:right="339" w:bottom="1440" w:gutter="0" w:footer="0" w:header="0"/>
          <w:type w:val="continuous"/>
        </w:sectPr>
      </w:pPr>
    </w:p>
    <w:p>
      <w:pPr>
        <w:spacing w:after="0" w:line="8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10153</w:t>
      </w:r>
    </w:p>
    <w:p>
      <w:pPr>
        <w:spacing w:after="0" w:line="31" w:lineRule="exact"/>
        <w:rPr>
          <w:sz w:val="24"/>
          <w:szCs w:val="24"/>
          <w:color w:val="auto"/>
        </w:rPr>
      </w:pPr>
    </w:p>
    <w:p>
      <w:pPr>
        <w:sectPr>
          <w:pgSz w:w="11900" w:h="16838" w:orient="portrait"/>
          <w:cols w:equalWidth="0" w:num="2">
            <w:col w:w="7480" w:space="720"/>
            <w:col w:w="3040"/>
          </w:cols>
          <w:pgMar w:left="320" w:top="1172"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83" w:lineRule="exact"/>
        <w:rPr>
          <w:sz w:val="24"/>
          <w:szCs w:val="24"/>
          <w:color w:val="auto"/>
        </w:rPr>
      </w:pPr>
    </w:p>
    <w:p>
      <w:pPr>
        <w:sectPr>
          <w:pgSz w:w="11900" w:h="16838" w:orient="portrait"/>
          <w:cols w:equalWidth="0" w:num="2">
            <w:col w:w="7420" w:space="720"/>
            <w:col w:w="3100"/>
          </w:cols>
          <w:pgMar w:left="320" w:top="11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21"/>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PWP</w:t>
            </w:r>
          </w:p>
        </w:tc>
        <w:tc>
          <w:tcPr>
            <w:tcW w:w="8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176"/>
        </w:trPr>
        <w:tc>
          <w:tcPr>
            <w:tcW w:w="47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PWPPW</w:t>
            </w: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222"/>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w:t>
            </w:r>
          </w:p>
        </w:tc>
        <w:tc>
          <w:tcPr>
            <w:tcW w:w="2300" w:type="dxa"/>
            <w:vAlign w:val="bottom"/>
            <w:gridSpan w:val="2"/>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jc w:val="both"/>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72"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On July 22, 2022, Perella Weinberg Partners, a Delaware corporation (the “Company”), announced the commencement of (i) its offer to each holder of its outstanding warrants, consisting of (a) warrants sold as part of the units in FinTech Acquisition Corp. IV’s (“FTIV”) initial</w:t>
      </w:r>
    </w:p>
    <w:p>
      <w:pPr>
        <w:spacing w:after="0" w:line="211" w:lineRule="auto"/>
        <w:rPr>
          <w:sz w:val="20"/>
          <w:szCs w:val="20"/>
          <w:color w:val="auto"/>
        </w:rPr>
      </w:pPr>
      <w:r>
        <w:rPr>
          <w:rFonts w:ascii="Times New Roman" w:cs="Times New Roman" w:eastAsia="Times New Roman" w:hAnsi="Times New Roman"/>
          <w:sz w:val="20"/>
          <w:szCs w:val="20"/>
          <w:color w:val="auto"/>
        </w:rPr>
        <w:t>public offering of FTIV’s securities on September 29, 2020 (“IPO”) (whether they were purchased in the IPO or thereafter in the open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market) (the “Public Warrants”) and (b) warrants sold as part of the units in a private placement that occurred simultaneously with the IPO (the “Private Placement Warrants” and, together with the Public Warrants, the “Warrants”), each exercisable for one share of Class A</w:t>
      </w:r>
    </w:p>
    <w:p>
      <w:pPr>
        <w:spacing w:after="0" w:line="211" w:lineRule="auto"/>
        <w:rPr>
          <w:sz w:val="20"/>
          <w:szCs w:val="20"/>
          <w:color w:val="auto"/>
        </w:rPr>
      </w:pPr>
      <w:r>
        <w:rPr>
          <w:rFonts w:ascii="Times New Roman" w:cs="Times New Roman" w:eastAsia="Times New Roman" w:hAnsi="Times New Roman"/>
          <w:sz w:val="20"/>
          <w:szCs w:val="20"/>
          <w:color w:val="auto"/>
        </w:rPr>
        <w:t>common stock, par value $0.0001 per share (“Class A Common Stock”), of the Company, at an exercise price of $11.50 per share,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opportunity to receive 0.20 shares of Class A Common Stock in exchange for each Warrant tendered by the holder and exchanged pursuant to the offer (the “Offer”), and (ii) the solicitation of consents (the “Consent Solicitation”) from holders of the Public Warrants to amend the</w:t>
      </w:r>
    </w:p>
    <w:p>
      <w:pPr>
        <w:spacing w:after="0" w:line="211" w:lineRule="auto"/>
        <w:rPr>
          <w:sz w:val="20"/>
          <w:szCs w:val="20"/>
          <w:color w:val="auto"/>
        </w:rPr>
      </w:pPr>
      <w:r>
        <w:rPr>
          <w:rFonts w:ascii="Times New Roman" w:cs="Times New Roman" w:eastAsia="Times New Roman" w:hAnsi="Times New Roman"/>
          <w:sz w:val="20"/>
          <w:szCs w:val="20"/>
          <w:color w:val="auto"/>
        </w:rPr>
        <w:t>warrant agreement, dated as of September 24, 2020 (the “Warrant Agreement”), by and between the Company (f/k/a FTIV) and Continental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 Transfer &amp; Trust Company, as amended by Amendment No. 1 to Warrant Agreement, dated as of November 10, 2021, by and among the Company, Continental Stock Transfer &amp; Trust Company and American Stock Transfer &amp; Trust Company, LLC, as warrant agent, which</w:t>
      </w:r>
    </w:p>
    <w:p>
      <w:pPr>
        <w:spacing w:after="0" w:line="211" w:lineRule="auto"/>
        <w:rPr>
          <w:sz w:val="20"/>
          <w:szCs w:val="20"/>
          <w:color w:val="auto"/>
        </w:rPr>
      </w:pPr>
      <w:r>
        <w:rPr>
          <w:rFonts w:ascii="Times New Roman" w:cs="Times New Roman" w:eastAsia="Times New Roman" w:hAnsi="Times New Roman"/>
          <w:sz w:val="20"/>
          <w:szCs w:val="20"/>
          <w:color w:val="auto"/>
        </w:rPr>
        <w:t>governs all of the Warrants (the “Warrant Amendment”). If approved, the Warrant Amendment would permit the Company to require that</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each Warrant (including each Private Placement Warrant) that is outstanding upon the closing of the Offer be converted into 0.18 shares of Class A Common Stock, which is a ratio 10% less than the exchange ratio applicable to the Offer. The Offer and Consent Solicitation are</w:t>
      </w:r>
    </w:p>
    <w:p>
      <w:pPr>
        <w:spacing w:after="0" w:line="223" w:lineRule="auto"/>
        <w:rPr>
          <w:sz w:val="20"/>
          <w:szCs w:val="20"/>
          <w:color w:val="auto"/>
        </w:rPr>
      </w:pPr>
      <w:r>
        <w:rPr>
          <w:rFonts w:ascii="Times New Roman" w:cs="Times New Roman" w:eastAsia="Times New Roman" w:hAnsi="Times New Roman"/>
          <w:sz w:val="19"/>
          <w:szCs w:val="19"/>
          <w:color w:val="auto"/>
        </w:rPr>
        <w:t>made solely upon the terms and conditions in the prospectus/offer to exchange, dated July 22, 2022 (the “Prospectus/Offer to Exchange”) and</w:t>
      </w:r>
    </w:p>
    <w:p>
      <w:pPr>
        <w:spacing w:after="0" w:line="215" w:lineRule="auto"/>
        <w:rPr>
          <w:sz w:val="20"/>
          <w:szCs w:val="20"/>
          <w:color w:val="auto"/>
        </w:rPr>
      </w:pPr>
      <w:r>
        <w:rPr>
          <w:rFonts w:ascii="Times New Roman" w:cs="Times New Roman" w:eastAsia="Times New Roman" w:hAnsi="Times New Roman"/>
          <w:sz w:val="19"/>
          <w:szCs w:val="19"/>
          <w:color w:val="auto"/>
        </w:rPr>
        <w:t>other related offering materials that are being distributed to the holders of the Warrants. The Offer and Consent Solicitation will expire at one minute after 11:59 p.m., Eastern Standard Time, on August 18, 2022, or such later time and date to which the Company may extend. Pursuant</w:t>
      </w:r>
    </w:p>
    <w:p>
      <w:pPr>
        <w:spacing w:after="0" w:line="215" w:lineRule="auto"/>
        <w:rPr>
          <w:sz w:val="20"/>
          <w:szCs w:val="20"/>
          <w:color w:val="auto"/>
        </w:rPr>
      </w:pPr>
      <w:r>
        <w:rPr>
          <w:rFonts w:ascii="Times New Roman" w:cs="Times New Roman" w:eastAsia="Times New Roman" w:hAnsi="Times New Roman"/>
          <w:sz w:val="19"/>
          <w:szCs w:val="19"/>
          <w:color w:val="auto"/>
        </w:rPr>
        <w:t>to the terms of the Warrant Agreement, all except certain specified modifications or amendments require the vote or written consent of holders of at least 65% of the outstanding Public Warrants. Accordingly, the adoption of the Warrant Amendment will require the consent of</w:t>
      </w:r>
    </w:p>
    <w:p>
      <w:pPr>
        <w:spacing w:after="0" w:line="211" w:lineRule="auto"/>
        <w:rPr>
          <w:sz w:val="20"/>
          <w:szCs w:val="20"/>
          <w:color w:val="auto"/>
        </w:rPr>
      </w:pPr>
      <w:r>
        <w:rPr>
          <w:rFonts w:ascii="Times New Roman" w:cs="Times New Roman" w:eastAsia="Times New Roman" w:hAnsi="Times New Roman"/>
          <w:sz w:val="20"/>
          <w:szCs w:val="20"/>
          <w:color w:val="auto"/>
        </w:rPr>
        <w:t>holders of at least 65% of the outstanding Public Warrants. Parties representing approximately 45.9% of the Public Warrants have agreed to</w:t>
      </w:r>
    </w:p>
    <w:p>
      <w:pPr>
        <w:spacing w:after="0" w:line="204" w:lineRule="auto"/>
        <w:rPr>
          <w:sz w:val="20"/>
          <w:szCs w:val="20"/>
          <w:color w:val="auto"/>
        </w:rPr>
      </w:pPr>
      <w:r>
        <w:rPr>
          <w:rFonts w:ascii="Times New Roman" w:cs="Times New Roman" w:eastAsia="Times New Roman" w:hAnsi="Times New Roman"/>
          <w:sz w:val="20"/>
          <w:szCs w:val="20"/>
          <w:color w:val="auto"/>
        </w:rPr>
        <w:t>tender their Warrants in the Offer and to consent to the Warrant Amendment in the Consent Solicitation, pursuant to a tender and support agreement. Accordingly, if holders of an additional approximately 19.1% of the outstanding Public Warrants consent to the Warrant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Amendment in the Consent Solicitation, and the other conditions of the Offer are satisfied or waived, then the Warrant Amendment will be adopted.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22, 2022, the Company issued a press release announcing the commencement of the Offer and Consent Solicitation. A copy of the press release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Additional Information Has Been Filed with the Securities and Exchange Commission (“SEC”)</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and related documents, were filed with the SEC by the Company. The Offer to exchange the outstanding Warrants of the Company will only be made pursuant to the Prospectus/Offer to Exchange and Schedule TO, including related documents filed as a part of the Offer.</w:t>
      </w:r>
    </w:p>
    <w:p>
      <w:pPr>
        <w:spacing w:after="0" w:line="211" w:lineRule="auto"/>
        <w:rPr>
          <w:sz w:val="20"/>
          <w:szCs w:val="20"/>
          <w:color w:val="auto"/>
        </w:rPr>
      </w:pPr>
      <w:r>
        <w:rPr>
          <w:rFonts w:ascii="Times New Roman" w:cs="Times New Roman" w:eastAsia="Times New Roman" w:hAnsi="Times New Roman"/>
          <w:sz w:val="20"/>
          <w:szCs w:val="20"/>
          <w:color w:val="auto"/>
        </w:rPr>
        <w:t>INVESTORS AND SECURITY HOLDERS ARE URGED TO READ THE PROSPECTUS/OFFER TO EXCHANGE AND SCHEDULE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FILED OR TO BE FILED WITH THE SEC CAREFULLY, AS THEY MAY BE AMENDED OR SUPPLEMENTED FROM TIME TO TIME, BECAUSE THEY CONTAIN OR WILL CONTAIN IMPORTANT INFORMATION THAT INVESTORS AND SECURITY</w:t>
      </w:r>
    </w:p>
    <w:p>
      <w:pPr>
        <w:spacing w:after="0" w:line="211" w:lineRule="auto"/>
        <w:rPr>
          <w:sz w:val="20"/>
          <w:szCs w:val="20"/>
          <w:color w:val="auto"/>
        </w:rPr>
      </w:pPr>
      <w:r>
        <w:rPr>
          <w:rFonts w:ascii="Times New Roman" w:cs="Times New Roman" w:eastAsia="Times New Roman" w:hAnsi="Times New Roman"/>
          <w:sz w:val="20"/>
          <w:szCs w:val="20"/>
          <w:color w:val="auto"/>
        </w:rPr>
        <w:t>HOLDERS SHOULD CONSIDER BEFORE MAKING ANY DECISION REGARDING THE EXCHANGE OFFER, INCLUDING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TERMS AND CONDITIONS OF THE EXCHANGE OFFER. Investors and security holders may obtain a free copy of these statements (when available) and other documents filed with the SEC at the website maintained by the SEC at www.sec.gov or by directing such requests</w:t>
      </w:r>
    </w:p>
    <w:p>
      <w:pPr>
        <w:spacing w:after="0" w:line="228" w:lineRule="auto"/>
        <w:rPr>
          <w:sz w:val="20"/>
          <w:szCs w:val="20"/>
          <w:color w:val="auto"/>
        </w:rPr>
      </w:pPr>
      <w:r>
        <w:rPr>
          <w:rFonts w:ascii="Times New Roman" w:cs="Times New Roman" w:eastAsia="Times New Roman" w:hAnsi="Times New Roman"/>
          <w:sz w:val="20"/>
          <w:szCs w:val="20"/>
          <w:color w:val="auto"/>
        </w:rPr>
        <w:t>to D.F. King &amp; Co., Inc. at (866) 342-4881 (for Warrant holders) or (212) 269-5550 (for banks and brokers) or via the following email address: pwp@dfking.com. Investors and security holders may also obtain, at no charge, the documents filed or</w:t>
      </w:r>
    </w:p>
    <w:p>
      <w:pPr>
        <w:sectPr>
          <w:pgSz w:w="11900" w:h="16838" w:orient="portrait"/>
          <w:cols w:equalWidth="0" w:num="1">
            <w:col w:w="11240"/>
          </w:cols>
          <w:pgMar w:left="320" w:top="1395" w:right="339" w:bottom="1440" w:gutter="0" w:footer="0" w:header="0"/>
        </w:sectPr>
      </w:pPr>
    </w:p>
    <w:bookmarkStart w:id="2" w:name="page3"/>
    <w:bookmarkEnd w:id="2"/>
    <w:p>
      <w:pPr>
        <w:ind w:right="1440"/>
        <w:spacing w:after="0" w:line="429" w:lineRule="auto"/>
        <w:rPr>
          <w:sz w:val="20"/>
          <w:szCs w:val="20"/>
          <w:color w:val="auto"/>
        </w:rPr>
      </w:pPr>
      <w:r>
        <w:rPr>
          <w:rFonts w:ascii="Times New Roman" w:cs="Times New Roman" w:eastAsia="Times New Roman" w:hAnsi="Times New Roman"/>
          <w:sz w:val="20"/>
          <w:szCs w:val="20"/>
          <w:color w:val="auto"/>
        </w:rPr>
        <w:t xml:space="preserve">furnished to the SEC by the Company under the “Investors” section of the Company’s website at investors.pwpartners.com. </w:t>
      </w:r>
      <w:r>
        <w:rPr>
          <w:rFonts w:ascii="Times New Roman" w:cs="Times New Roman" w:eastAsia="Times New Roman" w:hAnsi="Times New Roman"/>
          <w:sz w:val="20"/>
          <w:szCs w:val="20"/>
          <w:b w:val="1"/>
          <w:bCs w:val="1"/>
          <w:color w:val="auto"/>
        </w:rPr>
        <w:t>No Offer or Solicitation</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w:t>
      </w:r>
    </w:p>
    <w:p>
      <w:pPr>
        <w:ind w:right="20"/>
        <w:spacing w:after="0" w:line="228" w:lineRule="auto"/>
        <w:rPr>
          <w:sz w:val="20"/>
          <w:szCs w:val="20"/>
          <w:color w:val="auto"/>
        </w:rPr>
      </w:pPr>
      <w:r>
        <w:rPr>
          <w:rFonts w:ascii="Times New Roman" w:cs="Times New Roman" w:eastAsia="Times New Roman" w:hAnsi="Times New Roman"/>
          <w:sz w:val="20"/>
          <w:szCs w:val="20"/>
          <w:color w:val="auto"/>
        </w:rPr>
        <w:t>may offers to buy be accepted prior to the time the registration statement becomes effective. No offering of securities shall be made except by means of a prospectus meeting the requirements of Section 10 of the Securities Act of 1933, as amended.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This Current Report on Form 8-K contains forward-looking statements within the meaning of the “safe harbor” provisions of the United</w:t>
      </w:r>
    </w:p>
    <w:p>
      <w:pPr>
        <w:spacing w:after="0" w:line="204" w:lineRule="auto"/>
        <w:rPr>
          <w:sz w:val="20"/>
          <w:szCs w:val="20"/>
          <w:color w:val="auto"/>
        </w:rPr>
      </w:pPr>
      <w:r>
        <w:rPr>
          <w:rFonts w:ascii="Times New Roman" w:cs="Times New Roman" w:eastAsia="Times New Roman" w:hAnsi="Times New Roman"/>
          <w:sz w:val="20"/>
          <w:szCs w:val="20"/>
          <w:i w:val="1"/>
          <w:iCs w:val="1"/>
          <w:color w:val="auto"/>
        </w:rPr>
        <w:t>States Private Securities Litigation Reform Act of 1995, which reflect the Company’s current views with respect to, among other things, statements about the Offer and Consent Solicitation and entry into the Warrant Amendment. You can identify these forward-looking</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statements by the use of words such as “estimates,” “projected,” “expects,” “estimated,” “anticipates,” “forecasts,” “plans,” “intends,”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“believes,” “seeks,” “may,” “will,” “would,” “future,” “propose,” “target,” “goal,” “objective,” “outlook” and variations of these words or similar expressions (or the negative versions of such words or expressions). Such forward-looking statements are subject to various risks</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and uncertainties. Accordingly, there are or will be important factors that could cause actual outcomes or results to differ materially from</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those indicated in these statements. The Company undertakes no obligation to publicly update or review any forward-looking statement, whether as a result of new information, future developments or otherwise. A further list and description of these risks, uncertainties and other</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factors can be found in the Company’s filings with the SEC, including the Company's Registration Statement on Form S-4, filed with the SEC on July 22, 2022, and Amendment No. 1 to the Company’s Annual Report on Form 10-K/A for the year ended December 31, 2021, filed with</w:t>
      </w:r>
    </w:p>
    <w:p>
      <w:pPr>
        <w:spacing w:after="0"/>
        <w:rPr>
          <w:sz w:val="20"/>
          <w:szCs w:val="20"/>
          <w:color w:val="auto"/>
        </w:rPr>
      </w:pPr>
      <w:r>
        <w:rPr>
          <w:rFonts w:ascii="Times New Roman" w:cs="Times New Roman" w:eastAsia="Times New Roman" w:hAnsi="Times New Roman"/>
          <w:sz w:val="20"/>
          <w:szCs w:val="20"/>
          <w:i w:val="1"/>
          <w:iCs w:val="1"/>
          <w:color w:val="auto"/>
        </w:rPr>
        <w:t>the SEC on July 7, 2022. These filings and subsequent filings are available online at www.sec.gov or on request from the Company.</w:t>
      </w:r>
    </w:p>
    <w:p>
      <w:pPr>
        <w:spacing w:after="0" w:line="16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being filed herewith:</w:t>
      </w: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277"/>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3"/>
        </w:trPr>
        <w:tc>
          <w:tcPr>
            <w:tcW w:w="116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99.1</w:t>
            </w:r>
          </w:p>
        </w:tc>
        <w:tc>
          <w:tcPr>
            <w:tcW w:w="640" w:type="dxa"/>
            <w:vAlign w:val="bottom"/>
          </w:tcPr>
          <w:p>
            <w:pPr>
              <w:spacing w:after="0"/>
              <w:rPr>
                <w:sz w:val="17"/>
                <w:szCs w:val="17"/>
                <w:color w:val="auto"/>
              </w:rPr>
            </w:pPr>
          </w:p>
        </w:tc>
        <w:tc>
          <w:tcPr>
            <w:tcW w:w="5120" w:type="dxa"/>
            <w:vAlign w:val="bottom"/>
            <w:tcBorders>
              <w:top w:val="single" w:sz="8" w:color="auto"/>
              <w:bottom w:val="single" w:sz="8" w:color="0000FF"/>
            </w:tcBorders>
          </w:tcPr>
          <w:p>
            <w:pPr>
              <w:spacing w:after="0" w:line="203" w:lineRule="exact"/>
              <w:rPr>
                <w:sz w:val="20"/>
                <w:szCs w:val="20"/>
                <w:color w:val="auto"/>
              </w:rPr>
            </w:pPr>
            <w:r>
              <w:rPr>
                <w:rFonts w:ascii="Times New Roman" w:cs="Times New Roman" w:eastAsia="Times New Roman" w:hAnsi="Times New Roman"/>
                <w:sz w:val="20"/>
                <w:szCs w:val="20"/>
                <w:color w:val="0000FF"/>
                <w:w w:val="98"/>
              </w:rPr>
              <w:t>Press Release of Perella Weinberg Partners, dated July 22, 2022.</w:t>
            </w:r>
          </w:p>
        </w:tc>
        <w:tc>
          <w:tcPr>
            <w:tcW w:w="3700" w:type="dxa"/>
            <w:vAlign w:val="bottom"/>
            <w:tcBorders>
              <w:top w:val="single" w:sz="8" w:color="auto"/>
            </w:tcBorders>
          </w:tcPr>
          <w:p>
            <w:pPr>
              <w:spacing w:after="0"/>
              <w:rPr>
                <w:sz w:val="17"/>
                <w:szCs w:val="17"/>
                <w:color w:val="auto"/>
              </w:rPr>
            </w:pPr>
          </w:p>
        </w:tc>
      </w:tr>
      <w:tr>
        <w:trPr>
          <w:trHeight w:val="283"/>
        </w:trPr>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4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ectPr>
          <w:pgSz w:w="11900" w:h="16838" w:orient="portrait"/>
          <w:cols w:equalWidth="0" w:num="1">
            <w:col w:w="11240"/>
          </w:cols>
          <w:pgMar w:left="320" w:top="139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320" w:firstLine="648"/>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540" w:type="dxa"/>
            <w:vAlign w:val="bottom"/>
          </w:tcPr>
          <w:p>
            <w:pPr>
              <w:spacing w:after="0"/>
              <w:rPr>
                <w:sz w:val="22"/>
                <w:szCs w:val="22"/>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20"/>
                <w:szCs w:val="20"/>
                <w:color w:val="auto"/>
              </w:rPr>
              <w:t>PERELLA WEINBERG PARTNERS</w:t>
            </w:r>
          </w:p>
        </w:tc>
      </w:tr>
      <w:tr>
        <w:trPr>
          <w:trHeight w:val="258"/>
        </w:trPr>
        <w:tc>
          <w:tcPr>
            <w:tcW w:w="3540" w:type="dxa"/>
            <w:vAlign w:val="bottom"/>
          </w:tcPr>
          <w:p>
            <w:pPr>
              <w:spacing w:after="0"/>
              <w:rPr>
                <w:sz w:val="22"/>
                <w:szCs w:val="22"/>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20"/>
                <w:szCs w:val="20"/>
                <w:color w:val="auto"/>
              </w:rPr>
              <w:t>(Registrant)</w:t>
            </w:r>
          </w:p>
        </w:tc>
      </w:tr>
      <w:tr>
        <w:trPr>
          <w:trHeight w:val="689"/>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Date: July 22, 2022</w:t>
            </w: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Gary Barancik</w:t>
            </w:r>
          </w:p>
        </w:tc>
      </w:tr>
      <w:tr>
        <w:trPr>
          <w:trHeight w:val="247"/>
        </w:trPr>
        <w:tc>
          <w:tcPr>
            <w:tcW w:w="3540" w:type="dxa"/>
            <w:vAlign w:val="bottom"/>
          </w:tcPr>
          <w:p>
            <w:pPr>
              <w:spacing w:after="0"/>
              <w:rPr>
                <w:sz w:val="21"/>
                <w:szCs w:val="21"/>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Gary Barancik</w:t>
            </w:r>
          </w:p>
        </w:tc>
      </w:tr>
      <w:tr>
        <w:trPr>
          <w:trHeight w:val="258"/>
        </w:trPr>
        <w:tc>
          <w:tcPr>
            <w:tcW w:w="3540" w:type="dxa"/>
            <w:vAlign w:val="bottom"/>
          </w:tcPr>
          <w:p>
            <w:pPr>
              <w:spacing w:after="0"/>
              <w:rPr>
                <w:sz w:val="22"/>
                <w:szCs w:val="22"/>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ectPr>
          <w:pgSz w:w="11900" w:h="16838" w:orient="portrait"/>
          <w:cols w:equalWidth="0" w:num="1">
            <w:col w:w="11240"/>
          </w:cols>
          <w:pgMar w:left="320" w:top="139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92583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Commencement of Exchange Offer and Consent Solicitation Relating to Warrants</w:t>
      </w: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New York, NY, July 22, 2022 - Perella Weinberg Partners (the “Company” or “PWP”) (NASDAQ: PWP), a leading global independent advisory firm, today announced that it has commenced an exchange offer (the “Offer”) and consent solicitation (the “Consent Solicitation”) relating to its outstanding Public Warrants and Private Placement Warrants (each as defined below, and collectively, the "Warrants"), each whole Warrant exercisable for one share of Class A common stock, par value $0.0001 per share (“Class A Common Stock”), of the Company, at an exercise price of $11.50 per share. The purpose of the Offer and Consent Solicitation is to simplify the Company’s capital structure and reduce the potential dilutive impact of the Warrants.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Offer is being made to all holders of the Company’s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The Company is offering to all holders of the Warrants the opportunity to receive 0.20 shares of Class A Common Stock in exchange for each Warrant tendered by the holder and exchanged pursuant to the Offer. Pursuant to the Offer, the Company is offering up to an aggregate of 1,573,995 shares of its Class A Common Stock in exchange for the Warrants.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Concurrently with the Offer, the Company is also soliciting consents from holders of the Public Warrants to amend the warrant agreement that governs all of the Warrants (the “Warrant Agreement”) to permit the Company to require that each Warrant (including each Private Placement Warrant) that is outstanding upon the closing of the Offer be converted into 0.18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the outstanding Public Warrants. Accordingly, the adoption of the Warrant Amendment will require the consent of holders of at least 65% of the outstanding Public Warrants. Parties representing approximately 45.9% of the Public Warrants have agreed to tender their Warrants in the Offer and to consent to the Warrant Amendment in the Consent Solicitation, pursuant to a tender and support agreement. Accordingly, if holders of an additional approximately 19.1% of the outstanding Public Warrants consent to the Warrant Amendment in the Consent Solicitation, and the other conditions of the Offer are satisfied or waived, then the Warrant Amendment will be adopted. The offering period will expire at one minute after 11:59 p.m., Eastern Standard Time, on August 18, 2022, or such later time and date to which the Company may extend (the “Expiration Date”), as described in the Company’s Schedule TO and Prospectus/Offer to Exchange (each as defined below). Tendered Warrants may be withdrawn by holders at any time prior to the Expiration Date. The Company’s obligation to complete the Offer is not conditioned on the tender of a minimum amount of Warrants.</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Offer and Consent Solicitation are being made pursuant to a Prospectus/Offer to Exchange, dated July 22, 2022 (the “Prospectus/Offer to Exchange”), and Schedule TO, dated July 22, 2022 (the “Schedule TO”), each of which have been filed with the U.S. Securities and Exchange Commission (“SEC”) and more fully set forth the terms and conditions of the Offer and Consent Solicitation.</w:t>
      </w:r>
    </w:p>
    <w:p>
      <w:pPr>
        <w:sectPr>
          <w:pgSz w:w="11900" w:h="16838" w:orient="portrait"/>
          <w:cols w:equalWidth="0" w:num="1">
            <w:col w:w="11240"/>
          </w:cols>
          <w:pgMar w:left="320" w:top="104"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85725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t>The Company’s Class A Common Stock and its Public Warrants are listed on the Nasdaq Global Select Market under the symbols “PWP” and “PWPPW,” respectively. As of July 19, 2022, a total of 7,869,975 Warrants were outstanding, consisting of 7,666,642 Public Warrants and 203,333 Private Placement Warrants.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engaged Citigroup Global Markets Inc. as the Dealer Manager for the Offer and Consent Solicitation. Any questions or requests for assistance concerning the Offer and Consent Solicitation may be directed to Citigroup Global Markets Inc. at (212) 723-7914. D.F. King &amp; Co., Inc. has been appointed as the Information Agent for the Offer and Consent Solicitation, and American Stock Transfer &amp; Trust Company, LLC has been appointed as the Exchange Agent. Requests for documents should be directed to D.F. King &amp; Co., Inc. at (866) 342-4881 (for Warrant holders) or (212) 269-5550 (for banks and brokers) or via the following email address: pwp@dfking.com.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Offer described in this press release commenced on July 22, 2022. On July 22, 2022, a registration statement on Form S-4 and an exchange offer statement on Schedule TO, including an offer to exchange, a letter of transmittal and consent and related documents, were filed with the SEC by PWP. The offer to exchange the outstanding Warrants of PWP will only be made pursuant to the Prospectus/Offer to Exchange and Schedule TO, including related documents filed as a part of the exchange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PWP under the “Investors” section of PWP's website at investors.pwpartners.com.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 may offers to buy be accepted prior to the time the</w:t>
      </w:r>
    </w:p>
    <w:p>
      <w:pPr>
        <w:sectPr>
          <w:pgSz w:w="11900" w:h="16838" w:orient="portrait"/>
          <w:cols w:equalWidth="0" w:num="1">
            <w:col w:w="11240"/>
          </w:cols>
          <w:pgMar w:left="320" w:top="1430" w:right="339" w:bottom="1440" w:gutter="0" w:footer="0" w:header="0"/>
        </w:sectPr>
      </w:pPr>
    </w:p>
    <w:bookmarkStart w:id="6" w:name="page7"/>
    <w:bookmarkEnd w:id="6"/>
    <w:p>
      <w:pPr>
        <w:jc w:val="both"/>
        <w:spacing w:after="0" w:line="29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85725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t>registration statement becomes effective.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consummation of the Offer and Consent Solicitation, the entry into the Warrant Amendment and the effects of the Offer on the Company’s capital structure.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Registration Statement on Form S-4, filed with the SEC on July 22,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2022-07-22T07:17:15Z</dcterms:created>
  <dcterms:modified xsi:type="dcterms:W3CDTF">2022-07-22T07:17:15Z</dcterms:modified>
</cp:coreProperties>
</file>