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6, 2026</w:t>
      </w:r>
    </w:p>
    <w:p>
      <w:pPr>
        <w:spacing w:after="0" w:line="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300" w:type="dxa"/>
        <w:tblCellMar>
          <w:top w:w="0" w:type="dxa"/>
          <w:left w:w="0" w:type="dxa"/>
          <w:bottom w:w="0" w:type="dxa"/>
          <w:right w:w="0" w:type="dxa"/>
        </w:tblCellMar>
      </w:tblPr>
      <w:tr>
        <w:trPr>
          <w:trHeight w:val="238"/>
        </w:trPr>
        <w:tc>
          <w:tcPr>
            <w:tcW w:w="466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0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7"/>
        </w:trPr>
        <w:tc>
          <w:tcPr>
            <w:tcW w:w="4660" w:type="dxa"/>
            <w:vAlign w:val="bottom"/>
          </w:tcPr>
          <w:p>
            <w:pPr>
              <w:jc w:val="center"/>
              <w:ind w:right="130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300" w:type="dxa"/>
            <w:vAlign w:val="bottom"/>
          </w:tcPr>
          <w:p>
            <w:pPr>
              <w:jc w:val="center"/>
              <w:ind w:left="130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660" w:type="dxa"/>
            <w:vAlign w:val="bottom"/>
          </w:tcPr>
          <w:p>
            <w:pPr>
              <w:jc w:val="center"/>
              <w:ind w:right="128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30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66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660" w:type="dxa"/>
            <w:vAlign w:val="bottom"/>
          </w:tcPr>
          <w:p>
            <w:pPr>
              <w:jc w:val="center"/>
              <w:ind w:right="130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300" w:type="dxa"/>
            <w:vAlign w:val="bottom"/>
          </w:tcPr>
          <w:p>
            <w:pPr>
              <w:jc w:val="center"/>
              <w:ind w:left="132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 2021 Omnibus Incentive Plan</w:t>
      </w:r>
    </w:p>
    <w:p>
      <w:pPr>
        <w:jc w:val="center"/>
        <w:spacing w:after="0" w:line="230" w:lineRule="auto"/>
        <w:rPr>
          <w:sz w:val="20"/>
          <w:szCs w:val="20"/>
          <w:color w:val="auto"/>
        </w:rPr>
      </w:pPr>
      <w:r>
        <w:rPr>
          <w:rFonts w:ascii="Times New Roman" w:cs="Times New Roman" w:eastAsia="Times New Roman" w:hAnsi="Times New Roman"/>
          <w:sz w:val="14"/>
          <w:szCs w:val="14"/>
          <w:b w:val="1"/>
          <w:bCs w:val="1"/>
          <w:color w:val="auto"/>
        </w:rPr>
        <w:t>(Full title of the plan)</w:t>
      </w:r>
    </w:p>
    <w:p>
      <w:pPr>
        <w:ind w:left="4780"/>
        <w:spacing w:after="0" w:line="203" w:lineRule="auto"/>
        <w:rPr>
          <w:sz w:val="20"/>
          <w:szCs w:val="20"/>
          <w:color w:val="auto"/>
        </w:rPr>
      </w:pPr>
      <w:r>
        <w:rPr>
          <w:rFonts w:ascii="Times New Roman" w:cs="Times New Roman" w:eastAsia="Times New Roman" w:hAnsi="Times New Roman"/>
          <w:sz w:val="18"/>
          <w:szCs w:val="18"/>
          <w:b w:val="1"/>
          <w:bCs w:val="1"/>
          <w:color w:val="auto"/>
        </w:rPr>
        <w:t>Alexandra Gottschalk</w:t>
      </w:r>
    </w:p>
    <w:p>
      <w:pPr>
        <w:ind w:left="4740"/>
        <w:spacing w:after="0" w:line="235"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Perella Weinberg Partners</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767 Fifth Avenue</w:t>
      </w: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New York, New York 10153</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287-3200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Michael J. Schwartz, Esq.</w:t>
      </w:r>
    </w:p>
    <w:p>
      <w:pPr>
        <w:ind w:left="4760"/>
        <w:spacing w:after="0" w:line="234" w:lineRule="auto"/>
        <w:rPr>
          <w:sz w:val="20"/>
          <w:szCs w:val="20"/>
          <w:color w:val="auto"/>
        </w:rPr>
      </w:pPr>
      <w:r>
        <w:rPr>
          <w:rFonts w:ascii="Times New Roman" w:cs="Times New Roman" w:eastAsia="Times New Roman" w:hAnsi="Times New Roman"/>
          <w:sz w:val="18"/>
          <w:szCs w:val="18"/>
          <w:b w:val="1"/>
          <w:bCs w:val="1"/>
          <w:color w:val="auto"/>
        </w:rPr>
        <w:t>Blair T. Thetford, Esq.</w:t>
      </w:r>
    </w:p>
    <w:p>
      <w:pPr>
        <w:ind w:left="3920"/>
        <w:spacing w:after="0" w:line="235" w:lineRule="auto"/>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ind w:left="4800"/>
        <w:spacing w:after="0" w:line="235" w:lineRule="auto"/>
        <w:rPr>
          <w:sz w:val="20"/>
          <w:szCs w:val="20"/>
          <w:color w:val="auto"/>
        </w:rPr>
      </w:pPr>
      <w:r>
        <w:rPr>
          <w:rFonts w:ascii="Times New Roman" w:cs="Times New Roman" w:eastAsia="Times New Roman" w:hAnsi="Times New Roman"/>
          <w:sz w:val="18"/>
          <w:szCs w:val="18"/>
          <w:b w:val="1"/>
          <w:bCs w:val="1"/>
          <w:color w:val="auto"/>
        </w:rPr>
        <w:t>One Manhattan West</w:t>
      </w:r>
    </w:p>
    <w:p>
      <w:pPr>
        <w:ind w:left="4560"/>
        <w:spacing w:after="0" w:line="219" w:lineRule="auto"/>
        <w:rPr>
          <w:sz w:val="20"/>
          <w:szCs w:val="20"/>
          <w:color w:val="auto"/>
        </w:rPr>
      </w:pPr>
      <w:r>
        <w:rPr>
          <w:rFonts w:ascii="Times New Roman" w:cs="Times New Roman" w:eastAsia="Times New Roman" w:hAnsi="Times New Roman"/>
          <w:sz w:val="18"/>
          <w:szCs w:val="18"/>
          <w:b w:val="1"/>
          <w:bCs w:val="1"/>
          <w:color w:val="auto"/>
        </w:rPr>
        <w:t>New York, New York 10001</w:t>
      </w:r>
    </w:p>
    <w:p>
      <w:pPr>
        <w:jc w:val="center"/>
        <w:spacing w:after="0"/>
        <w:rPr>
          <w:sz w:val="20"/>
          <w:szCs w:val="20"/>
          <w:color w:val="auto"/>
        </w:rPr>
      </w:pPr>
      <w:r>
        <w:rPr>
          <w:rFonts w:ascii="Times New Roman" w:cs="Times New Roman" w:eastAsia="Times New Roman" w:hAnsi="Times New Roman"/>
          <w:sz w:val="18"/>
          <w:szCs w:val="18"/>
          <w:b w:val="1"/>
          <w:bCs w:val="1"/>
          <w:color w:val="auto"/>
        </w:rPr>
        <w:t>(212) 735-3000</w:t>
      </w:r>
    </w:p>
    <w:p>
      <w:pPr>
        <w:spacing w:after="0" w:line="219" w:lineRule="exact"/>
        <w:rPr>
          <w:sz w:val="24"/>
          <w:szCs w:val="24"/>
          <w:color w:val="auto"/>
        </w:rPr>
      </w:pPr>
    </w:p>
    <w:p>
      <w:pPr>
        <w:ind w:right="340"/>
        <w:spacing w:after="0" w:line="24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for the purpose of registering 2,674,143 shares of Class A Common Stock, par value $0.0001 per share, of Perella Weinberg Partners (the “Company”) that may be issued and sold pursuant to the Perella Weinberg Partners 2021 Omnibus Incentive Plan (the “Incentive Plan”).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the instructions to the Registration Statement on Form S-8 will be sent or given to participants in the Incentive Plan as required by Rule 428(b)(1) of the rules promulgated under the Securities Act of 1933, as amended (the “Securities Act”). These documents are not being filed with the Securities and Exchange Commission (the “SEC”) as a part of this registration statement in accordance with Rule 428(b) and the Note to Part I of Form S-8.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documents filed with the SEC pursuant to the Securities Exchange Act of 1934, as amended (the “Exchange Act”), are hereby incorporated by reference in this Registration Statement and shall be deemed to be a part hereof (except for any portions of Current Reports on Form 8-K furnished pursuant to Item 2.02 or Item 7.01 thereof and any corresponding exhibits thereto not filed with the SEC):</w:t>
      </w:r>
    </w:p>
    <w:p>
      <w:pPr>
        <w:spacing w:after="0" w:line="189" w:lineRule="exact"/>
        <w:rPr>
          <w:sz w:val="20"/>
          <w:szCs w:val="20"/>
          <w:color w:val="auto"/>
        </w:rPr>
      </w:pPr>
    </w:p>
    <w:p>
      <w:pPr>
        <w:ind w:left="560" w:hanging="372"/>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February 27, 2025;</w:t>
      </w:r>
    </w:p>
    <w:p>
      <w:pPr>
        <w:spacing w:after="0" w:line="238" w:lineRule="exact"/>
        <w:rPr>
          <w:rFonts w:ascii="Times New Roman" w:cs="Times New Roman" w:eastAsia="Times New Roman" w:hAnsi="Times New Roman"/>
          <w:sz w:val="18"/>
          <w:szCs w:val="18"/>
          <w:color w:val="auto"/>
        </w:rPr>
      </w:pPr>
    </w:p>
    <w:p>
      <w:pPr>
        <w:ind w:right="340" w:firstLine="188"/>
        <w:spacing w:after="0" w:line="266" w:lineRule="auto"/>
        <w:tabs>
          <w:tab w:leader="none" w:pos="5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Reports on Form 10-Q for the quarterly periods ended March 31, 2025, June 30, 2025 and September 30, 2025, filed with the SEC on </w:t>
      </w:r>
      <w:hyperlink r:id="rId16">
        <w:r>
          <w:rPr>
            <w:rFonts w:ascii="Times New Roman" w:cs="Times New Roman" w:eastAsia="Times New Roman" w:hAnsi="Times New Roman"/>
            <w:sz w:val="18"/>
            <w:szCs w:val="18"/>
            <w:u w:val="single" w:color="auto"/>
            <w:color w:val="0000FF"/>
          </w:rPr>
          <w:t>May 2, 2025</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FF"/>
          </w:rPr>
          <w:t>August 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8">
        <w:r>
          <w:rPr>
            <w:rFonts w:ascii="Times New Roman" w:cs="Times New Roman" w:eastAsia="Times New Roman" w:hAnsi="Times New Roman"/>
            <w:sz w:val="18"/>
            <w:szCs w:val="18"/>
            <w:u w:val="single" w:color="auto"/>
            <w:color w:val="0000FF"/>
          </w:rPr>
          <w:t>November 7, 2025</w:t>
        </w:r>
      </w:hyperlink>
      <w:r>
        <w:rPr>
          <w:rFonts w:ascii="Times New Roman" w:cs="Times New Roman" w:eastAsia="Times New Roman" w:hAnsi="Times New Roman"/>
          <w:sz w:val="18"/>
          <w:szCs w:val="18"/>
          <w:color w:val="auto"/>
        </w:rPr>
        <w:t>, respectively;</w:t>
      </w:r>
    </w:p>
    <w:p>
      <w:pPr>
        <w:spacing w:after="0" w:line="189" w:lineRule="exact"/>
        <w:rPr>
          <w:rFonts w:ascii="Times New Roman" w:cs="Times New Roman" w:eastAsia="Times New Roman" w:hAnsi="Times New Roman"/>
          <w:sz w:val="18"/>
          <w:szCs w:val="18"/>
          <w:color w:val="auto"/>
        </w:rPr>
      </w:pPr>
    </w:p>
    <w:p>
      <w:pPr>
        <w:ind w:right="100" w:firstLine="188"/>
        <w:spacing w:after="0" w:line="250" w:lineRule="auto"/>
        <w:tabs>
          <w:tab w:leader="none" w:pos="55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with the SEC on </w:t>
      </w:r>
      <w:hyperlink r:id="rId19">
        <w:r>
          <w:rPr>
            <w:rFonts w:ascii="Times New Roman" w:cs="Times New Roman" w:eastAsia="Times New Roman" w:hAnsi="Times New Roman"/>
            <w:sz w:val="18"/>
            <w:szCs w:val="18"/>
            <w:u w:val="single" w:color="auto"/>
            <w:color w:val="0000FF"/>
          </w:rPr>
          <w:t>May 19, 2025</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May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by Form 8-K/A filed with the SEC on </w:t>
      </w:r>
      <w:hyperlink r:id="rId21">
        <w:r>
          <w:rPr>
            <w:rFonts w:ascii="Times New Roman" w:cs="Times New Roman" w:eastAsia="Times New Roman" w:hAnsi="Times New Roman"/>
            <w:sz w:val="18"/>
            <w:szCs w:val="18"/>
            <w:u w:val="single" w:color="auto"/>
            <w:color w:val="0000FF"/>
          </w:rPr>
          <w:t>August 1, 2025</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FF"/>
          </w:rPr>
          <w:t>August 1, 2025</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FF"/>
          </w:rPr>
          <w:t>September 4, 2025</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FF"/>
          </w:rPr>
          <w:t>November 18, 2025</w:t>
        </w:r>
      </w:hyperlink>
      <w:r>
        <w:rPr>
          <w:rFonts w:ascii="Times New Roman" w:cs="Times New Roman" w:eastAsia="Times New Roman" w:hAnsi="Times New Roman"/>
          <w:sz w:val="18"/>
          <w:szCs w:val="18"/>
          <w:color w:val="auto"/>
        </w:rPr>
        <w:t xml:space="preserve">, and </w:t>
      </w:r>
      <w:hyperlink r:id="rId25">
        <w:r>
          <w:rPr>
            <w:rFonts w:ascii="Times New Roman" w:cs="Times New Roman" w:eastAsia="Times New Roman" w:hAnsi="Times New Roman"/>
            <w:sz w:val="18"/>
            <w:szCs w:val="18"/>
            <w:u w:val="single" w:color="auto"/>
            <w:color w:val="0000FF"/>
          </w:rPr>
          <w:t>January 13, 2026</w:t>
        </w:r>
      </w:hyperlink>
      <w:r>
        <w:rPr>
          <w:rFonts w:ascii="Times New Roman" w:cs="Times New Roman" w:eastAsia="Times New Roman" w:hAnsi="Times New Roman"/>
          <w:sz w:val="18"/>
          <w:szCs w:val="18"/>
          <w:color w:val="auto"/>
        </w:rPr>
        <w:t>; and</w:t>
      </w:r>
    </w:p>
    <w:p>
      <w:pPr>
        <w:spacing w:after="0" w:line="216" w:lineRule="exact"/>
        <w:rPr>
          <w:rFonts w:ascii="Times New Roman" w:cs="Times New Roman" w:eastAsia="Times New Roman" w:hAnsi="Times New Roman"/>
          <w:sz w:val="18"/>
          <w:szCs w:val="18"/>
          <w:color w:val="auto"/>
        </w:rPr>
      </w:pPr>
    </w:p>
    <w:p>
      <w:pPr>
        <w:jc w:val="both"/>
        <w:ind w:firstLine="200"/>
        <w:spacing w:after="0" w:line="266" w:lineRule="auto"/>
        <w:tabs>
          <w:tab w:leader="none" w:pos="59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Class A Common Stock, par value $0.0001 per share, included in </w:t>
      </w:r>
      <w:hyperlink r:id="rId26">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Company’s Annual Report on Form 10-K for the fiscal year ended December 31, 2024, filed with the SEC on February 27, 2025, including any amendments or reports filed for the purpose of updating such description.</w:t>
      </w:r>
    </w:p>
    <w:p>
      <w:pPr>
        <w:spacing w:after="0" w:line="203" w:lineRule="exact"/>
        <w:rPr>
          <w:rFonts w:ascii="Times New Roman" w:cs="Times New Roman" w:eastAsia="Times New Roman" w:hAnsi="Times New Roman"/>
          <w:sz w:val="18"/>
          <w:szCs w:val="18"/>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reports and definitive proxy or information statements filed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Unless expressly incorporated into this Registration Statement, a report furnished but not filed on Form 8-K under the Exchange Act shall not be incorporated by reference into this Registration Statement.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1413" w:right="339" w:bottom="1440" w:gutter="0" w:footer="0" w:header="0"/>
        </w:sectPr>
      </w:pPr>
    </w:p>
    <w:bookmarkStart w:id="2" w:name="page3"/>
    <w:bookmarkEnd w:id="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Description of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Interests of Named Experts and Counsel.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Indemnification of Directors and Officers.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officers and directors are indemnified by us to the fullest extent authorized or permitted by applicable law, as it now exists or may in the future be amended. In addition, we have entered into indemnification agreements with each of our directors and executive officers. These agreements require us, among other things, to indemnify these individuals to the fullest extent permitted by applicable law against expenses and liabilities that may arise by reason of their status as directors and executive officers, subject to certain exceptions, and to advance expenses incurred as a result of any proceeding against them as to which they could be indemnified. We have also purchased a policy of directors’ and officers’ liability insurance that insures our directors and executive officers against loss arising from claims made by reason of breach of duty or other wrongful act and insures us against our obligations to indemnify our directors and executive officers.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3" w:name="page4"/>
    <w:bookmarkEnd w:id="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 or incorporated herein by 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40" w:type="dxa"/>
            <w:vAlign w:val="bottom"/>
            <w:gridSpan w:val="10"/>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740" w:type="dxa"/>
            <w:vAlign w:val="bottom"/>
            <w:gridSpan w:val="10"/>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4"/>
                <w:szCs w:val="24"/>
                <w:color w:val="auto"/>
              </w:rPr>
            </w:pPr>
          </w:p>
        </w:tc>
        <w:tc>
          <w:tcPr>
            <w:tcW w:w="9820" w:type="dxa"/>
            <w:vAlign w:val="bottom"/>
            <w:tcBorders>
              <w:top w:val="single" w:sz="8" w:color="auto"/>
            </w:tcBorders>
            <w:gridSpan w:val="13"/>
          </w:tcPr>
          <w:p>
            <w:pPr>
              <w:ind w:left="20"/>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Restated Certificate of Incorporation of Perella Weinberg Partners (incorporated by reference to Exhibit 3.1 to Amendment No. 1 to the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7"/>
          </w:tcPr>
          <w:p>
            <w:pPr>
              <w:ind w:left="20"/>
              <w:spacing w:after="0" w:line="15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Company's Registration Statement on Form S-1 filed with the SEC on January 13, 2022 (File No. 333-261785)).</w:t>
              </w:r>
            </w:hyperlink>
          </w:p>
        </w:tc>
        <w:tc>
          <w:tcPr>
            <w:tcW w:w="164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9820" w:type="dxa"/>
            <w:vAlign w:val="bottom"/>
            <w:gridSpan w:val="13"/>
          </w:tcPr>
          <w:p>
            <w:pPr>
              <w:ind w:left="20"/>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Certificate of Amendment to the Restated Certificate of Incorporation of Perella Weinberg Partners (incorporated by reference to</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6"/>
          </w:tcPr>
          <w:p>
            <w:pPr>
              <w:ind w:left="20"/>
              <w:spacing w:after="0" w:line="15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Exhibit 3.1 to the Company’s Quarterly Report on Form 10-Q, filed with the SEC on August 2, 2024).</w:t>
              </w:r>
            </w:hyperlink>
          </w:p>
        </w:tc>
        <w:tc>
          <w:tcPr>
            <w:tcW w:w="1900" w:type="dxa"/>
            <w:vAlign w:val="bottom"/>
            <w:tcBorders>
              <w:top w:val="single" w:sz="8" w:color="0000FF"/>
            </w:tcBorders>
            <w:gridSpan w:val="2"/>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4"/>
                <w:szCs w:val="24"/>
                <w:color w:val="auto"/>
              </w:rPr>
            </w:pPr>
          </w:p>
        </w:tc>
        <w:tc>
          <w:tcPr>
            <w:tcW w:w="9820" w:type="dxa"/>
            <w:vAlign w:val="bottom"/>
            <w:gridSpan w:val="13"/>
          </w:tcPr>
          <w:p>
            <w:pPr>
              <w:ind w:left="20"/>
              <w:spacing w:after="0"/>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Amended and Restated Bylaws of Perella Weinberg Partners (incorporated by reference to Exhibit 3.2 to the Company’s Current Report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2"/>
          </w:tcPr>
          <w:p>
            <w:pPr>
              <w:ind w:left="20"/>
              <w:spacing w:after="0" w:line="156"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on Form 8-K, filed with the SEC on June 30, 2021).</w:t>
              </w:r>
            </w:hyperlink>
          </w:p>
        </w:tc>
        <w:tc>
          <w:tcPr>
            <w:tcW w:w="60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24"/>
                <w:szCs w:val="24"/>
                <w:color w:val="auto"/>
              </w:rPr>
            </w:pPr>
          </w:p>
        </w:tc>
        <w:tc>
          <w:tcPr>
            <w:tcW w:w="40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Opinion of Skadden, Arps, Slate, Meagher &amp; Flom LLP.</w:t>
            </w:r>
          </w:p>
        </w:tc>
        <w:tc>
          <w:tcPr>
            <w:tcW w:w="57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4"/>
                <w:szCs w:val="24"/>
                <w:color w:val="auto"/>
              </w:rPr>
            </w:pPr>
          </w:p>
        </w:tc>
        <w:tc>
          <w:tcPr>
            <w:tcW w:w="98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24"/>
                <w:szCs w:val="24"/>
                <w:color w:val="auto"/>
              </w:rPr>
            </w:pPr>
          </w:p>
        </w:tc>
        <w:tc>
          <w:tcPr>
            <w:tcW w:w="98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Consent of Skadden, Arps, Slate, Meagher &amp; Flom LLP (included in Exhibit 5.1 hereto).</w:t>
            </w:r>
          </w:p>
        </w:tc>
        <w:tc>
          <w:tcPr>
            <w:tcW w:w="0" w:type="dxa"/>
            <w:vAlign w:val="bottom"/>
          </w:tcPr>
          <w:p>
            <w:pPr>
              <w:spacing w:after="0"/>
              <w:rPr>
                <w:sz w:val="1"/>
                <w:szCs w:val="1"/>
                <w:color w:val="auto"/>
              </w:rPr>
            </w:pPr>
          </w:p>
        </w:tc>
      </w:tr>
      <w:tr>
        <w:trPr>
          <w:trHeight w:val="33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24"/>
                <w:szCs w:val="24"/>
                <w:color w:val="auto"/>
              </w:rPr>
            </w:pPr>
          </w:p>
        </w:tc>
        <w:tc>
          <w:tcPr>
            <w:tcW w:w="98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Powers of Attorney (included as part of the signature page hereto).</w:t>
            </w:r>
          </w:p>
        </w:tc>
        <w:tc>
          <w:tcPr>
            <w:tcW w:w="0" w:type="dxa"/>
            <w:vAlign w:val="bottom"/>
          </w:tcPr>
          <w:p>
            <w:pPr>
              <w:spacing w:after="0"/>
              <w:rPr>
                <w:sz w:val="1"/>
                <w:szCs w:val="1"/>
                <w:color w:val="auto"/>
              </w:rPr>
            </w:pPr>
          </w:p>
        </w:tc>
      </w:tr>
      <w:tr>
        <w:trPr>
          <w:trHeight w:val="29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9820" w:type="dxa"/>
            <w:vAlign w:val="bottom"/>
            <w:gridSpan w:val="13"/>
          </w:tcPr>
          <w:p>
            <w:pPr>
              <w:ind w:left="20"/>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Perella Weinberg Partners 2021 Omnibus Incentive Plan (incorporated by reference to Exhibit 10.6 to the Company’s Current Report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2"/>
          </w:tcPr>
          <w:p>
            <w:pPr>
              <w:ind w:left="20"/>
              <w:spacing w:after="0" w:line="15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on Form 8-K, filed with the SEC on June 30, 2021).</w:t>
              </w:r>
            </w:hyperlink>
          </w:p>
        </w:tc>
        <w:tc>
          <w:tcPr>
            <w:tcW w:w="582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tcPr>
          <w:p>
            <w:pPr>
              <w:spacing w:after="0"/>
              <w:rPr>
                <w:sz w:val="24"/>
                <w:szCs w:val="24"/>
                <w:color w:val="auto"/>
              </w:rPr>
            </w:pPr>
          </w:p>
        </w:tc>
        <w:tc>
          <w:tcPr>
            <w:tcW w:w="9820" w:type="dxa"/>
            <w:vAlign w:val="bottom"/>
            <w:gridSpan w:val="13"/>
          </w:tcPr>
          <w:p>
            <w:pPr>
              <w:ind w:left="20"/>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French Sub-Plan Under the Perella Weinberg Partners 2021 Omnibus Equity Incentive Plan (incorporated by reference to Exhibit 10.7</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5"/>
          </w:tcPr>
          <w:p>
            <w:pPr>
              <w:ind w:left="20"/>
              <w:spacing w:after="0" w:line="156"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to the Company’s Current Report on Form 8-K, filed with the SEC on June 30, 2021).</w:t>
              </w:r>
            </w:hyperlink>
          </w:p>
        </w:tc>
        <w:tc>
          <w:tcPr>
            <w:tcW w:w="3480" w:type="dxa"/>
            <w:vAlign w:val="bottom"/>
            <w:tcBorders>
              <w:top w:val="single" w:sz="8" w:color="0000FF"/>
            </w:tcBorders>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4"/>
                <w:szCs w:val="24"/>
                <w:color w:val="auto"/>
              </w:rPr>
            </w:pPr>
          </w:p>
        </w:tc>
        <w:tc>
          <w:tcPr>
            <w:tcW w:w="1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85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ectPr>
          <w:pgSz w:w="11900" w:h="16838" w:orient="portrait"/>
          <w:cols w:equalWidth="0" w:num="1">
            <w:col w:w="11240"/>
          </w:cols>
          <w:pgMar w:left="320" w:top="1413" w:right="339" w:bottom="1440" w:gutter="0" w:footer="0" w:header="0"/>
        </w:sectPr>
      </w:pPr>
    </w:p>
    <w:bookmarkStart w:id="4" w:name="page5"/>
    <w:bookmarkEnd w:id="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256"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52"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52" w:lineRule="exact"/>
        <w:rPr>
          <w:rFonts w:ascii="Times New Roman" w:cs="Times New Roman" w:eastAsia="Times New Roman" w:hAnsi="Times New Roman"/>
          <w:sz w:val="18"/>
          <w:szCs w:val="18"/>
          <w:color w:val="auto"/>
        </w:rPr>
      </w:pPr>
    </w:p>
    <w:p>
      <w:pPr>
        <w:ind w:right="20" w:firstLine="656"/>
        <w:spacing w:after="0" w:line="282" w:lineRule="auto"/>
        <w:tabs>
          <w:tab w:leader="none" w:pos="925"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988"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registration statement is on Form S-8, and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spacing w:after="0" w:line="202" w:lineRule="exact"/>
        <w:rPr>
          <w:sz w:val="20"/>
          <w:szCs w:val="20"/>
          <w:color w:val="auto"/>
        </w:rPr>
      </w:pPr>
    </w:p>
    <w:p>
      <w:pPr>
        <w:jc w:val="both"/>
        <w:ind w:firstLine="332"/>
        <w:spacing w:after="0" w:line="266" w:lineRule="auto"/>
        <w:tabs>
          <w:tab w:leader="none" w:pos="60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2"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4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6" w:lineRule="exact"/>
        <w:rPr>
          <w:rFonts w:ascii="Times New Roman" w:cs="Times New Roman" w:eastAsia="Times New Roman" w:hAnsi="Times New Roman"/>
          <w:sz w:val="18"/>
          <w:szCs w:val="18"/>
          <w:color w:val="auto"/>
        </w:rPr>
      </w:pPr>
    </w:p>
    <w:p>
      <w:pPr>
        <w:jc w:val="both"/>
        <w:ind w:firstLine="8"/>
        <w:spacing w:after="0" w:line="255" w:lineRule="auto"/>
        <w:tabs>
          <w:tab w:leader="none" w:pos="4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New York, New York, on February 6, 2026.</w:t>
      </w:r>
    </w:p>
    <w:p>
      <w:pPr>
        <w:spacing w:after="0" w:line="23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97" w:lineRule="exact"/>
        <w:rPr>
          <w:sz w:val="20"/>
          <w:szCs w:val="20"/>
          <w:color w:val="auto"/>
        </w:rPr>
      </w:pPr>
    </w:p>
    <w:p>
      <w:pPr>
        <w:ind w:left="534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BY ALL PERSONS BY THESE PRESENTS, that each person whose signature appears below constitutes and appoints Andrew Bednar and Alexandra Gottschalk,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on behalf of the registrant and in the capacities and on the date indicated.</w:t>
      </w:r>
    </w:p>
    <w:p>
      <w:pPr>
        <w:sectPr>
          <w:pgSz w:w="11900" w:h="16838" w:orient="portrait"/>
          <w:cols w:equalWidth="0" w:num="1">
            <w:col w:w="11240"/>
          </w:cols>
          <w:pgMar w:left="320" w:top="1413" w:right="339" w:bottom="1440" w:gutter="0" w:footer="0" w:header="0"/>
        </w:sectPr>
      </w:pPr>
    </w:p>
    <w:bookmarkStart w:id="6" w:name="page7"/>
    <w:bookmarkEnd w:id="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00" w:type="dxa"/>
            <w:vAlign w:val="bottom"/>
          </w:tcPr>
          <w:p>
            <w:pPr>
              <w:spacing w:after="0"/>
              <w:rPr>
                <w:sz w:val="20"/>
                <w:szCs w:val="20"/>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8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BEDNAR</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Bednar</w:t>
            </w:r>
          </w:p>
        </w:tc>
        <w:tc>
          <w:tcPr>
            <w:tcW w:w="100" w:type="dxa"/>
            <w:vAlign w:val="bottom"/>
          </w:tcPr>
          <w:p>
            <w:pPr>
              <w:spacing w:after="0"/>
              <w:rPr>
                <w:sz w:val="19"/>
                <w:szCs w:val="19"/>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ALEXANDRA GOTTSCHALK</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169"/>
        </w:trPr>
        <w:tc>
          <w:tcPr>
            <w:tcW w:w="3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Alexandra Gottschalk</w:t>
            </w:r>
          </w:p>
        </w:tc>
        <w:tc>
          <w:tcPr>
            <w:tcW w:w="100" w:type="dxa"/>
            <w:vAlign w:val="bottom"/>
          </w:tcPr>
          <w:p>
            <w:pPr>
              <w:spacing w:after="0"/>
              <w:rPr>
                <w:sz w:val="14"/>
                <w:szCs w:val="14"/>
                <w:color w:val="auto"/>
              </w:rPr>
            </w:pPr>
          </w:p>
        </w:tc>
        <w:tc>
          <w:tcPr>
            <w:tcW w:w="370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3640" w:type="dxa"/>
            <w:vAlign w:val="bottom"/>
          </w:tcPr>
          <w:p>
            <w:pPr>
              <w:spacing w:after="0"/>
              <w:rPr>
                <w:sz w:val="14"/>
                <w:szCs w:val="14"/>
                <w:color w:val="auto"/>
              </w:rPr>
            </w:pPr>
          </w:p>
        </w:tc>
      </w:tr>
      <w:tr>
        <w:trPr>
          <w:trHeight w:val="234"/>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3640" w:type="dxa"/>
            <w:vAlign w:val="bottom"/>
          </w:tcPr>
          <w:p>
            <w:pPr>
              <w:spacing w:after="0"/>
              <w:rPr>
                <w:sz w:val="20"/>
                <w:szCs w:val="20"/>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A. WEINBERG</w:t>
            </w:r>
          </w:p>
        </w:tc>
        <w:tc>
          <w:tcPr>
            <w:tcW w:w="100" w:type="dxa"/>
            <w:vAlign w:val="bottom"/>
          </w:tcPr>
          <w:p>
            <w:pPr>
              <w:spacing w:after="0"/>
              <w:rPr>
                <w:sz w:val="24"/>
                <w:szCs w:val="24"/>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Chairman</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 A. Weinberg</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R. PERELLA</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Emeritus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R. Perella</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K. STEEL</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Vice Chairman</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K. Steel</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DIETRICH BECKER</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Dietrich Becker</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/s/EDWIN BENNETT</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Edwin Bennett</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HOUDA DABBOUSSI</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Houda Dabboussi</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ELIZABETH COGAN FASCITELLI</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Elizabeth Cogan Fascitelli</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KRISTIN W. MUGFORD</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Kristin W. Mugford</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JORMA OLLILA</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Jorma Ollila</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JANE C. SHERBURNE</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Jane C. Sherburne</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ind w:left="10433"/>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66" w:lineRule="exact"/>
        <w:rPr>
          <w:sz w:val="20"/>
          <w:szCs w:val="20"/>
          <w:color w:val="auto"/>
        </w:rPr>
      </w:pPr>
    </w:p>
    <w:p>
      <w:pPr>
        <w:ind w:left="533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293"/>
        <w:spacing w:after="0"/>
        <w:rPr>
          <w:sz w:val="20"/>
          <w:szCs w:val="20"/>
          <w:color w:val="auto"/>
        </w:rPr>
      </w:pPr>
      <w:r>
        <w:rPr>
          <w:rFonts w:ascii="Times New Roman" w:cs="Times New Roman" w:eastAsia="Times New Roman" w:hAnsi="Times New Roman"/>
          <w:sz w:val="18"/>
          <w:szCs w:val="18"/>
          <w:color w:val="auto"/>
        </w:rPr>
        <w:t>(Form Type)</w:t>
      </w:r>
    </w:p>
    <w:p>
      <w:pPr>
        <w:spacing w:after="0" w:line="243"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3"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8"/>
          <w:szCs w:val="18"/>
          <w:b w:val="1"/>
          <w:bCs w:val="1"/>
          <w:u w:val="single" w:color="auto"/>
          <w:color w:val="auto"/>
        </w:rPr>
        <w:t>Table I: Newl</w:t>
      </w:r>
      <w:r>
        <w:rPr>
          <w:rFonts w:ascii="Times New Roman" w:cs="Times New Roman" w:eastAsia="Times New Roman" w:hAnsi="Times New Roman"/>
          <w:sz w:val="18"/>
          <w:szCs w:val="18"/>
          <w:b w:val="1"/>
          <w:bCs w:val="1"/>
          <w:color w:val="auto"/>
        </w:rPr>
        <w:t xml:space="preserve">y </w:t>
      </w:r>
      <w:r>
        <w:rPr>
          <w:rFonts w:ascii="Times New Roman" w:cs="Times New Roman" w:eastAsia="Times New Roman" w:hAnsi="Times New Roman"/>
          <w:sz w:val="18"/>
          <w:szCs w:val="18"/>
          <w:b w:val="1"/>
          <w:bCs w:val="1"/>
          <w:u w:val="single" w:color="auto"/>
          <w:color w:val="auto"/>
        </w:rPr>
        <w:t>Re</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u w:val="single" w:color="auto"/>
          <w:color w:val="auto"/>
        </w:rPr>
        <w:t>istered Securities</w:t>
      </w:r>
    </w:p>
    <w:p>
      <w:pPr>
        <w:spacing w:after="0" w:line="281" w:lineRule="exact"/>
        <w:rPr>
          <w:sz w:val="20"/>
          <w:szCs w:val="20"/>
          <w:color w:val="auto"/>
        </w:rPr>
      </w:pPr>
    </w:p>
    <w:tbl>
      <w:tblPr>
        <w:tblLayout w:type="fixed"/>
        <w:tblInd w:w="83" w:type="dxa"/>
        <w:tblCellMar>
          <w:top w:w="0" w:type="dxa"/>
          <w:left w:w="0" w:type="dxa"/>
          <w:bottom w:w="0" w:type="dxa"/>
          <w:right w:w="0" w:type="dxa"/>
        </w:tblCellMar>
      </w:tblPr>
      <w:tr>
        <w:trPr>
          <w:trHeight w:val="198"/>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Security Type</w:t>
            </w: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Security Class Title</w:t>
            </w:r>
          </w:p>
        </w:tc>
        <w:tc>
          <w:tcPr>
            <w:tcW w:w="112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Fee</w:t>
            </w: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150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Proposed</w:t>
            </w:r>
          </w:p>
        </w:tc>
        <w:tc>
          <w:tcPr>
            <w:tcW w:w="17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Maximum Aggregate</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Fee Rate</w:t>
            </w: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180"/>
        </w:trPr>
        <w:tc>
          <w:tcPr>
            <w:tcW w:w="1280" w:type="dxa"/>
            <w:vAlign w:val="bottom"/>
            <w:tcBorders>
              <w:left w:val="single" w:sz="8" w:color="auto"/>
              <w:right w:val="single" w:sz="8" w:color="auto"/>
            </w:tcBorders>
            <w:vMerge w:val="continue"/>
          </w:tcPr>
          <w:p>
            <w:pPr>
              <w:spacing w:after="0"/>
              <w:rPr>
                <w:sz w:val="15"/>
                <w:szCs w:val="15"/>
                <w:color w:val="auto"/>
              </w:rPr>
            </w:pPr>
          </w:p>
        </w:tc>
        <w:tc>
          <w:tcPr>
            <w:tcW w:w="168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Calculation</w:t>
            </w:r>
          </w:p>
        </w:tc>
        <w:tc>
          <w:tcPr>
            <w:tcW w:w="1300" w:type="dxa"/>
            <w:vAlign w:val="bottom"/>
            <w:tcBorders>
              <w:right w:val="single" w:sz="8" w:color="auto"/>
            </w:tcBorders>
            <w:vMerge w:val="continue"/>
          </w:tcPr>
          <w:p>
            <w:pPr>
              <w:spacing w:after="0"/>
              <w:rPr>
                <w:sz w:val="15"/>
                <w:szCs w:val="15"/>
                <w:color w:val="auto"/>
              </w:rPr>
            </w:pPr>
          </w:p>
        </w:tc>
        <w:tc>
          <w:tcPr>
            <w:tcW w:w="15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Maximum Offering</w:t>
            </w:r>
          </w:p>
        </w:tc>
        <w:tc>
          <w:tcPr>
            <w:tcW w:w="1760" w:type="dxa"/>
            <w:vAlign w:val="bottom"/>
            <w:tcBorders>
              <w:right w:val="single" w:sz="8" w:color="auto"/>
            </w:tcBorders>
            <w:vMerge w:val="continue"/>
          </w:tcPr>
          <w:p>
            <w:pPr>
              <w:spacing w:after="0"/>
              <w:rPr>
                <w:sz w:val="15"/>
                <w:szCs w:val="15"/>
                <w:color w:val="auto"/>
              </w:rPr>
            </w:pPr>
          </w:p>
        </w:tc>
        <w:tc>
          <w:tcPr>
            <w:tcW w:w="132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Borders>
              <w:left w:val="single" w:sz="8" w:color="auto"/>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3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Registered</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Price Per Unit</w:t>
            </w:r>
          </w:p>
        </w:tc>
        <w:tc>
          <w:tcPr>
            <w:tcW w:w="17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Offering Price</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vMerge w:val="continue"/>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vMerge w:val="continue"/>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Class A Common</w:t>
            </w:r>
          </w:p>
        </w:tc>
        <w:tc>
          <w:tcPr>
            <w:tcW w:w="11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Stock, par value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457(a)</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2,674,143</w:t>
            </w:r>
            <w:r>
              <w:rPr>
                <w:rFonts w:ascii="Times New Roman" w:cs="Times New Roman" w:eastAsia="Times New Roman" w:hAnsi="Times New Roman"/>
                <w:sz w:val="23"/>
                <w:szCs w:val="23"/>
                <w:color w:val="auto"/>
                <w:w w:val="93"/>
                <w:vertAlign w:val="superscript"/>
              </w:rPr>
              <w:t>(1)</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$21.52</w:t>
            </w:r>
            <w:r>
              <w:rPr>
                <w:rFonts w:ascii="Times New Roman" w:cs="Times New Roman" w:eastAsia="Times New Roman" w:hAnsi="Times New Roman"/>
                <w:sz w:val="23"/>
                <w:szCs w:val="23"/>
                <w:color w:val="auto"/>
                <w:w w:val="94"/>
                <w:vertAlign w:val="superscript"/>
              </w:rPr>
              <w:t>(2)</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$57,547,557.36</w:t>
            </w:r>
            <w:r>
              <w:rPr>
                <w:rFonts w:ascii="Times New Roman" w:cs="Times New Roman" w:eastAsia="Times New Roman" w:hAnsi="Times New Roman"/>
                <w:sz w:val="23"/>
                <w:szCs w:val="23"/>
                <w:color w:val="auto"/>
                <w:w w:val="96"/>
                <w:vertAlign w:val="superscript"/>
              </w:rPr>
              <w:t>(3)</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$138.10 per</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$7,947.32</w:t>
            </w:r>
          </w:p>
        </w:tc>
        <w:tc>
          <w:tcPr>
            <w:tcW w:w="0" w:type="dxa"/>
            <w:vAlign w:val="bottom"/>
          </w:tcPr>
          <w:p>
            <w:pPr>
              <w:spacing w:after="0"/>
              <w:rPr>
                <w:sz w:val="1"/>
                <w:szCs w:val="1"/>
                <w:color w:val="auto"/>
              </w:rPr>
            </w:pPr>
          </w:p>
        </w:tc>
      </w:tr>
      <w:tr>
        <w:trPr>
          <w:trHeight w:val="176"/>
        </w:trPr>
        <w:tc>
          <w:tcPr>
            <w:tcW w:w="1280" w:type="dxa"/>
            <w:vAlign w:val="bottom"/>
            <w:tcBorders>
              <w:left w:val="single" w:sz="8" w:color="auto"/>
              <w:right w:val="single" w:sz="8" w:color="auto"/>
            </w:tcBorders>
            <w:vMerge w:val="continue"/>
          </w:tcPr>
          <w:p>
            <w:pPr>
              <w:spacing w:after="0"/>
              <w:rPr>
                <w:sz w:val="15"/>
                <w:szCs w:val="15"/>
                <w:color w:val="auto"/>
              </w:rPr>
            </w:pPr>
          </w:p>
        </w:tc>
        <w:tc>
          <w:tcPr>
            <w:tcW w:w="16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$0.0001 per share</w:t>
            </w:r>
          </w:p>
        </w:tc>
        <w:tc>
          <w:tcPr>
            <w:tcW w:w="112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1760" w:type="dxa"/>
            <w:vAlign w:val="bottom"/>
            <w:tcBorders>
              <w:right w:val="single" w:sz="8" w:color="auto"/>
            </w:tcBorders>
            <w:vMerge w:val="continue"/>
          </w:tcPr>
          <w:p>
            <w:pPr>
              <w:spacing w:after="0"/>
              <w:rPr>
                <w:sz w:val="15"/>
                <w:szCs w:val="15"/>
                <w:color w:val="auto"/>
              </w:rPr>
            </w:pPr>
          </w:p>
        </w:tc>
        <w:tc>
          <w:tcPr>
            <w:tcW w:w="132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8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("Class A Common</w:t>
            </w:r>
          </w:p>
        </w:tc>
        <w:tc>
          <w:tcPr>
            <w:tcW w:w="11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million dollars</w:t>
            </w: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w:t>
            </w:r>
          </w:p>
        </w:tc>
        <w:tc>
          <w:tcPr>
            <w:tcW w:w="11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80" w:type="dxa"/>
            <w:vAlign w:val="bottom"/>
            <w:tcBorders>
              <w:left w:val="single" w:sz="8" w:color="auto"/>
              <w:bottom w:val="single" w:sz="8" w:color="auto"/>
            </w:tcBorders>
          </w:tcPr>
          <w:p>
            <w:pPr>
              <w:spacing w:after="0"/>
              <w:rPr>
                <w:sz w:val="22"/>
                <w:szCs w:val="22"/>
                <w:color w:val="auto"/>
              </w:rPr>
            </w:pPr>
          </w:p>
        </w:tc>
        <w:tc>
          <w:tcPr>
            <w:tcW w:w="2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30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$57,547,557.36</w:t>
            </w:r>
            <w:r>
              <w:rPr>
                <w:rFonts w:ascii="Times New Roman" w:cs="Times New Roman" w:eastAsia="Times New Roman" w:hAnsi="Times New Roman"/>
                <w:sz w:val="23"/>
                <w:szCs w:val="23"/>
                <w:color w:val="auto"/>
                <w:w w:val="96"/>
                <w:vertAlign w:val="superscript"/>
              </w:rPr>
              <w:t>(3)</w:t>
            </w:r>
          </w:p>
        </w:tc>
        <w:tc>
          <w:tcPr>
            <w:tcW w:w="132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$7,947.32</w:t>
            </w: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tcBorders>
          </w:tcPr>
          <w:p>
            <w:pPr>
              <w:spacing w:after="0"/>
              <w:rPr>
                <w:sz w:val="19"/>
                <w:szCs w:val="19"/>
                <w:color w:val="auto"/>
              </w:rPr>
            </w:pPr>
          </w:p>
        </w:tc>
        <w:tc>
          <w:tcPr>
            <w:tcW w:w="2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3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tcBorders>
          </w:tcPr>
          <w:p>
            <w:pPr>
              <w:spacing w:after="0"/>
              <w:rPr>
                <w:sz w:val="19"/>
                <w:szCs w:val="19"/>
                <w:color w:val="auto"/>
              </w:rPr>
            </w:pPr>
          </w:p>
        </w:tc>
        <w:tc>
          <w:tcPr>
            <w:tcW w:w="2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Net Fee Due</w:t>
            </w:r>
          </w:p>
        </w:tc>
        <w:tc>
          <w:tcPr>
            <w:tcW w:w="13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$7,947.32</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left="73" w:right="20"/>
        <w:spacing w:after="0" w:line="249"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Pursuant to Rule 416 under the Securities Act of 1933, as amended (the “Securities Act”), this registration statement shall also cover an indeterminate number of additional shares of Class A Common Stock of Perella Weinberg Partners (the “Registrant”) that may, with respect to the shares of Class A Common Stock registered hereunder, become issuable under the Registrant’s 2021 Omnibus Incentive Plan by reason of any stock dividend, stock split, recapitalization or other similar transaction effected without the Registrant’s receipt of consideration, which results in an increase in the number of the Registrant’s outstanding shares of Class A Common Stock.</w:t>
      </w:r>
    </w:p>
    <w:p>
      <w:pPr>
        <w:spacing w:after="0" w:line="233" w:lineRule="exact"/>
        <w:rPr>
          <w:sz w:val="20"/>
          <w:szCs w:val="20"/>
          <w:color w:val="auto"/>
        </w:rPr>
      </w:pPr>
    </w:p>
    <w:p>
      <w:pPr>
        <w:ind w:left="73" w:right="20" w:hanging="73"/>
        <w:spacing w:after="0" w:line="287" w:lineRule="auto"/>
        <w:tabs>
          <w:tab w:leader="none" w:pos="157"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Estimated solely for the purpose of calculating the registration fee pursuant to Rules 457(c) and (h) under the Securities Act, on the basis of the average of the high and low prices per share of the Class A Common Stock as reported on the Nasdaq Global Select Market on February 3, 2026.</w:t>
      </w:r>
    </w:p>
    <w:p>
      <w:pPr>
        <w:spacing w:after="0" w:line="193" w:lineRule="exact"/>
        <w:rPr>
          <w:rFonts w:ascii="Times New Roman" w:cs="Times New Roman" w:eastAsia="Times New Roman" w:hAnsi="Times New Roman"/>
          <w:sz w:val="20"/>
          <w:szCs w:val="20"/>
          <w:color w:val="auto"/>
          <w:vertAlign w:val="superscript"/>
        </w:rPr>
      </w:pPr>
    </w:p>
    <w:p>
      <w:pPr>
        <w:ind w:left="73" w:right="40" w:hanging="73"/>
        <w:spacing w:after="0" w:line="229" w:lineRule="auto"/>
        <w:tabs>
          <w:tab w:leader="none" w:pos="199"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solely for the purpose of calculating the registration fee pursuant to Rule 457(o) under the Securities Act. Calculated in accordance with Section 6 of the Securities Act and Rule 457 under the Securities Act by multiplying 0.00013810 and the proposed maximum aggregate offering price.</w:t>
      </w:r>
    </w:p>
    <w:p>
      <w:pPr>
        <w:sectPr>
          <w:pgSz w:w="11900" w:h="16838" w:orient="portrait"/>
          <w:cols w:equalWidth="0" w:num="1">
            <w:col w:w="11333"/>
          </w:cols>
          <w:pgMar w:left="247" w:top="104" w:right="3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13"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pertaining to the Perella Weinberg Partners 2021 Omnibus Incentive Plan of our reports dated February 27, 2025, with respect to the consolidated financial statements of Perella Weinberg Partners, and the effectiveness of internal control over financial reporting of Perella Weinberg Partners, included in its Annual Report (Form 10-K) for the year ended December 31, 2024, filed with the Securities and Exchange Commission.</w:t>
      </w:r>
    </w:p>
    <w:p>
      <w:pPr>
        <w:spacing w:after="0" w:line="22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6, 2026</w:t>
      </w:r>
    </w:p>
    <w:p>
      <w:pPr>
        <w:sectPr>
          <w:pgSz w:w="11900" w:h="16838" w:orient="portrait"/>
          <w:cols w:equalWidth="0" w:num="1">
            <w:col w:w="11240"/>
          </w:cols>
          <w:pgMar w:left="320" w:top="13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SKADDEN, ARPS, SLATE, MEAGHER &amp; FLOM LLP</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ONE MANHATTAN WEST</w:t>
      </w:r>
    </w:p>
    <w:p>
      <w:pPr>
        <w:jc w:val="center"/>
        <w:spacing w:after="0" w:line="236" w:lineRule="auto"/>
        <w:rPr>
          <w:sz w:val="20"/>
          <w:szCs w:val="20"/>
          <w:color w:val="auto"/>
        </w:rPr>
      </w:pPr>
      <w:r>
        <w:rPr>
          <w:rFonts w:ascii="Arial" w:cs="Arial" w:eastAsia="Arial" w:hAnsi="Arial"/>
          <w:sz w:val="20"/>
          <w:szCs w:val="20"/>
          <w:color w:val="auto"/>
        </w:rPr>
        <w:t>NEW YORK, NY 10001</w:t>
      </w:r>
    </w:p>
    <w:p>
      <w:pPr>
        <w:sectPr>
          <w:pgSz w:w="11900" w:h="16838" w:orient="portrait"/>
          <w:cols w:equalWidth="0" w:num="1">
            <w:col w:w="11240"/>
          </w:cols>
          <w:pgMar w:left="320" w:top="122" w:right="339" w:bottom="1440" w:gutter="0" w:footer="0" w:header="0"/>
        </w:sectPr>
      </w:pPr>
    </w:p>
    <w:p>
      <w:pPr>
        <w:spacing w:after="0" w:line="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7"/>
          <w:szCs w:val="7"/>
          <w:color w:val="auto"/>
        </w:rPr>
        <w:t>________</w:t>
      </w:r>
    </w:p>
    <w:p>
      <w:pPr>
        <w:spacing w:after="0" w:line="25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TEL: (212) 735-3000</w:t>
      </w:r>
    </w:p>
    <w:p>
      <w:pPr>
        <w:ind w:left="4860"/>
        <w:spacing w:after="0" w:line="231" w:lineRule="auto"/>
        <w:rPr>
          <w:sz w:val="20"/>
          <w:szCs w:val="20"/>
          <w:color w:val="auto"/>
        </w:rPr>
      </w:pPr>
      <w:r>
        <w:rPr>
          <w:rFonts w:ascii="Arial" w:cs="Arial" w:eastAsia="Arial" w:hAnsi="Arial"/>
          <w:sz w:val="16"/>
          <w:szCs w:val="16"/>
          <w:color w:val="auto"/>
        </w:rPr>
        <w:t>FAX: (212) 735-2000</w:t>
      </w:r>
    </w:p>
    <w:p>
      <w:pPr>
        <w:spacing w:after="0" w:line="1" w:lineRule="exact"/>
        <w:rPr>
          <w:sz w:val="20"/>
          <w:szCs w:val="20"/>
          <w:color w:val="auto"/>
        </w:rPr>
      </w:pPr>
    </w:p>
    <w:p>
      <w:pPr>
        <w:jc w:val="right"/>
        <w:ind w:right="2360"/>
        <w:spacing w:after="0"/>
        <w:rPr>
          <w:sz w:val="20"/>
          <w:szCs w:val="20"/>
          <w:color w:val="auto"/>
        </w:rPr>
      </w:pPr>
      <w:r>
        <w:rPr>
          <w:rFonts w:ascii="Times New Roman" w:cs="Times New Roman" w:eastAsia="Times New Roman" w:hAnsi="Times New Roman"/>
          <w:sz w:val="22"/>
          <w:szCs w:val="22"/>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February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10153</w:t>
      </w:r>
    </w:p>
    <w:p>
      <w:pPr>
        <w:spacing w:after="0" w:line="223" w:lineRule="exact"/>
        <w:rPr>
          <w:sz w:val="20"/>
          <w:szCs w:val="20"/>
          <w:color w:val="auto"/>
        </w:rPr>
      </w:pPr>
    </w:p>
    <w:p>
      <w:pPr>
        <w:ind w:left="1960"/>
        <w:spacing w:after="0"/>
        <w:tabs>
          <w:tab w:leader="none" w:pos="2500" w:val="left"/>
        </w:tabs>
        <w:rPr>
          <w:sz w:val="20"/>
          <w:szCs w:val="20"/>
          <w:color w:val="auto"/>
        </w:rPr>
      </w:pPr>
      <w:r>
        <w:rPr>
          <w:rFonts w:ascii="Times New Roman" w:cs="Times New Roman" w:eastAsia="Times New Roman" w:hAnsi="Times New Roman"/>
          <w:sz w:val="22"/>
          <w:szCs w:val="22"/>
          <w:color w:val="auto"/>
        </w:rPr>
        <w:t>Re:</w:t>
        <w:tab/>
        <w:t>Perella Weinberg Partners</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u w:val="single" w:color="auto"/>
          <w:color w:val="auto"/>
        </w:rPr>
        <w:t>Registration Statement on Form S-8</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 w:lineRule="exact"/>
        <w:rPr>
          <w:sz w:val="20"/>
          <w:szCs w:val="20"/>
          <w:color w:val="auto"/>
        </w:rPr>
      </w:pPr>
      <w:r>
        <w:rPr>
          <w:sz w:val="20"/>
          <w:szCs w:val="20"/>
          <w:color w:val="auto"/>
        </w:rPr>
        <w:br w:type="column"/>
      </w:r>
    </w:p>
    <w:p>
      <w:pPr>
        <w:jc w:val="center"/>
        <w:ind w:right="520"/>
        <w:spacing w:after="0" w:line="224" w:lineRule="auto"/>
        <w:rPr>
          <w:sz w:val="20"/>
          <w:szCs w:val="20"/>
          <w:color w:val="auto"/>
        </w:rPr>
      </w:pPr>
      <w:r>
        <w:rPr>
          <w:rFonts w:ascii="Arial" w:cs="Arial" w:eastAsia="Arial" w:hAnsi="Arial"/>
          <w:sz w:val="13"/>
          <w:szCs w:val="13"/>
          <w:color w:val="auto"/>
        </w:rPr>
        <w:t>FIRM/AFFILIATE</w:t>
      </w:r>
    </w:p>
    <w:p>
      <w:pPr>
        <w:jc w:val="center"/>
        <w:ind w:right="520"/>
        <w:spacing w:after="0"/>
        <w:rPr>
          <w:sz w:val="20"/>
          <w:szCs w:val="20"/>
          <w:color w:val="auto"/>
        </w:rPr>
      </w:pPr>
      <w:r>
        <w:rPr>
          <w:rFonts w:ascii="Arial" w:cs="Arial" w:eastAsia="Arial" w:hAnsi="Arial"/>
          <w:sz w:val="13"/>
          <w:szCs w:val="13"/>
          <w:color w:val="auto"/>
        </w:rPr>
        <w:t>OFFICES</w:t>
      </w:r>
    </w:p>
    <w:p>
      <w:pPr>
        <w:ind w:left="360"/>
        <w:spacing w:after="0" w:line="216" w:lineRule="auto"/>
        <w:rPr>
          <w:sz w:val="20"/>
          <w:szCs w:val="20"/>
          <w:color w:val="auto"/>
        </w:rPr>
      </w:pPr>
      <w:r>
        <w:rPr>
          <w:rFonts w:ascii="Arial" w:cs="Arial" w:eastAsia="Arial" w:hAnsi="Arial"/>
          <w:sz w:val="13"/>
          <w:szCs w:val="13"/>
          <w:color w:val="auto"/>
        </w:rPr>
        <w:t>-----------</w:t>
      </w:r>
    </w:p>
    <w:p>
      <w:pPr>
        <w:ind w:left="340"/>
        <w:spacing w:after="0"/>
        <w:rPr>
          <w:sz w:val="20"/>
          <w:szCs w:val="20"/>
          <w:color w:val="auto"/>
        </w:rPr>
      </w:pPr>
      <w:r>
        <w:rPr>
          <w:rFonts w:ascii="Arial" w:cs="Arial" w:eastAsia="Arial" w:hAnsi="Arial"/>
          <w:sz w:val="13"/>
          <w:szCs w:val="13"/>
          <w:color w:val="auto"/>
        </w:rPr>
        <w:t>BOSTON</w:t>
      </w:r>
    </w:p>
    <w:p>
      <w:pPr>
        <w:ind w:left="300"/>
        <w:spacing w:after="0" w:line="216" w:lineRule="auto"/>
        <w:rPr>
          <w:sz w:val="20"/>
          <w:szCs w:val="20"/>
          <w:color w:val="auto"/>
        </w:rPr>
      </w:pPr>
      <w:r>
        <w:rPr>
          <w:rFonts w:ascii="Arial" w:cs="Arial" w:eastAsia="Arial" w:hAnsi="Arial"/>
          <w:sz w:val="13"/>
          <w:szCs w:val="13"/>
          <w:color w:val="auto"/>
        </w:rPr>
        <w:t>CHICAGO</w:t>
      </w:r>
    </w:p>
    <w:p>
      <w:pPr>
        <w:ind w:left="280"/>
        <w:spacing w:after="0"/>
        <w:rPr>
          <w:sz w:val="20"/>
          <w:szCs w:val="20"/>
          <w:color w:val="auto"/>
        </w:rPr>
      </w:pPr>
      <w:r>
        <w:rPr>
          <w:rFonts w:ascii="Arial" w:cs="Arial" w:eastAsia="Arial" w:hAnsi="Arial"/>
          <w:sz w:val="13"/>
          <w:szCs w:val="13"/>
          <w:color w:val="auto"/>
        </w:rPr>
        <w:t>HOUSTON</w:t>
      </w:r>
    </w:p>
    <w:p>
      <w:pPr>
        <w:ind w:left="160"/>
        <w:spacing w:after="0" w:line="216" w:lineRule="auto"/>
        <w:rPr>
          <w:sz w:val="20"/>
          <w:szCs w:val="20"/>
          <w:color w:val="auto"/>
        </w:rPr>
      </w:pPr>
      <w:r>
        <w:rPr>
          <w:rFonts w:ascii="Arial" w:cs="Arial" w:eastAsia="Arial" w:hAnsi="Arial"/>
          <w:sz w:val="13"/>
          <w:szCs w:val="13"/>
          <w:color w:val="auto"/>
        </w:rPr>
        <w:t>LOS ANGELES</w:t>
      </w:r>
    </w:p>
    <w:p>
      <w:pPr>
        <w:ind w:left="260"/>
        <w:spacing w:after="0"/>
        <w:rPr>
          <w:sz w:val="20"/>
          <w:szCs w:val="20"/>
          <w:color w:val="auto"/>
        </w:rPr>
      </w:pPr>
      <w:r>
        <w:rPr>
          <w:rFonts w:ascii="Arial" w:cs="Arial" w:eastAsia="Arial" w:hAnsi="Arial"/>
          <w:sz w:val="13"/>
          <w:szCs w:val="13"/>
          <w:color w:val="auto"/>
        </w:rPr>
        <w:t>PALO ALTO</w:t>
      </w:r>
    </w:p>
    <w:p>
      <w:pPr>
        <w:spacing w:after="0" w:line="234" w:lineRule="auto"/>
        <w:rPr>
          <w:sz w:val="20"/>
          <w:szCs w:val="20"/>
          <w:color w:val="auto"/>
        </w:rPr>
      </w:pPr>
      <w:r>
        <w:rPr>
          <w:rFonts w:ascii="Arial" w:cs="Arial" w:eastAsia="Arial" w:hAnsi="Arial"/>
          <w:sz w:val="12"/>
          <w:szCs w:val="12"/>
          <w:color w:val="auto"/>
        </w:rPr>
        <w:t>WASHINGTON, D.C.</w:t>
      </w:r>
    </w:p>
    <w:p>
      <w:pPr>
        <w:jc w:val="center"/>
        <w:ind w:right="520"/>
        <w:spacing w:after="0"/>
        <w:rPr>
          <w:sz w:val="20"/>
          <w:szCs w:val="20"/>
          <w:color w:val="auto"/>
        </w:rPr>
      </w:pPr>
      <w:r>
        <w:rPr>
          <w:rFonts w:ascii="Arial" w:cs="Arial" w:eastAsia="Arial" w:hAnsi="Arial"/>
          <w:sz w:val="13"/>
          <w:szCs w:val="13"/>
          <w:color w:val="auto"/>
        </w:rPr>
        <w:t>WILMINGTON</w:t>
      </w:r>
    </w:p>
    <w:p>
      <w:pPr>
        <w:ind w:left="360"/>
        <w:spacing w:after="0" w:line="216" w:lineRule="auto"/>
        <w:rPr>
          <w:sz w:val="20"/>
          <w:szCs w:val="20"/>
          <w:color w:val="auto"/>
        </w:rPr>
      </w:pPr>
      <w:r>
        <w:rPr>
          <w:rFonts w:ascii="Arial" w:cs="Arial" w:eastAsia="Arial" w:hAnsi="Arial"/>
          <w:sz w:val="13"/>
          <w:szCs w:val="13"/>
          <w:color w:val="auto"/>
        </w:rPr>
        <w:t>-----------</w:t>
      </w:r>
    </w:p>
    <w:p>
      <w:pPr>
        <w:jc w:val="center"/>
        <w:ind w:right="520"/>
        <w:spacing w:after="0" w:line="217" w:lineRule="auto"/>
        <w:rPr>
          <w:sz w:val="20"/>
          <w:szCs w:val="20"/>
          <w:color w:val="auto"/>
        </w:rPr>
      </w:pPr>
      <w:r>
        <w:rPr>
          <w:rFonts w:ascii="Arial" w:cs="Arial" w:eastAsia="Arial" w:hAnsi="Arial"/>
          <w:sz w:val="13"/>
          <w:szCs w:val="13"/>
          <w:color w:val="auto"/>
        </w:rPr>
        <w:t>ABU DHABI</w:t>
      </w:r>
    </w:p>
    <w:p>
      <w:pPr>
        <w:jc w:val="center"/>
        <w:ind w:right="520"/>
        <w:spacing w:after="0"/>
        <w:rPr>
          <w:sz w:val="20"/>
          <w:szCs w:val="20"/>
          <w:color w:val="auto"/>
        </w:rPr>
      </w:pPr>
      <w:r>
        <w:rPr>
          <w:rFonts w:ascii="Arial" w:cs="Arial" w:eastAsia="Arial" w:hAnsi="Arial"/>
          <w:sz w:val="13"/>
          <w:szCs w:val="13"/>
          <w:color w:val="auto"/>
        </w:rPr>
        <w:t>BEIJING</w:t>
      </w:r>
    </w:p>
    <w:p>
      <w:pPr>
        <w:ind w:left="260"/>
        <w:spacing w:after="0" w:line="216" w:lineRule="auto"/>
        <w:rPr>
          <w:sz w:val="20"/>
          <w:szCs w:val="20"/>
          <w:color w:val="auto"/>
        </w:rPr>
      </w:pPr>
      <w:r>
        <w:rPr>
          <w:rFonts w:ascii="Arial" w:cs="Arial" w:eastAsia="Arial" w:hAnsi="Arial"/>
          <w:sz w:val="13"/>
          <w:szCs w:val="13"/>
          <w:color w:val="auto"/>
        </w:rPr>
        <w:t>BRUSSELS</w:t>
      </w:r>
    </w:p>
    <w:p>
      <w:pPr>
        <w:ind w:left="220"/>
        <w:spacing w:after="0"/>
        <w:rPr>
          <w:sz w:val="20"/>
          <w:szCs w:val="20"/>
          <w:color w:val="auto"/>
        </w:rPr>
      </w:pPr>
      <w:r>
        <w:rPr>
          <w:rFonts w:ascii="Arial" w:cs="Arial" w:eastAsia="Arial" w:hAnsi="Arial"/>
          <w:sz w:val="13"/>
          <w:szCs w:val="13"/>
          <w:color w:val="auto"/>
        </w:rPr>
        <w:t>FRANKFURT</w:t>
      </w:r>
    </w:p>
    <w:p>
      <w:pPr>
        <w:jc w:val="center"/>
        <w:ind w:right="520"/>
        <w:spacing w:after="0" w:line="216" w:lineRule="auto"/>
        <w:rPr>
          <w:sz w:val="20"/>
          <w:szCs w:val="20"/>
          <w:color w:val="auto"/>
        </w:rPr>
      </w:pPr>
      <w:r>
        <w:rPr>
          <w:rFonts w:ascii="Arial" w:cs="Arial" w:eastAsia="Arial" w:hAnsi="Arial"/>
          <w:sz w:val="13"/>
          <w:szCs w:val="13"/>
          <w:color w:val="auto"/>
        </w:rPr>
        <w:t>HONG KONG</w:t>
      </w:r>
    </w:p>
    <w:p>
      <w:pPr>
        <w:jc w:val="center"/>
        <w:ind w:right="520"/>
        <w:spacing w:after="0"/>
        <w:rPr>
          <w:sz w:val="20"/>
          <w:szCs w:val="20"/>
          <w:color w:val="auto"/>
        </w:rPr>
      </w:pPr>
      <w:r>
        <w:rPr>
          <w:rFonts w:ascii="Arial" w:cs="Arial" w:eastAsia="Arial" w:hAnsi="Arial"/>
          <w:sz w:val="13"/>
          <w:szCs w:val="13"/>
          <w:color w:val="auto"/>
        </w:rPr>
        <w:t>LONDON</w:t>
      </w:r>
    </w:p>
    <w:p>
      <w:pPr>
        <w:jc w:val="center"/>
        <w:ind w:right="520"/>
        <w:spacing w:after="0" w:line="216" w:lineRule="auto"/>
        <w:rPr>
          <w:sz w:val="20"/>
          <w:szCs w:val="20"/>
          <w:color w:val="auto"/>
        </w:rPr>
      </w:pPr>
      <w:r>
        <w:rPr>
          <w:rFonts w:ascii="Arial" w:cs="Arial" w:eastAsia="Arial" w:hAnsi="Arial"/>
          <w:sz w:val="13"/>
          <w:szCs w:val="13"/>
          <w:color w:val="auto"/>
        </w:rPr>
        <w:t>MUNICH</w:t>
      </w:r>
    </w:p>
    <w:p>
      <w:pPr>
        <w:jc w:val="center"/>
        <w:ind w:right="520"/>
        <w:spacing w:after="0"/>
        <w:rPr>
          <w:sz w:val="20"/>
          <w:szCs w:val="20"/>
          <w:color w:val="auto"/>
        </w:rPr>
      </w:pPr>
      <w:r>
        <w:rPr>
          <w:rFonts w:ascii="Arial" w:cs="Arial" w:eastAsia="Arial" w:hAnsi="Arial"/>
          <w:sz w:val="13"/>
          <w:szCs w:val="13"/>
          <w:color w:val="auto"/>
        </w:rPr>
        <w:t>PARIS</w:t>
      </w:r>
    </w:p>
    <w:p>
      <w:pPr>
        <w:jc w:val="center"/>
        <w:ind w:right="520"/>
        <w:spacing w:after="0" w:line="216" w:lineRule="auto"/>
        <w:rPr>
          <w:sz w:val="20"/>
          <w:szCs w:val="20"/>
          <w:color w:val="auto"/>
        </w:rPr>
      </w:pPr>
      <w:r>
        <w:rPr>
          <w:rFonts w:ascii="Arial" w:cs="Arial" w:eastAsia="Arial" w:hAnsi="Arial"/>
          <w:sz w:val="13"/>
          <w:szCs w:val="13"/>
          <w:color w:val="auto"/>
        </w:rPr>
        <w:t>SÃO PAULO</w:t>
      </w:r>
    </w:p>
    <w:p>
      <w:pPr>
        <w:jc w:val="center"/>
        <w:ind w:right="520"/>
        <w:spacing w:after="0"/>
        <w:rPr>
          <w:sz w:val="20"/>
          <w:szCs w:val="20"/>
          <w:color w:val="auto"/>
        </w:rPr>
      </w:pPr>
      <w:r>
        <w:rPr>
          <w:rFonts w:ascii="Arial" w:cs="Arial" w:eastAsia="Arial" w:hAnsi="Arial"/>
          <w:sz w:val="13"/>
          <w:szCs w:val="13"/>
          <w:color w:val="auto"/>
        </w:rPr>
        <w:t>SEOUL</w:t>
      </w:r>
    </w:p>
    <w:p>
      <w:pPr>
        <w:jc w:val="center"/>
        <w:ind w:right="520"/>
        <w:spacing w:after="0" w:line="216" w:lineRule="auto"/>
        <w:rPr>
          <w:sz w:val="20"/>
          <w:szCs w:val="20"/>
          <w:color w:val="auto"/>
        </w:rPr>
      </w:pPr>
      <w:r>
        <w:rPr>
          <w:rFonts w:ascii="Arial" w:cs="Arial" w:eastAsia="Arial" w:hAnsi="Arial"/>
          <w:sz w:val="13"/>
          <w:szCs w:val="13"/>
          <w:color w:val="auto"/>
        </w:rPr>
        <w:t>SINGAPORE</w:t>
      </w:r>
    </w:p>
    <w:p>
      <w:pPr>
        <w:jc w:val="center"/>
        <w:ind w:right="520"/>
        <w:spacing w:after="0" w:line="217" w:lineRule="auto"/>
        <w:rPr>
          <w:sz w:val="20"/>
          <w:szCs w:val="20"/>
          <w:color w:val="auto"/>
        </w:rPr>
      </w:pPr>
      <w:r>
        <w:rPr>
          <w:rFonts w:ascii="Arial" w:cs="Arial" w:eastAsia="Arial" w:hAnsi="Arial"/>
          <w:sz w:val="13"/>
          <w:szCs w:val="13"/>
          <w:color w:val="auto"/>
        </w:rPr>
        <w:t>TOKYO</w:t>
      </w:r>
    </w:p>
    <w:p>
      <w:pPr>
        <w:jc w:val="center"/>
        <w:ind w:right="520"/>
        <w:spacing w:after="0"/>
        <w:rPr>
          <w:sz w:val="20"/>
          <w:szCs w:val="20"/>
          <w:color w:val="auto"/>
        </w:rPr>
      </w:pPr>
      <w:r>
        <w:rPr>
          <w:rFonts w:ascii="Arial" w:cs="Arial" w:eastAsia="Arial" w:hAnsi="Arial"/>
          <w:sz w:val="13"/>
          <w:szCs w:val="13"/>
          <w:color w:val="auto"/>
        </w:rPr>
        <w:t>TORONTO</w:t>
      </w:r>
    </w:p>
    <w:p>
      <w:pPr>
        <w:spacing w:after="0" w:line="2563" w:lineRule="exact"/>
        <w:rPr>
          <w:sz w:val="20"/>
          <w:szCs w:val="20"/>
          <w:color w:val="auto"/>
        </w:rPr>
      </w:pPr>
    </w:p>
    <w:p>
      <w:pPr>
        <w:sectPr>
          <w:pgSz w:w="11900" w:h="16838" w:orient="portrait"/>
          <w:cols w:equalWidth="0" w:num="2">
            <w:col w:w="8800" w:space="720"/>
            <w:col w:w="1720"/>
          </w:cols>
          <w:pgMar w:left="320" w:top="122" w:right="339" w:bottom="1440" w:gutter="0" w:footer="0" w:header="0"/>
          <w:type w:val="continuous"/>
        </w:sectPr>
      </w:pPr>
    </w:p>
    <w:p>
      <w:pPr>
        <w:spacing w:after="0" w:line="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have acted as special United States counsel to Perella Weinberg Partners,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in connection with the Company’s Registration Statement on Form S-8 (together with the exhibits thereto, the “Registration Statement”) to be filed on the date hereof with the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under the Securities Act of 1933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relating to the registration of 2,674,143 shares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of the Company’s Class A common stock, par value $0.0001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available for future issuance under the Perella Weinberg Partners 2021 Omnibus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opinion letter is being furnished in accordance with the requirements of Item 601(b)(5) of Regulation S-K of the General Rules and Regulations of the Commission promulgated under the Securities Act (the “</w:t>
      </w:r>
      <w:r>
        <w:rPr>
          <w:rFonts w:ascii="Times New Roman" w:cs="Times New Roman" w:eastAsia="Times New Roman" w:hAnsi="Times New Roman"/>
          <w:sz w:val="22"/>
          <w:szCs w:val="22"/>
          <w:u w:val="single" w:color="auto"/>
          <w:color w:val="auto"/>
        </w:rPr>
        <w:t>Rules and Regulations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2"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6,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rendering the opinion stated herein, we have examined the following:</w:t>
      </w:r>
    </w:p>
    <w:p>
      <w:pPr>
        <w:spacing w:after="0" w:line="233" w:lineRule="exact"/>
        <w:rPr>
          <w:sz w:val="20"/>
          <w:szCs w:val="20"/>
          <w:color w:val="auto"/>
        </w:rPr>
      </w:pPr>
    </w:p>
    <w:p>
      <w:pPr>
        <w:ind w:left="940" w:hanging="284"/>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in the form to be filed with the Commission on the date hereof;</w:t>
      </w:r>
    </w:p>
    <w:p>
      <w:pPr>
        <w:spacing w:after="0" w:line="21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9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copy of a certificate of Alexandra Gottschalk, Chief Financial Officer, dated the date hereof (the “</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w:t>
      </w:r>
    </w:p>
    <w:p>
      <w:pPr>
        <w:spacing w:after="0" w:line="130" w:lineRule="exact"/>
        <w:rPr>
          <w:rFonts w:ascii="Times New Roman" w:cs="Times New Roman" w:eastAsia="Times New Roman" w:hAnsi="Times New Roman"/>
          <w:sz w:val="22"/>
          <w:szCs w:val="22"/>
          <w:color w:val="auto"/>
        </w:rPr>
      </w:pPr>
    </w:p>
    <w:p>
      <w:pPr>
        <w:jc w:val="both"/>
        <w:ind w:firstLine="656"/>
        <w:spacing w:after="0" w:line="225" w:lineRule="auto"/>
        <w:tabs>
          <w:tab w:leader="none" w:pos="95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Amended and Restated Certificate of Incorporation, certified by the Secretary of State of the State of Delaware as of February 6, 2026, and certified pursuant to the Officer’s Certificate as being in effect on the date of the resolutions referred to below;</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02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Restated Certificate of Incorporation, as amended (the “Restated Certificate of Incorporation”), certified by the Secretary of State of the State of Delaware as of February 6, 2026, and certified pursuant to the Officer’s Certificate as being in effect as of the date hereof;</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92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Company’s Bylaws, as amended, and certified pursuant to the Officer’s Certificate as being in effect on the date of the resolutions referred to below;</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Company’s Amended and Restated Bylaws (the “Amended and Restated Bylaws”), as amended, and certified pursuant to the Officer’s Certificate as being in effect as of the date hereof; and</w:t>
      </w:r>
    </w:p>
    <w:p>
      <w:pPr>
        <w:spacing w:after="0" w:line="177" w:lineRule="exact"/>
        <w:rPr>
          <w:rFonts w:ascii="Times New Roman" w:cs="Times New Roman" w:eastAsia="Times New Roman" w:hAnsi="Times New Roman"/>
          <w:sz w:val="22"/>
          <w:szCs w:val="22"/>
          <w:color w:val="auto"/>
        </w:rPr>
      </w:pPr>
    </w:p>
    <w:p>
      <w:pPr>
        <w:ind w:firstLine="656"/>
        <w:spacing w:after="0" w:line="284" w:lineRule="auto"/>
        <w:tabs>
          <w:tab w:leader="none" w:pos="95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certain resolutions of the Board of Directors of the Company relating to the approval of the Plan and certain related matters and certified pursuant to the Officer’s Certificate.</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 including the facts and conclusions set forth in the Officer’s Certificate.</w:t>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6,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Company’s Restated Certificate of Incorporation and the Officer’s Certificate.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In rendering the opinion set forth below, we have also assumed that (i) the Shares will be issued in book-entry form and an appropriate account statement evidencing the Shares credited to a recipient’s account maintained with the Company’s transfer agent and registrar will be issued by the Company’s transfer agent and registrar, (ii) each award agreement under which options, stock appreciation rights, restricted stock, restricted stock units, stock bonuses, other stock-based awards and certain other awards are granted pursuant to the Plan will be consistent with the Plan and will be duly authorized, executed and delivered by the parties thereto, and (iii) the Company’s issuance of the Shares does not and will not (a) except to the extent expressly stated in the opinions contained herein, violate any statute to which the Company or such issuance is subject, or (b) constitute a violation of, or a breach under, or require the consent or approval of any other person under, any agreement or instrument binding on the Company (except that we do not make this assumption with respect to the Restated Certificate of Incorporation and the Amended and Restated Bylaws although we have assumed compliance with any covenant, restriction or provision with respect to financial ratios or tests or any aspect of the financial condition or results of operations of the Company contained in such instruments) and that the Company will continue to have sufficient authorized shares of Common Stock, and (iv) the Company’s authorized capital stock is as set forth in the Restated Certificate of Incorporation and we have relied solely on the certified copy thereof issued by the Secretary of State of the State of Delaware and have not made any other inquiries or investigations.</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 do not express any opinion with respect to the laws of any jurisdiction other than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Based upon the foregoing and subject to the qualifications and assumptions stated herein, we are of the opinion that the Shares have been duly authorized by all requisite corporate action on the part of the Company under the DGCL and, when the Shares are issued to the Plan participants in accordance with the terms and conditions of the Plan and the applicable award agreement for consideration in an amount at least equal to the par value of such Shares, the Shares will be validly issued, fully paid and nonassessable.</w:t>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6,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We hereby consent to the filing of this opinion letter with the Commission as an exhibit to the Registration Statement. In giving this consent, we do not thereby admit that we are included 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17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Skadden, Arps, Slate, Meagher &amp; Flom LLP</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lvl w:ilvl="1">
      <w:lvlJc w:val="left"/>
      <w:lvlText w:val="(%2)"/>
      <w:numFmt w:val="lowerLetter"/>
      <w:start w:val="4"/>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lowerLetter"/>
      <w:start w:val="1"/>
    </w:lvl>
    <w:lvl w:ilvl="1">
      <w:lvlJc w:val="left"/>
      <w:lvlText w:val="(%2)"/>
      <w:numFmt w:val="decimal"/>
      <w:start w:val="2"/>
    </w:lvl>
  </w:abstractNum>
  <w:abstractNum w:abstractNumId="3">
    <w:nsid w:val="46E87CCD"/>
    <w:multiLevelType w:val="hybridMultilevel"/>
    <w:lvl w:ilvl="0">
      <w:lvlJc w:val="left"/>
      <w:lvlText w:val="(%1)"/>
      <w:numFmt w:val="lowerLetter"/>
      <w:start w:val="2"/>
    </w:lvl>
    <w:lvl w:ilvl="1">
      <w:lvlJc w:val="left"/>
      <w:lvlText w:val="%2"/>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2" Type="http://schemas.openxmlformats.org/officeDocument/2006/relationships/image" Target="media/image8.png"/><Relationship Id="rId15" Type="http://schemas.openxmlformats.org/officeDocument/2006/relationships/hyperlink" Target="https://www.sec.gov/ix?doc=/Archives/edgar/data/1777835/000177783525000056/pwp-20241231.htm" TargetMode="External"/><Relationship Id="rId16" Type="http://schemas.openxmlformats.org/officeDocument/2006/relationships/hyperlink" Target="https://www.sec.gov/ix?doc=/Archives/edgar/data/1777835/000177783525000091/pwp-20250331.htm" TargetMode="External"/><Relationship Id="rId17" Type="http://schemas.openxmlformats.org/officeDocument/2006/relationships/hyperlink" Target="https://www.sec.gov/ix?doc=/Archives/edgar/data/1777835/000177783525000144/pwp-20250630.htm" TargetMode="External"/><Relationship Id="rId18" Type="http://schemas.openxmlformats.org/officeDocument/2006/relationships/hyperlink" Target="https://www.sec.gov/ix?doc=/Archives/edgar/data/1777835/000177783525000185/pwp-20250930.htm" TargetMode="External"/><Relationship Id="rId19" Type="http://schemas.openxmlformats.org/officeDocument/2006/relationships/hyperlink" Target="https://www.sec.gov/ix?doc=/Archives/edgar/data/1777835/000177783525000100/pwp-20250519.htm" TargetMode="External"/><Relationship Id="rId20" Type="http://schemas.openxmlformats.org/officeDocument/2006/relationships/hyperlink" Target="https://www.sec.gov/ix?doc=/Archives/edgar/data/1777835/000177783525000108/pwp-20250528.htm" TargetMode="External"/><Relationship Id="rId21" Type="http://schemas.openxmlformats.org/officeDocument/2006/relationships/hyperlink" Target="https://www.sec.gov/ix?doc=/Archives/edgar/data/0001777835/000177783525000141/pwp-20250801.htm" TargetMode="External"/><Relationship Id="rId22" Type="http://schemas.openxmlformats.org/officeDocument/2006/relationships/hyperlink" Target="https://www.sec.gov/ix?doc=/Archives/edgar/data/0001777835/000177783525000139/pwp-20250801.htm" TargetMode="External"/><Relationship Id="rId23" Type="http://schemas.openxmlformats.org/officeDocument/2006/relationships/hyperlink" Target="https://www.sec.gov/ix?doc=/Archives/edgar/data/0001777835/000177783525000171/pwp-20250902.htm" TargetMode="External"/><Relationship Id="rId24" Type="http://schemas.openxmlformats.org/officeDocument/2006/relationships/hyperlink" Target="https://www.sec.gov/ix?doc=/Archives/edgar/data/1777835/000177783525000195/pwp-20251117.htm" TargetMode="External"/><Relationship Id="rId25" Type="http://schemas.openxmlformats.org/officeDocument/2006/relationships/hyperlink" Target="https://www.sec.gov/ix?doc=/Archives/edgar/data/1777835/000162828026001990/pwp-20260113.htm" TargetMode="External"/><Relationship Id="rId26" Type="http://schemas.openxmlformats.org/officeDocument/2006/relationships/hyperlink" Target="https://www.sec.gov/Archives/edgar/data/1777835/000177783525000056/ex-42xdescriptionofsecurit.htm" TargetMode="External"/><Relationship Id="rId27" Type="http://schemas.openxmlformats.org/officeDocument/2006/relationships/hyperlink" Target="https://www.sec.gov/Archives/edgar/data/1777835/000162828022000893/exhibit31-sx1a1.htm" TargetMode="External"/><Relationship Id="rId28" Type="http://schemas.openxmlformats.org/officeDocument/2006/relationships/hyperlink" Target="https://www.sec.gov/Archives/edgar/data/1777835/000177783524000140/pwpq2202410-qexx31.htm" TargetMode="External"/><Relationship Id="rId29" Type="http://schemas.openxmlformats.org/officeDocument/2006/relationships/hyperlink" Target="https://www.sec.gov/Archives/edgar/data/1777835/000119312521204696/d119701dex32.htm" TargetMode="External"/><Relationship Id="rId30" Type="http://schemas.openxmlformats.org/officeDocument/2006/relationships/hyperlink" Target="https://www.sec.gov/Archives/edgar/data/1777835/000119312521204696/d119701dex106.htm" TargetMode="External"/><Relationship Id="rId31" Type="http://schemas.openxmlformats.org/officeDocument/2006/relationships/hyperlink" Target="https://www.sec.gov/Archives/edgar/data/1777835/000119312521204696/d119701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2026-02-06T17:00:50Z</dcterms:created>
  <dcterms:modified xsi:type="dcterms:W3CDTF">2026-02-06T17:00:50Z</dcterms:modified>
</cp:coreProperties>
</file>