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1031875</wp:posOffset>
            </wp:positionV>
            <wp:extent cx="661797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7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UNITED STATES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jc w:val="center"/>
        <w:ind w:left="9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Proxy Statement Pursuant to Section 14(a) of the Securities Exchange Act of 1934 (Amendment No. )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☒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22"/>
          <w:szCs w:val="22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Check the appropriate box: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Preliminary Proxy Statement</w:t>
      </w:r>
    </w:p>
    <w:p>
      <w:pPr>
        <w:spacing w:after="0" w:line="161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69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Definitive Proxy Statement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Definitive Additional Materials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Soliciting Material under §240.14a-12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ind w:right="-6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PERELLA WEINBERG PARTNERS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ind w:left="26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Payment of Filing Fee (Check all boxes that apply):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No fee required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Fee paid previously with preliminary materials</w:t>
      </w:r>
    </w:p>
    <w:p>
      <w:pPr>
        <w:spacing w:after="0" w:line="165" w:lineRule="exact"/>
        <w:rPr>
          <w:rFonts w:ascii="MS PGothic" w:cs="MS PGothic" w:eastAsia="MS PGothic" w:hAnsi="MS PGothic"/>
          <w:sz w:val="22"/>
          <w:szCs w:val="22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22"/>
          <w:szCs w:val="22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Fee computed on table in exhibit required by Item 25(b) per Exchange Act Rules 14a-6(i)(1) and 0-11</w:t>
      </w:r>
    </w:p>
    <w:p>
      <w:pPr>
        <w:sectPr>
          <w:pgSz w:w="11900" w:h="16838" w:orient="portrait"/>
          <w:cols w:equalWidth="0" w:num="1">
            <w:col w:w="10620"/>
          </w:cols>
          <w:pgMar w:left="320" w:top="1440" w:right="959" w:bottom="1440" w:gutter="0" w:footer="0" w:header="0"/>
        </w:sectPr>
      </w:pPr>
    </w:p>
    <w:bookmarkStart w:id="1" w:name="page2"/>
    <w:bookmarkEnd w:id="1"/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717540" cy="74066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7540" cy="740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911860</wp:posOffset>
            </wp:positionV>
            <wp:extent cx="5760720" cy="73037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0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2022-04-13T08:42:00Z</dcterms:created>
  <dcterms:modified xsi:type="dcterms:W3CDTF">2022-04-13T08:42:00Z</dcterms:modified>
</cp:coreProperties>
</file>