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MUGFORD KRISTIN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05/28/2025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5,652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44,157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5,652 unvested shares subject to awards of restricted stock units, which vest on the date of Perella Weinberg Partners' next general annual stockholder meeting following the grant date, subject to continued board service through such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05/30/2025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3408"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2025-05-30T14:45:16Z</dcterms:created>
  <dcterms:modified xsi:type="dcterms:W3CDTF">2025-05-30T14:45:16Z</dcterms:modified>
</cp:coreProperties>
</file>