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-226060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5"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-613410</wp:posOffset>
            </wp:positionV>
            <wp:extent cx="57785" cy="626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726440</wp:posOffset>
            </wp:positionV>
            <wp:extent cx="7047865" cy="512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5126990"/>
                    </a:xfrm>
                    <a:prstGeom prst="rect">
                      <a:avLst/>
                    </a:prstGeom>
                    <a:noFill/>
                  </pic:spPr>
                </pic:pic>
              </a:graphicData>
            </a:graphic>
          </wp:anchor>
        </w:drawing>
      </w:r>
    </w:p>
    <w:p>
      <w:pPr>
        <w:spacing w:after="0" w:line="1195" w:lineRule="exact"/>
        <w:rPr>
          <w:sz w:val="24"/>
          <w:szCs w:val="24"/>
          <w:color w:val="auto"/>
        </w:rPr>
      </w:pPr>
    </w:p>
    <w:p>
      <w:pPr>
        <w:sectPr>
          <w:pgSz w:w="11900" w:h="16838" w:orient="portrait"/>
          <w:cols w:equalWidth="0" w:num="2">
            <w:col w:w="2280" w:space="360"/>
            <w:col w:w="8440"/>
          </w:cols>
          <w:pgMar w:left="460" w:top="215" w:right="359" w:bottom="914"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STEEL ROBERT 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767 FIFTH AVENUE</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Perella Weinberg Partners</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PWP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05/16/2025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8" w:right="680" w:hanging="8"/>
        <w:spacing w:after="0" w:line="250"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5"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4" w:lineRule="exact"/>
        <w:rPr>
          <w:sz w:val="24"/>
          <w:szCs w:val="24"/>
          <w:color w:val="auto"/>
        </w:rPr>
      </w:pPr>
    </w:p>
    <w:p>
      <w:pPr>
        <w:sectPr>
          <w:pgSz w:w="11900" w:h="16838" w:orient="portrait"/>
          <w:cols w:equalWidth="0" w:num="3">
            <w:col w:w="3180" w:space="720"/>
            <w:col w:w="3112" w:space="720"/>
            <w:col w:w="3348"/>
          </w:cols>
          <w:pgMar w:left="460" w:top="215" w:right="359" w:bottom="914" w:gutter="0" w:footer="0" w:header="0"/>
          <w:type w:val="continuous"/>
        </w:sectPr>
      </w:pPr>
    </w:p>
    <w:p>
      <w:pPr>
        <w:spacing w:after="0" w:line="227"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10153</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1" w:lineRule="exact"/>
        <w:rPr>
          <w:sz w:val="24"/>
          <w:szCs w:val="24"/>
          <w:color w:val="auto"/>
        </w:rPr>
      </w:pPr>
    </w:p>
    <w:p>
      <w:pPr>
        <w:sectPr>
          <w:pgSz w:w="11900" w:h="16838" w:orient="portrait"/>
          <w:cols w:equalWidth="0" w:num="2">
            <w:col w:w="3760" w:space="140"/>
            <w:col w:w="7180"/>
          </w:cols>
          <w:pgMar w:left="460" w:top="215" w:right="359" w:bottom="914"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640" w:type="dxa"/>
            <w:vAlign w:val="bottom"/>
            <w:gridSpan w:val="2"/>
          </w:tcPr>
          <w:p>
            <w:pPr>
              <w:ind w:left="220"/>
              <w:spacing w:after="0"/>
              <w:rPr>
                <w:sz w:val="20"/>
                <w:szCs w:val="20"/>
                <w:color w:val="auto"/>
              </w:rPr>
            </w:pPr>
            <w:r>
              <w:rPr>
                <w:rFonts w:ascii="Arial" w:cs="Arial" w:eastAsia="Arial" w:hAnsi="Arial"/>
                <w:sz w:val="11"/>
                <w:szCs w:val="11"/>
                <w:b w:val="1"/>
                <w:bCs w:val="1"/>
                <w:color w:val="auto"/>
              </w:rPr>
              <w:t>3.</w:t>
            </w:r>
          </w:p>
        </w:tc>
        <w:tc>
          <w:tcPr>
            <w:tcW w:w="320" w:type="dxa"/>
            <w:vAlign w:val="bottom"/>
          </w:tcPr>
          <w:p>
            <w:pPr>
              <w:spacing w:after="0"/>
              <w:rPr>
                <w:sz w:val="13"/>
                <w:szCs w:val="13"/>
                <w:color w:val="auto"/>
              </w:rPr>
            </w:pPr>
          </w:p>
        </w:tc>
        <w:tc>
          <w:tcPr>
            <w:tcW w:w="1720" w:type="dxa"/>
            <w:vAlign w:val="bottom"/>
            <w:gridSpan w:val="5"/>
          </w:tcPr>
          <w:p>
            <w:pPr>
              <w:jc w:val="center"/>
              <w:ind w:right="104"/>
              <w:spacing w:after="0"/>
              <w:rPr>
                <w:sz w:val="20"/>
                <w:szCs w:val="20"/>
                <w:color w:val="auto"/>
              </w:rPr>
            </w:pPr>
            <w:r>
              <w:rPr>
                <w:rFonts w:ascii="Arial" w:cs="Arial" w:eastAsia="Arial" w:hAnsi="Arial"/>
                <w:sz w:val="11"/>
                <w:szCs w:val="11"/>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3100" w:type="dxa"/>
            <w:vAlign w:val="bottom"/>
            <w:gridSpan w:val="8"/>
          </w:tcPr>
          <w:p>
            <w:pPr>
              <w:spacing w:after="0"/>
              <w:rPr>
                <w:sz w:val="20"/>
                <w:szCs w:val="20"/>
                <w:color w:val="auto"/>
              </w:rPr>
            </w:pPr>
            <w:r>
              <w:rPr>
                <w:rFonts w:ascii="Arial" w:cs="Arial" w:eastAsia="Arial" w:hAnsi="Arial"/>
                <w:sz w:val="11"/>
                <w:szCs w:val="11"/>
                <w:b w:val="1"/>
                <w:bCs w:val="1"/>
                <w:color w:val="auto"/>
              </w:rPr>
              <w:t>Disposed Of (D) (Instr. 3, 4 and 5)   Securities</w:t>
            </w:r>
          </w:p>
        </w:tc>
        <w:tc>
          <w:tcPr>
            <w:tcW w:w="900" w:type="dxa"/>
            <w:vAlign w:val="bottom"/>
          </w:tcPr>
          <w:p>
            <w:pPr>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2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0"/>
                <w:szCs w:val="10"/>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b w:val="1"/>
                <w:bCs w:val="1"/>
                <w:color w:val="auto"/>
                <w:w w:val="99"/>
              </w:rPr>
              <w:t>Reported</w:t>
            </w: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1"/>
                <w:szCs w:val="11"/>
                <w:b w:val="1"/>
                <w:bCs w:val="1"/>
                <w:color w:val="auto"/>
              </w:rPr>
              <w:t>V</w:t>
            </w:r>
          </w:p>
        </w:tc>
        <w:tc>
          <w:tcPr>
            <w:tcW w:w="50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3"/>
          </w:tcPr>
          <w:p>
            <w:pPr>
              <w:ind w:left="340"/>
              <w:spacing w:after="0"/>
              <w:rPr>
                <w:sz w:val="20"/>
                <w:szCs w:val="20"/>
                <w:color w:val="auto"/>
              </w:rPr>
            </w:pPr>
            <w:r>
              <w:rPr>
                <w:rFonts w:ascii="Arial" w:cs="Arial" w:eastAsia="Arial" w:hAnsi="Arial"/>
                <w:sz w:val="11"/>
                <w:szCs w:val="11"/>
                <w:b w:val="1"/>
                <w:bCs w:val="1"/>
                <w:color w:val="auto"/>
              </w:rPr>
              <w:t>(A) or</w:t>
            </w:r>
          </w:p>
        </w:tc>
        <w:tc>
          <w:tcPr>
            <w:tcW w:w="460" w:type="dxa"/>
            <w:vAlign w:val="bottom"/>
            <w:vMerge w:val="restart"/>
          </w:tcPr>
          <w:p>
            <w:pPr>
              <w:jc w:val="right"/>
              <w:ind w:right="24"/>
              <w:spacing w:after="0"/>
              <w:rPr>
                <w:sz w:val="20"/>
                <w:szCs w:val="20"/>
                <w:color w:val="auto"/>
              </w:rPr>
            </w:pPr>
            <w:r>
              <w:rPr>
                <w:rFonts w:ascii="Arial" w:cs="Arial" w:eastAsia="Arial" w:hAnsi="Arial"/>
                <w:sz w:val="11"/>
                <w:szCs w:val="11"/>
                <w:b w:val="1"/>
                <w:bCs w:val="1"/>
                <w:color w:val="auto"/>
              </w:rPr>
              <w:t>Price</w:t>
            </w:r>
          </w:p>
        </w:tc>
        <w:tc>
          <w:tcPr>
            <w:tcW w:w="1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62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1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6"/>
                <w:szCs w:val="16"/>
                <w:color w:val="0000FF"/>
              </w:rPr>
              <w:t>05/16/2025</w:t>
            </w: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0000FF"/>
              </w:rPr>
              <w:t>196,000</w:t>
            </w:r>
          </w:p>
        </w:tc>
        <w:tc>
          <w:tcPr>
            <w:tcW w:w="1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A</w:t>
            </w:r>
          </w:p>
        </w:tc>
        <w:tc>
          <w:tcPr>
            <w:tcW w:w="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6"/>
                <w:szCs w:val="16"/>
                <w:color w:val="0000FF"/>
              </w:rPr>
              <w:t>322,986</w:t>
            </w:r>
          </w:p>
        </w:tc>
        <w:tc>
          <w:tcPr>
            <w:tcW w:w="9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6"/>
                <w:szCs w:val="16"/>
                <w:color w:val="0000FF"/>
              </w:rPr>
              <w:t>05/16/2025</w:t>
            </w: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196</w:t>
            </w:r>
          </w:p>
        </w:tc>
        <w:tc>
          <w:tcPr>
            <w:tcW w:w="4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A</w:t>
            </w:r>
          </w:p>
        </w:tc>
        <w:tc>
          <w:tcPr>
            <w:tcW w:w="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6"/>
                <w:szCs w:val="16"/>
                <w:color w:val="0000FF"/>
              </w:rPr>
              <w:t>323,182</w:t>
            </w:r>
          </w:p>
        </w:tc>
        <w:tc>
          <w:tcPr>
            <w:tcW w:w="9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160" w:type="dxa"/>
            <w:vAlign w:val="bottom"/>
            <w:tcBorders>
              <w:top w:val="single" w:sz="8" w:color="2C2C2C"/>
            </w:tcBorders>
            <w:gridSpan w:val="14"/>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20" w:type="dxa"/>
            <w:vAlign w:val="bottom"/>
            <w:gridSpan w:val="12"/>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15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    10.</w:t>
            </w:r>
          </w:p>
        </w:tc>
        <w:tc>
          <w:tcPr>
            <w:tcW w:w="860" w:type="dxa"/>
            <w:vAlign w:val="bottom"/>
            <w:gridSpan w:val="3"/>
          </w:tcPr>
          <w:p>
            <w:pPr>
              <w:ind w:left="10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0"/>
                <w:szCs w:val="10"/>
                <w:color w:val="auto"/>
              </w:rPr>
            </w:pP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460" w:type="dxa"/>
            <w:vAlign w:val="bottom"/>
          </w:tcPr>
          <w:p>
            <w:pPr>
              <w:spacing w:after="0"/>
              <w:rPr>
                <w:sz w:val="10"/>
                <w:szCs w:val="10"/>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280"/>
              <w:spacing w:after="0"/>
              <w:rPr>
                <w:sz w:val="20"/>
                <w:szCs w:val="20"/>
                <w:color w:val="auto"/>
              </w:rPr>
            </w:pPr>
            <w:r>
              <w:rPr>
                <w:rFonts w:ascii="Arial" w:cs="Arial" w:eastAsia="Arial" w:hAnsi="Arial"/>
                <w:sz w:val="11"/>
                <w:szCs w:val="11"/>
                <w:b w:val="1"/>
                <w:bCs w:val="1"/>
                <w:color w:val="auto"/>
              </w:rPr>
              <w:t>Ownership</w:t>
            </w:r>
          </w:p>
        </w:tc>
        <w:tc>
          <w:tcPr>
            <w:tcW w:w="860" w:type="dxa"/>
            <w:vAlign w:val="bottom"/>
            <w:gridSpan w:val="3"/>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0"/>
                <w:szCs w:val="10"/>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Underlying</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280"/>
              <w:spacing w:after="0"/>
              <w:rPr>
                <w:sz w:val="20"/>
                <w:szCs w:val="20"/>
                <w:color w:val="auto"/>
              </w:rPr>
            </w:pPr>
            <w:r>
              <w:rPr>
                <w:rFonts w:ascii="Arial" w:cs="Arial" w:eastAsia="Arial" w:hAnsi="Arial"/>
                <w:sz w:val="11"/>
                <w:szCs w:val="11"/>
                <w:b w:val="1"/>
                <w:bCs w:val="1"/>
                <w:color w:val="auto"/>
              </w:rPr>
              <w:t>Form:</w:t>
            </w:r>
          </w:p>
        </w:tc>
        <w:tc>
          <w:tcPr>
            <w:tcW w:w="860" w:type="dxa"/>
            <w:vAlign w:val="bottom"/>
            <w:gridSpan w:val="3"/>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w w:val="98"/>
              </w:rPr>
              <w:t>Beneficially</w:t>
            </w:r>
          </w:p>
        </w:tc>
        <w:tc>
          <w:tcPr>
            <w:tcW w:w="900" w:type="dxa"/>
            <w:vAlign w:val="bottom"/>
          </w:tcPr>
          <w:p>
            <w:pPr>
              <w:ind w:left="280"/>
              <w:spacing w:after="0"/>
              <w:rPr>
                <w:sz w:val="20"/>
                <w:szCs w:val="20"/>
                <w:color w:val="auto"/>
              </w:rPr>
            </w:pPr>
            <w:r>
              <w:rPr>
                <w:rFonts w:ascii="Arial" w:cs="Arial" w:eastAsia="Arial" w:hAnsi="Arial"/>
                <w:sz w:val="11"/>
                <w:szCs w:val="11"/>
                <w:b w:val="1"/>
                <w:bCs w:val="1"/>
                <w:color w:val="auto"/>
              </w:rPr>
              <w:t>Direct (D)</w:t>
            </w:r>
          </w:p>
        </w:tc>
        <w:tc>
          <w:tcPr>
            <w:tcW w:w="860" w:type="dxa"/>
            <w:vAlign w:val="bottom"/>
            <w:gridSpan w:val="3"/>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900" w:type="dxa"/>
            <w:vAlign w:val="bottom"/>
          </w:tcPr>
          <w:p>
            <w:pPr>
              <w:ind w:left="280"/>
              <w:spacing w:after="0"/>
              <w:rPr>
                <w:sz w:val="20"/>
                <w:szCs w:val="20"/>
                <w:color w:val="auto"/>
              </w:rPr>
            </w:pPr>
            <w:r>
              <w:rPr>
                <w:rFonts w:ascii="Arial" w:cs="Arial" w:eastAsia="Arial" w:hAnsi="Arial"/>
                <w:sz w:val="11"/>
                <w:szCs w:val="11"/>
                <w:b w:val="1"/>
                <w:bCs w:val="1"/>
                <w:color w:val="auto"/>
              </w:rPr>
              <w:t>or Indirect</w:t>
            </w:r>
          </w:p>
        </w:tc>
        <w:tc>
          <w:tcPr>
            <w:tcW w:w="860" w:type="dxa"/>
            <w:vAlign w:val="bottom"/>
            <w:gridSpan w:val="3"/>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900" w:type="dxa"/>
            <w:vAlign w:val="bottom"/>
          </w:tcPr>
          <w:p>
            <w:pPr>
              <w:ind w:left="2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20"/>
                <w:szCs w:val="20"/>
                <w:color w:val="auto"/>
              </w:rPr>
            </w:pPr>
            <w:r>
              <w:rPr>
                <w:rFonts w:ascii="Arial" w:cs="Arial" w:eastAsia="Arial" w:hAnsi="Arial"/>
                <w:sz w:val="11"/>
                <w:szCs w:val="11"/>
                <w:b w:val="1"/>
                <w:bCs w:val="1"/>
                <w:color w:val="auto"/>
              </w:rPr>
              <w:t>or</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820" w:type="dxa"/>
            <w:vAlign w:val="bottom"/>
            <w:gridSpan w:val="2"/>
          </w:tcPr>
          <w:p>
            <w:pPr>
              <w:jc w:val="center"/>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16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B-1</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vMerge w:val="restart"/>
          </w:tcPr>
          <w:p>
            <w:pPr>
              <w:ind w:left="4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920" w:type="dxa"/>
            <w:vAlign w:val="bottom"/>
          </w:tcPr>
          <w:p>
            <w:pPr>
              <w:spacing w:after="0"/>
              <w:rPr>
                <w:sz w:val="15"/>
                <w:szCs w:val="15"/>
                <w:color w:val="auto"/>
              </w:rPr>
            </w:pPr>
          </w:p>
        </w:tc>
        <w:tc>
          <w:tcPr>
            <w:tcW w:w="6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320" w:type="dxa"/>
            <w:vAlign w:val="bottom"/>
          </w:tcPr>
          <w:p>
            <w:pPr>
              <w:spacing w:after="0"/>
              <w:rPr>
                <w:sz w:val="15"/>
                <w:szCs w:val="15"/>
                <w:color w:val="auto"/>
              </w:rPr>
            </w:pPr>
          </w:p>
        </w:tc>
        <w:tc>
          <w:tcPr>
            <w:tcW w:w="500" w:type="dxa"/>
            <w:vAlign w:val="bottom"/>
            <w:vMerge w:val="restart"/>
          </w:tcPr>
          <w:p>
            <w:pPr>
              <w:jc w:val="center"/>
              <w:ind w:right="237"/>
              <w:spacing w:after="0"/>
              <w:rPr>
                <w:sz w:val="20"/>
                <w:szCs w:val="20"/>
                <w:color w:val="auto"/>
              </w:rPr>
            </w:pPr>
            <w:r>
              <w:rPr>
                <w:rFonts w:ascii="Times New Roman" w:cs="Times New Roman" w:eastAsia="Times New Roman" w:hAnsi="Times New Roman"/>
                <w:sz w:val="11"/>
                <w:szCs w:val="11"/>
                <w:color w:val="008000"/>
                <w:w w:val="93"/>
              </w:rPr>
              <w:t>(2)</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restart"/>
          </w:tcPr>
          <w:p>
            <w:pPr>
              <w:jc w:val="right"/>
              <w:ind w:right="124"/>
              <w:spacing w:after="0"/>
              <w:rPr>
                <w:sz w:val="20"/>
                <w:szCs w:val="20"/>
                <w:color w:val="auto"/>
              </w:rPr>
            </w:pPr>
            <w:r>
              <w:rPr>
                <w:rFonts w:ascii="Times New Roman" w:cs="Times New Roman" w:eastAsia="Times New Roman" w:hAnsi="Times New Roman"/>
                <w:sz w:val="16"/>
                <w:szCs w:val="16"/>
                <w:color w:val="0000FF"/>
                <w:w w:val="99"/>
              </w:rPr>
              <w:t>196</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0000FF"/>
              </w:rPr>
              <w:t>PWP VoteCo</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05/16/2025</w:t>
            </w: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20" w:type="dxa"/>
            <w:vAlign w:val="bottom"/>
          </w:tcPr>
          <w:p>
            <w:pPr>
              <w:ind w:left="380"/>
              <w:spacing w:after="0" w:line="139" w:lineRule="exact"/>
              <w:rPr>
                <w:sz w:val="20"/>
                <w:szCs w:val="20"/>
                <w:color w:val="auto"/>
              </w:rPr>
            </w:pPr>
            <w:r>
              <w:rPr>
                <w:rFonts w:ascii="Times New Roman" w:cs="Times New Roman" w:eastAsia="Times New Roman" w:hAnsi="Times New Roman"/>
                <w:sz w:val="13"/>
                <w:szCs w:val="13"/>
                <w:color w:val="0000FF"/>
              </w:rPr>
              <w:t>196,000</w:t>
            </w:r>
          </w:p>
        </w:tc>
        <w:tc>
          <w:tcPr>
            <w:tcW w:w="6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1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740" w:type="dxa"/>
            <w:vAlign w:val="bottom"/>
            <w:gridSpan w:val="2"/>
          </w:tcPr>
          <w:p>
            <w:pPr>
              <w:jc w:val="center"/>
              <w:ind w:right="1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0.02</w:t>
            </w:r>
          </w:p>
        </w:tc>
        <w:tc>
          <w:tcPr>
            <w:tcW w:w="640" w:type="dxa"/>
            <w:vAlign w:val="bottom"/>
          </w:tcPr>
          <w:p>
            <w:pPr>
              <w:ind w:left="200"/>
              <w:spacing w:after="0" w:line="139" w:lineRule="exact"/>
              <w:rPr>
                <w:sz w:val="20"/>
                <w:szCs w:val="20"/>
                <w:color w:val="auto"/>
              </w:rPr>
            </w:pPr>
            <w:r>
              <w:rPr>
                <w:rFonts w:ascii="Times New Roman" w:cs="Times New Roman" w:eastAsia="Times New Roman" w:hAnsi="Times New Roman"/>
                <w:sz w:val="13"/>
                <w:szCs w:val="13"/>
                <w:color w:val="0000FF"/>
                <w:w w:val="99"/>
              </w:rPr>
              <w:t>395,083</w:t>
            </w:r>
          </w:p>
        </w:tc>
        <w:tc>
          <w:tcPr>
            <w:tcW w:w="900" w:type="dxa"/>
            <w:vAlign w:val="bottom"/>
          </w:tcPr>
          <w:p>
            <w:pPr>
              <w:ind w:left="56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3"/>
          </w:tcPr>
          <w:p>
            <w:pPr>
              <w:ind w:left="100"/>
              <w:spacing w:after="0" w:line="139" w:lineRule="exact"/>
              <w:rPr>
                <w:sz w:val="20"/>
                <w:szCs w:val="20"/>
                <w:color w:val="auto"/>
              </w:rPr>
            </w:pPr>
            <w:r>
              <w:rPr>
                <w:rFonts w:ascii="Times New Roman" w:cs="Times New Roman" w:eastAsia="Times New Roman" w:hAnsi="Times New Roman"/>
                <w:sz w:val="13"/>
                <w:szCs w:val="13"/>
                <w:color w:val="0000FF"/>
              </w:rPr>
              <w:t>Professionals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0000FF"/>
              </w:rPr>
              <w:t>LP</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PWP</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Holdings</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vMerge w:val="restart"/>
          </w:tcPr>
          <w:p>
            <w:pPr>
              <w:ind w:left="40"/>
              <w:spacing w:after="0" w:line="278"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920" w:type="dxa"/>
            <w:vAlign w:val="bottom"/>
          </w:tcPr>
          <w:p>
            <w:pPr>
              <w:spacing w:after="0"/>
              <w:rPr>
                <w:sz w:val="12"/>
                <w:szCs w:val="12"/>
                <w:color w:val="auto"/>
              </w:rPr>
            </w:pPr>
          </w:p>
        </w:tc>
        <w:tc>
          <w:tcPr>
            <w:tcW w:w="6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320" w:type="dxa"/>
            <w:vAlign w:val="bottom"/>
          </w:tcPr>
          <w:p>
            <w:pPr>
              <w:spacing w:after="0"/>
              <w:rPr>
                <w:sz w:val="12"/>
                <w:szCs w:val="12"/>
                <w:color w:val="auto"/>
              </w:rPr>
            </w:pPr>
          </w:p>
        </w:tc>
        <w:tc>
          <w:tcPr>
            <w:tcW w:w="500" w:type="dxa"/>
            <w:vAlign w:val="bottom"/>
            <w:vMerge w:val="restart"/>
          </w:tcPr>
          <w:p>
            <w:pPr>
              <w:jc w:val="center"/>
              <w:ind w:right="237"/>
              <w:spacing w:after="0"/>
              <w:rPr>
                <w:sz w:val="20"/>
                <w:szCs w:val="20"/>
                <w:color w:val="auto"/>
              </w:rPr>
            </w:pPr>
            <w:r>
              <w:rPr>
                <w:rFonts w:ascii="Times New Roman" w:cs="Times New Roman" w:eastAsia="Times New Roman" w:hAnsi="Times New Roman"/>
                <w:sz w:val="11"/>
                <w:szCs w:val="11"/>
                <w:color w:val="008000"/>
                <w:w w:val="93"/>
              </w:rPr>
              <w:t>(3)</w:t>
            </w:r>
          </w:p>
        </w:tc>
        <w:tc>
          <w:tcPr>
            <w:tcW w:w="4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Class A</w:t>
            </w:r>
          </w:p>
        </w:tc>
        <w:tc>
          <w:tcPr>
            <w:tcW w:w="160" w:type="dxa"/>
            <w:vAlign w:val="bottom"/>
          </w:tcPr>
          <w:p>
            <w:pPr>
              <w:spacing w:after="0"/>
              <w:rPr>
                <w:sz w:val="12"/>
                <w:szCs w:val="12"/>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196,000</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LP</w:t>
            </w:r>
          </w:p>
        </w:tc>
        <w:tc>
          <w:tcPr>
            <w:tcW w:w="78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05/16/2025</w:t>
            </w: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20" w:type="dxa"/>
            <w:vAlign w:val="bottom"/>
          </w:tcPr>
          <w:p>
            <w:pPr>
              <w:ind w:left="380"/>
              <w:spacing w:after="0" w:line="139" w:lineRule="exact"/>
              <w:rPr>
                <w:sz w:val="20"/>
                <w:szCs w:val="20"/>
                <w:color w:val="auto"/>
              </w:rPr>
            </w:pPr>
            <w:r>
              <w:rPr>
                <w:rFonts w:ascii="Times New Roman" w:cs="Times New Roman" w:eastAsia="Times New Roman" w:hAnsi="Times New Roman"/>
                <w:sz w:val="13"/>
                <w:szCs w:val="13"/>
                <w:color w:val="0000FF"/>
              </w:rPr>
              <w:t>196,000</w:t>
            </w:r>
          </w:p>
        </w:tc>
        <w:tc>
          <w:tcPr>
            <w:tcW w:w="6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2"/>
            <w:vMerge w:val="continue"/>
          </w:tcPr>
          <w:p>
            <w:pPr>
              <w:spacing w:after="0"/>
              <w:rPr>
                <w:sz w:val="12"/>
                <w:szCs w:val="12"/>
                <w:color w:val="auto"/>
              </w:rPr>
            </w:pPr>
          </w:p>
        </w:tc>
        <w:tc>
          <w:tcPr>
            <w:tcW w:w="740" w:type="dxa"/>
            <w:vAlign w:val="bottom"/>
            <w:gridSpan w:val="2"/>
          </w:tcPr>
          <w:p>
            <w:pPr>
              <w:jc w:val="center"/>
              <w:ind w:right="1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19.02</w:t>
            </w:r>
          </w:p>
        </w:tc>
        <w:tc>
          <w:tcPr>
            <w:tcW w:w="640" w:type="dxa"/>
            <w:vAlign w:val="bottom"/>
          </w:tcPr>
          <w:p>
            <w:pPr>
              <w:ind w:left="200"/>
              <w:spacing w:after="0" w:line="139" w:lineRule="exact"/>
              <w:rPr>
                <w:sz w:val="20"/>
                <w:szCs w:val="20"/>
                <w:color w:val="auto"/>
              </w:rPr>
            </w:pPr>
            <w:r>
              <w:rPr>
                <w:rFonts w:ascii="Times New Roman" w:cs="Times New Roman" w:eastAsia="Times New Roman" w:hAnsi="Times New Roman"/>
                <w:sz w:val="13"/>
                <w:szCs w:val="13"/>
                <w:color w:val="0000FF"/>
                <w:w w:val="99"/>
              </w:rPr>
              <w:t>395,083</w:t>
            </w:r>
          </w:p>
        </w:tc>
        <w:tc>
          <w:tcPr>
            <w:tcW w:w="900" w:type="dxa"/>
            <w:vAlign w:val="bottom"/>
          </w:tcPr>
          <w:p>
            <w:pPr>
              <w:ind w:left="5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24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exchange of PWP OpCo Units (as defined below) for an equal number of Class A Shares (as defined below). In connection with the exchange, an equal number of Class B-1 Shares (as defined below) were surrendered to the Issuer and converted into Class A Shares at a conversion rate of 0.001 Class A Share for one Class B Share.</w:t>
      </w:r>
    </w:p>
    <w:p>
      <w:pPr>
        <w:spacing w:after="0" w:line="20" w:lineRule="exact"/>
        <w:rPr>
          <w:rFonts w:ascii="Times New Roman" w:cs="Times New Roman" w:eastAsia="Times New Roman" w:hAnsi="Times New Roman"/>
          <w:sz w:val="13"/>
          <w:szCs w:val="13"/>
          <w:color w:val="008000"/>
        </w:rPr>
      </w:pPr>
    </w:p>
    <w:p>
      <w:pPr>
        <w:ind w:left="40" w:right="220" w:hanging="1"/>
        <w:spacing w:after="0" w:line="233"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Concurrently with an exchange of PWP Holdings LP Common Units (which represent Class A partnership units of PWP Holdings LP) ("PWP OpCo Units") for shares of Class A common stock ("Class A Shares") or cash by a PWP Holdings LP unitholder ("Unitholder") who also holds shares of Class B-1 common stock ("Class B-1 Shares"), such Unitholder will be required to surrender to the Issuer a number of Class B-1 Shares equal to the number of PWP OpCo Units exchanged, and such Class B-1 Shares will be converted into Class A Shares or, at the option of the Issuer, for an equivalent amount of cash, which will be delivered to such Unitholder at a conversion rate of 0.001 Class A Share for one Class B-1 Share.</w:t>
      </w:r>
    </w:p>
    <w:p>
      <w:pPr>
        <w:spacing w:after="0" w:line="25" w:lineRule="exact"/>
        <w:rPr>
          <w:rFonts w:ascii="Times New Roman" w:cs="Times New Roman" w:eastAsia="Times New Roman" w:hAnsi="Times New Roman"/>
          <w:sz w:val="13"/>
          <w:szCs w:val="13"/>
          <w:color w:val="008000"/>
        </w:rPr>
      </w:pPr>
    </w:p>
    <w:p>
      <w:pPr>
        <w:ind w:left="40" w:right="22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certain lock-up periods, PWP OpCo Units, upon the surrender of an equal number of Class B-1 Shares, may be exchanged for Class A Shares on a one-for-one basis or, at the option of the Issuer, for an equivalent amount of cash. PWP OpCo Units do not expire.</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6" w:lineRule="exact"/>
        <w:rPr>
          <w:sz w:val="24"/>
          <w:szCs w:val="24"/>
          <w:color w:val="auto"/>
        </w:rPr>
      </w:pPr>
    </w:p>
    <w:p>
      <w:pPr>
        <w:ind w:left="40" w:right="240"/>
        <w:spacing w:after="0" w:line="228" w:lineRule="auto"/>
        <w:rPr>
          <w:sz w:val="20"/>
          <w:szCs w:val="20"/>
          <w:color w:val="auto"/>
        </w:rPr>
      </w:pPr>
      <w:r>
        <w:rPr>
          <w:rFonts w:ascii="Times New Roman" w:cs="Times New Roman" w:eastAsia="Times New Roman" w:hAnsi="Times New Roman"/>
          <w:sz w:val="13"/>
          <w:szCs w:val="13"/>
          <w:color w:val="008000"/>
        </w:rPr>
        <w:t>The PWP OpCo Units and Class B Shares reported herein were previously held directly by PWP Professional Partners LP ("Professional Partners"). Professional Partners was an aggregator partnership through which certain partners held interests in PWP Holdings LP ("PWP OpCo"), the entity through which the Issuer holds its advisory business. On December 31, 2023, as part of an internal reorganization and in accordance with Section 17-220 of the Delaware Revised Uniform Limited Partnership Act (the "Act"), Professional Partners was divided into: (i) PWP VoteCo Professionals LP ("VoteCo Professionals"), (ii) PWP AdCo Professionals LP ("AdCo Professionals") and (iii) Professional Partners, which was the "surviving partnership" under the Act (the "Division"). Professional Partners changed its name to PWP AmCo Professionals LP in connection with the Division. In the Division, (i) Class B-1 Shares previously held by Professional Partners were allocated to VoteCo Professionals, and (ii) PWP OpCo Units previously held by Professional Partners were allocated to AdCo Professionals. On April 1, 2024, as part of this internal reorganization, AdCo Professionals merged with and into PWP OpCo (the "Merger"). This Division and Merger did not involve any purchase or sale of Issuer securities or change in pecuniary interest by the reporting person.</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Mark Polemeni, as Attorney- </w:t>
      </w:r>
      <w:r>
        <w:rPr>
          <w:rFonts w:ascii="Times New Roman" w:cs="Times New Roman" w:eastAsia="Times New Roman" w:hAnsi="Times New Roman"/>
          <w:sz w:val="31"/>
          <w:szCs w:val="31"/>
          <w:color w:val="0000FF"/>
          <w:vertAlign w:val="subscript"/>
        </w:rPr>
        <w:t>05/19/2025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-26035</wp:posOffset>
            </wp:positionV>
            <wp:extent cx="1341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-15240</wp:posOffset>
            </wp:positionV>
            <wp:extent cx="295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5275"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-79375</wp:posOffset>
            </wp:positionV>
            <wp:extent cx="474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498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91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80592" TargetMode="External"/><Relationship Id="rId14"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2025-05-19T16:31:19Z</dcterms:created>
  <dcterms:modified xsi:type="dcterms:W3CDTF">2025-05-19T16:31:19Z</dcterms:modified>
</cp:coreProperties>
</file>