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8, 2024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2024, Perella Weinberg Partners (the “Company”) issued a press release announcing its financial results for the fiscal quarter ended December 31, 2023.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February 8, 2023</w:t>
            </w:r>
          </w:p>
        </w:tc>
        <w:tc>
          <w:tcPr>
            <w:tcW w:w="542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8, 2024</w:t>
      </w:r>
    </w:p>
    <w:p>
      <w:pPr>
        <w:sectPr>
          <w:pgSz w:w="11900" w:h="16838" w:orient="portrait"/>
          <w:cols w:equalWidth="0" w:num="1">
            <w:col w:w="10920"/>
          </w:cols>
          <w:pgMar w:left="320" w:top="779"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29"/>
          <w:szCs w:val="29"/>
          <w:color w:val="auto"/>
        </w:rPr>
        <w:t>Perella Weinberg Reports Full Year and Fourth Quarter 2023 Results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Full Year</w:t>
      </w:r>
    </w:p>
    <w:p>
      <w:pPr>
        <w:spacing w:after="0" w:line="191"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$649 Million, Up 3%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Pre-tax Income of $55 Million, GAAP Pre-tax Loss of $(113) Million</w:t>
      </w:r>
    </w:p>
    <w:p>
      <w:pPr>
        <w:spacing w:after="0" w:line="187" w:lineRule="exact"/>
        <w:rPr>
          <w:rFonts w:ascii="Times New Roman" w:cs="Times New Roman" w:eastAsia="Times New Roman" w:hAnsi="Times New Roman"/>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EPS of $0.45; GAAP Diluted EPS of $(1.33)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Fourth Quarter</w:t>
      </w:r>
    </w:p>
    <w:p>
      <w:pPr>
        <w:spacing w:after="0" w:line="191"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$213 Million, Up 16%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Pre-tax Income of $11 Million, GAAP Pre-tax Loss of $(44) Million</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of $0.08; GAAP Diluted EPS of $(0.49)</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w:t>
      </w:r>
    </w:p>
    <w:p>
      <w:pPr>
        <w:spacing w:after="0" w:line="191" w:lineRule="exact"/>
        <w:rPr>
          <w:sz w:val="20"/>
          <w:szCs w:val="20"/>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Continue to Add Senior Bankers to Expand Client Coverage Footprint and Accelerate Growth</w:t>
      </w:r>
    </w:p>
    <w:p>
      <w:pPr>
        <w:spacing w:after="0" w:line="188"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Added Seven Partners and Seven Managing Directors in 2023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91" w:lineRule="exact"/>
        <w:rPr>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Strong Balance Sheet with $338 Million of Cash and Short-Term Investments and No Debt</w:t>
      </w:r>
    </w:p>
    <w:p>
      <w:pPr>
        <w:spacing w:after="0" w:line="175" w:lineRule="exact"/>
        <w:rPr>
          <w:rFonts w:ascii="Arial" w:cs="Arial" w:eastAsia="Arial" w:hAnsi="Arial"/>
          <w:sz w:val="20"/>
          <w:szCs w:val="20"/>
          <w:i w:val="1"/>
          <w:iCs w:val="1"/>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Repurchased 4 Million Shares and Equivalents in 2023</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Returned $65 Million in total to equity holders in 2023</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8890"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240" w:right="140"/>
        <w:spacing w:after="0" w:line="320" w:lineRule="auto"/>
        <w:rPr>
          <w:sz w:val="20"/>
          <w:szCs w:val="20"/>
          <w:color w:val="auto"/>
        </w:rPr>
      </w:pPr>
      <w:r>
        <w:rPr>
          <w:rFonts w:ascii="Arial" w:cs="Arial" w:eastAsia="Arial" w:hAnsi="Arial"/>
          <w:sz w:val="20"/>
          <w:szCs w:val="20"/>
          <w:color w:val="auto"/>
        </w:rPr>
        <w:t>“We are pleased with our 2023 financial performance, having delivered year-over-year revenue growth in challenging market conditions, demonstrating that we are a trusted and valued partner to our clients in any environment. We begin 2024 with positive momentum, evidenced by our growing transaction backlog and our leading role in recently announced transactions,” stated Andrew Bednar, Chief Executive Officer.</w:t>
      </w:r>
    </w:p>
    <w:p>
      <w:pPr>
        <w:spacing w:after="0" w:line="200" w:lineRule="exact"/>
        <w:rPr>
          <w:sz w:val="20"/>
          <w:szCs w:val="20"/>
          <w:color w:val="auto"/>
        </w:rPr>
      </w:pPr>
    </w:p>
    <w:p>
      <w:pPr>
        <w:spacing w:after="0" w:line="232" w:lineRule="exact"/>
        <w:rPr>
          <w:sz w:val="20"/>
          <w:szCs w:val="20"/>
          <w:color w:val="auto"/>
        </w:rPr>
      </w:pPr>
    </w:p>
    <w:p>
      <w:pPr>
        <w:ind w:right="20"/>
        <w:spacing w:after="0" w:line="344" w:lineRule="auto"/>
        <w:rPr>
          <w:sz w:val="20"/>
          <w:szCs w:val="20"/>
          <w:color w:val="auto"/>
        </w:rPr>
      </w:pPr>
      <w:r>
        <w:rPr>
          <w:rFonts w:ascii="Arial" w:cs="Arial" w:eastAsia="Arial" w:hAnsi="Arial"/>
          <w:sz w:val="20"/>
          <w:szCs w:val="20"/>
          <w:b w:val="1"/>
          <w:bCs w:val="1"/>
          <w:color w:val="auto"/>
        </w:rPr>
        <w:t xml:space="preserve">NEW YORK, NY, February 8, 2024 </w:t>
      </w:r>
      <w:r>
        <w:rPr>
          <w:rFonts w:ascii="Arial" w:cs="Arial" w:eastAsia="Arial" w:hAnsi="Arial"/>
          <w:sz w:val="20"/>
          <w:szCs w:val="20"/>
          <w:color w:val="auto"/>
        </w:rPr>
        <w:t>– Perella Weinberg Partners (the “Firm” or “PWP”) (NASDAQ:PWP) today reported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full year and fourth quarter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Revenues</w:t>
      </w:r>
    </w:p>
    <w:p>
      <w:pPr>
        <w:spacing w:after="0" w:line="299"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For the twelve months ended December 31, 2023, revenues were $648.7 million, an increase of 3% from $631.5 million for the same period a year ago. Revenues attributed to mergers and acquisition activity were up period-over-period, while financing and capital solutions revenues were lower due to a few large financing fees in the prior year period, which offset positive current year performance in the restructuring business.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For the fourth quarter of 2023, revenues were $212.7 million, an increase of 16% from $183.1 million for the fourth quarter of 2022. Financing and capital solutions revenues were up, driven by a few large restructuring fees, with revenues attributed to mergers and acquisition activity also up period-over-period.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pacing w:after="0" w:line="45"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40" w:type="dxa"/>
            <w:vAlign w:val="bottom"/>
            <w:tcBorders>
              <w:bottom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3100" w:type="dxa"/>
            <w:vAlign w:val="bottom"/>
            <w:tcBorders>
              <w:bottom w:val="single" w:sz="8" w:color="B6B6B6"/>
            </w:tcBorders>
            <w:gridSpan w:val="5"/>
          </w:tcPr>
          <w:p>
            <w:pPr>
              <w:jc w:val="right"/>
              <w:spacing w:after="0"/>
              <w:rPr>
                <w:sz w:val="20"/>
                <w:szCs w:val="20"/>
                <w:color w:val="auto"/>
              </w:rPr>
            </w:pPr>
            <w:r>
              <w:rPr>
                <w:rFonts w:ascii="Arial" w:cs="Arial" w:eastAsia="Arial" w:hAnsi="Arial"/>
                <w:sz w:val="18"/>
                <w:szCs w:val="18"/>
                <w:b w:val="1"/>
                <w:bCs w:val="1"/>
                <w:color w:val="503C64"/>
                <w:w w:val="98"/>
              </w:rPr>
              <w:t>Twelve Months Ended December 31,</w:t>
            </w:r>
          </w:p>
        </w:tc>
        <w:tc>
          <w:tcPr>
            <w:tcW w:w="90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B6B6B6"/>
            </w:tcBorders>
          </w:tcPr>
          <w:p>
            <w:pPr>
              <w:spacing w:after="0"/>
              <w:rPr>
                <w:sz w:val="19"/>
                <w:szCs w:val="19"/>
                <w:color w:val="auto"/>
              </w:rPr>
            </w:pPr>
          </w:p>
        </w:tc>
        <w:tc>
          <w:tcPr>
            <w:tcW w:w="240" w:type="dxa"/>
            <w:vAlign w:val="bottom"/>
            <w:tcBorders>
              <w:bottom w:val="single" w:sz="8" w:color="B6B6B6"/>
            </w:tcBorders>
          </w:tcPr>
          <w:p>
            <w:pPr>
              <w:spacing w:after="0"/>
              <w:rPr>
                <w:sz w:val="19"/>
                <w:szCs w:val="19"/>
                <w:color w:val="auto"/>
              </w:rPr>
            </w:pPr>
          </w:p>
        </w:tc>
        <w:tc>
          <w:tcPr>
            <w:tcW w:w="660" w:type="dxa"/>
            <w:vAlign w:val="bottom"/>
            <w:tcBorders>
              <w:bottom w:val="single" w:sz="8" w:color="B6B6B6"/>
            </w:tcBorders>
          </w:tcPr>
          <w:p>
            <w:pPr>
              <w:spacing w:after="0"/>
              <w:rPr>
                <w:sz w:val="19"/>
                <w:szCs w:val="19"/>
                <w:color w:val="auto"/>
              </w:rPr>
            </w:pPr>
          </w:p>
        </w:tc>
        <w:tc>
          <w:tcPr>
            <w:tcW w:w="560" w:type="dxa"/>
            <w:vAlign w:val="bottom"/>
            <w:tcBorders>
              <w:bottom w:val="single" w:sz="8" w:color="B6B6B6"/>
            </w:tcBorders>
          </w:tcPr>
          <w:p>
            <w:pPr>
              <w:jc w:val="right"/>
              <w:spacing w:after="0"/>
              <w:rPr>
                <w:sz w:val="20"/>
                <w:szCs w:val="20"/>
                <w:color w:val="auto"/>
              </w:rPr>
            </w:pPr>
            <w:r>
              <w:rPr>
                <w:rFonts w:ascii="Arial" w:cs="Arial" w:eastAsia="Arial" w:hAnsi="Arial"/>
                <w:sz w:val="18"/>
                <w:szCs w:val="18"/>
                <w:b w:val="1"/>
                <w:bCs w:val="1"/>
                <w:color w:val="503C64"/>
              </w:rPr>
              <w:t>2023</w:t>
            </w:r>
          </w:p>
        </w:tc>
        <w:tc>
          <w:tcPr>
            <w:tcW w:w="980" w:type="dxa"/>
            <w:vAlign w:val="bottom"/>
            <w:tcBorders>
              <w:bottom w:val="single" w:sz="8" w:color="B6B6B6"/>
            </w:tcBorders>
          </w:tcPr>
          <w:p>
            <w:pPr>
              <w:spacing w:after="0"/>
              <w:rPr>
                <w:sz w:val="19"/>
                <w:szCs w:val="19"/>
                <w:color w:val="auto"/>
              </w:rPr>
            </w:pPr>
          </w:p>
        </w:tc>
        <w:tc>
          <w:tcPr>
            <w:tcW w:w="280" w:type="dxa"/>
            <w:vAlign w:val="bottom"/>
            <w:tcBorders>
              <w:bottom w:val="single" w:sz="8" w:color="B6B6B6"/>
            </w:tcBorders>
          </w:tcPr>
          <w:p>
            <w:pPr>
              <w:spacing w:after="0"/>
              <w:rPr>
                <w:sz w:val="19"/>
                <w:szCs w:val="19"/>
                <w:color w:val="auto"/>
              </w:rPr>
            </w:pPr>
          </w:p>
        </w:tc>
        <w:tc>
          <w:tcPr>
            <w:tcW w:w="1280" w:type="dxa"/>
            <w:vAlign w:val="bottom"/>
            <w:tcBorders>
              <w:bottom w:val="single" w:sz="8" w:color="B6B6B6"/>
            </w:tcBorders>
            <w:gridSpan w:val="2"/>
          </w:tcPr>
          <w:p>
            <w:pPr>
              <w:jc w:val="right"/>
              <w:ind w:right="10"/>
              <w:spacing w:after="0"/>
              <w:rPr>
                <w:sz w:val="20"/>
                <w:szCs w:val="20"/>
                <w:color w:val="auto"/>
              </w:rPr>
            </w:pPr>
            <w:r>
              <w:rPr>
                <w:rFonts w:ascii="Arial" w:cs="Arial" w:eastAsia="Arial" w:hAnsi="Arial"/>
                <w:sz w:val="18"/>
                <w:szCs w:val="18"/>
                <w:b w:val="1"/>
                <w:bCs w:val="1"/>
                <w:color w:val="503C64"/>
              </w:rPr>
              <w:t>2022</w:t>
            </w:r>
          </w:p>
        </w:tc>
        <w:tc>
          <w:tcPr>
            <w:tcW w:w="90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380" w:type="dxa"/>
            <w:vAlign w:val="bottom"/>
            <w:vMerge w:val="restart"/>
          </w:tcPr>
          <w:p>
            <w:pPr>
              <w:jc w:val="center"/>
              <w:ind w:right="3530"/>
              <w:spacing w:after="0"/>
              <w:rPr>
                <w:sz w:val="20"/>
                <w:szCs w:val="20"/>
                <w:color w:val="auto"/>
              </w:rPr>
            </w:pPr>
            <w:r>
              <w:rPr>
                <w:rFonts w:ascii="Arial" w:cs="Arial" w:eastAsia="Arial" w:hAnsi="Arial"/>
                <w:sz w:val="18"/>
                <w:szCs w:val="18"/>
                <w:b w:val="1"/>
                <w:bCs w:val="1"/>
                <w:color w:val="auto"/>
                <w:w w:val="99"/>
              </w:rPr>
              <w:t>Operating expenses</w:t>
            </w:r>
          </w:p>
        </w:tc>
        <w:tc>
          <w:tcPr>
            <w:tcW w:w="240" w:type="dxa"/>
            <w:vAlign w:val="bottom"/>
            <w:tcBorders>
              <w:bottom w:val="single" w:sz="8" w:color="B6B6B6"/>
            </w:tcBorders>
          </w:tcPr>
          <w:p>
            <w:pPr>
              <w:spacing w:after="0"/>
              <w:rPr>
                <w:sz w:val="16"/>
                <w:szCs w:val="16"/>
                <w:color w:val="auto"/>
              </w:rPr>
            </w:pPr>
          </w:p>
        </w:tc>
        <w:tc>
          <w:tcPr>
            <w:tcW w:w="660" w:type="dxa"/>
            <w:vAlign w:val="bottom"/>
            <w:tcBorders>
              <w:bottom w:val="single" w:sz="8" w:color="B6B6B6"/>
            </w:tcBorders>
          </w:tcPr>
          <w:p>
            <w:pPr>
              <w:jc w:val="right"/>
              <w:ind w:right="34"/>
              <w:spacing w:after="0"/>
              <w:rPr>
                <w:sz w:val="20"/>
                <w:szCs w:val="20"/>
                <w:color w:val="auto"/>
              </w:rPr>
            </w:pPr>
            <w:r>
              <w:rPr>
                <w:rFonts w:ascii="Arial" w:cs="Arial" w:eastAsia="Arial" w:hAnsi="Arial"/>
                <w:sz w:val="14"/>
                <w:szCs w:val="14"/>
                <w:b w:val="1"/>
                <w:bCs w:val="1"/>
                <w:color w:val="503C64"/>
              </w:rPr>
              <w:t>GAAP</w:t>
            </w:r>
          </w:p>
        </w:tc>
        <w:tc>
          <w:tcPr>
            <w:tcW w:w="560" w:type="dxa"/>
            <w:vAlign w:val="bottom"/>
            <w:tcBorders>
              <w:bottom w:val="single" w:sz="8" w:color="B6B6B6"/>
            </w:tcBorders>
          </w:tcPr>
          <w:p>
            <w:pPr>
              <w:spacing w:after="0"/>
              <w:rPr>
                <w:sz w:val="16"/>
                <w:szCs w:val="16"/>
                <w:color w:val="auto"/>
              </w:rPr>
            </w:pPr>
          </w:p>
        </w:tc>
        <w:tc>
          <w:tcPr>
            <w:tcW w:w="980" w:type="dxa"/>
            <w:vAlign w:val="bottom"/>
            <w:tcBorders>
              <w:bottom w:val="single" w:sz="8" w:color="B6B6B6"/>
            </w:tcBorders>
          </w:tcPr>
          <w:p>
            <w:pPr>
              <w:jc w:val="right"/>
              <w:ind w:right="216"/>
              <w:spacing w:after="0"/>
              <w:rPr>
                <w:sz w:val="20"/>
                <w:szCs w:val="20"/>
                <w:color w:val="auto"/>
              </w:rPr>
            </w:pPr>
            <w:r>
              <w:rPr>
                <w:rFonts w:ascii="Arial" w:cs="Arial" w:eastAsia="Arial" w:hAnsi="Arial"/>
                <w:sz w:val="14"/>
                <w:szCs w:val="14"/>
                <w:b w:val="1"/>
                <w:bCs w:val="1"/>
                <w:color w:val="503C64"/>
              </w:rPr>
              <w:t>Adjusted</w:t>
            </w:r>
          </w:p>
        </w:tc>
        <w:tc>
          <w:tcPr>
            <w:tcW w:w="28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3"/>
              <w:spacing w:after="0"/>
              <w:rPr>
                <w:sz w:val="20"/>
                <w:szCs w:val="20"/>
                <w:color w:val="auto"/>
              </w:rPr>
            </w:pPr>
            <w:r>
              <w:rPr>
                <w:rFonts w:ascii="Arial" w:cs="Arial" w:eastAsia="Arial" w:hAnsi="Arial"/>
                <w:sz w:val="14"/>
                <w:szCs w:val="14"/>
                <w:b w:val="1"/>
                <w:bCs w:val="1"/>
                <w:color w:val="503C64"/>
              </w:rPr>
              <w:t>GAAP</w:t>
            </w:r>
          </w:p>
        </w:tc>
        <w:tc>
          <w:tcPr>
            <w:tcW w:w="32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17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5"/>
        </w:trPr>
        <w:tc>
          <w:tcPr>
            <w:tcW w:w="5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2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503C64"/>
              </w:rPr>
              <w:t>(Dollars in Millions)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80" w:type="dxa"/>
            <w:vAlign w:val="bottom"/>
          </w:tcPr>
          <w:p>
            <w:pPr>
              <w:ind w:left="120"/>
              <w:spacing w:after="0"/>
              <w:rPr>
                <w:sz w:val="20"/>
                <w:szCs w:val="20"/>
                <w:color w:val="auto"/>
              </w:rPr>
            </w:pPr>
            <w:r>
              <w:rPr>
                <w:rFonts w:ascii="Arial" w:cs="Arial" w:eastAsia="Arial" w:hAnsi="Arial"/>
                <w:sz w:val="18"/>
                <w:szCs w:val="18"/>
                <w:color w:val="auto"/>
              </w:rPr>
              <w:t>Total compensation and benefits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608.9</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454.6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545.5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27"/>
        </w:trPr>
        <w:tc>
          <w:tcPr>
            <w:tcW w:w="5380" w:type="dxa"/>
            <w:vAlign w:val="bottom"/>
          </w:tcPr>
          <w:p>
            <w:pPr>
              <w:jc w:val="center"/>
              <w:ind w:right="355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19"/>
                <w:szCs w:val="19"/>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8"/>
                <w:szCs w:val="18"/>
                <w:i w:val="1"/>
                <w:iCs w:val="1"/>
                <w:color w:val="auto"/>
              </w:rPr>
              <w:t>94 %</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70 %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86 %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67 %</w:t>
            </w:r>
          </w:p>
        </w:tc>
        <w:tc>
          <w:tcPr>
            <w:tcW w:w="0" w:type="dxa"/>
            <w:vAlign w:val="bottom"/>
          </w:tcPr>
          <w:p>
            <w:pPr>
              <w:spacing w:after="0"/>
              <w:rPr>
                <w:sz w:val="1"/>
                <w:szCs w:val="1"/>
                <w:color w:val="auto"/>
              </w:rPr>
            </w:pPr>
          </w:p>
        </w:tc>
      </w:tr>
      <w:tr>
        <w:trPr>
          <w:trHeight w:val="232"/>
        </w:trPr>
        <w:tc>
          <w:tcPr>
            <w:tcW w:w="538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154.8</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144.0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133.7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37"/>
        </w:trPr>
        <w:tc>
          <w:tcPr>
            <w:tcW w:w="5380" w:type="dxa"/>
            <w:vAlign w:val="bottom"/>
          </w:tcPr>
          <w:p>
            <w:pPr>
              <w:jc w:val="center"/>
              <w:ind w:right="355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8"/>
                <w:szCs w:val="18"/>
                <w:i w:val="1"/>
                <w:iCs w:val="1"/>
                <w:color w:val="auto"/>
              </w:rPr>
              <w:t>24 %</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Twelve Months Ended</w:t>
      </w:r>
    </w:p>
    <w:p>
      <w:pPr>
        <w:spacing w:after="0" w:line="31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GAAP total compensation and benefits were $608.9 million for the twelve months ended December 31, 2023, compared to $545.5 million for the prior year period. Adjusted total compensation and benefits were $454.6 million for the twelve months ended December 31, 2023 as compared to $421.1 million for the same period a year ago. The increase in both GAAP total compensation and benefits and adjusted total compensation and benefits was the result of a higher compensation margin on a higher revenue base. On a GAAP basis, total compensation and benefits included the impact of business realignment costs associated with headcount reductions undertaken in 2023 to improve compensation alignment and to provide for greater flexibility to advance strategic opportunities.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8"/>
        <w:spacing w:after="0" w:line="259"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sectPr>
      </w:pPr>
    </w:p>
    <w:bookmarkStart w:id="5" w:name="page6"/>
    <w:bookmarkEnd w:id="5"/>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3" w:lineRule="auto"/>
        <w:rPr>
          <w:sz w:val="20"/>
          <w:szCs w:val="20"/>
          <w:color w:val="auto"/>
        </w:rPr>
      </w:pPr>
      <w:r>
        <w:rPr>
          <w:rFonts w:ascii="Arial" w:cs="Arial" w:eastAsia="Arial" w:hAnsi="Arial"/>
          <w:sz w:val="20"/>
          <w:szCs w:val="20"/>
          <w:color w:val="auto"/>
        </w:rPr>
        <w:t>GAAP non-compensation expenses were $154.8 million for the twelve months ended December 31, 2023, compared with $133.7 million for the prior year period. Adjusted non-compensation expenses were $144.0 million for the twelve months ended December 31, 2023, compared with $123.1 million for the same period a year ago. The increase in both GAAP non-compensation expenses and adjusted non-compensation expenses was largely driven by an increase in legal spend, travel and related expenses, technology investments, and higher rent and occupancy costs associated with overlapping rent periods and a related step-up in depreciation expense tied to our New York and London office renovation and relocation, partially offset by a reduction in non-legal professional fees, as well as lower D&amp;O insurance costs versus the prior year period. GAAP non-compensation expenses also included certain expenses related to a settlement we reached with the staff of the U.S. Securities and Exchange Commission (the “SEC”) in connection with self-reporting relating to recordkeeping of business communications on “off-channel” messaging applications (the “Settlement”).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40" w:type="dxa"/>
            <w:vAlign w:val="bottom"/>
          </w:tcPr>
          <w:p>
            <w:pPr>
              <w:spacing w:after="0"/>
              <w:rPr>
                <w:sz w:val="20"/>
                <w:szCs w:val="20"/>
                <w:color w:val="auto"/>
              </w:rPr>
            </w:pPr>
          </w:p>
        </w:tc>
        <w:tc>
          <w:tcPr>
            <w:tcW w:w="260" w:type="dxa"/>
            <w:vAlign w:val="bottom"/>
            <w:tcBorders>
              <w:bottom w:val="single" w:sz="8" w:color="B6B6B6"/>
            </w:tcBorders>
          </w:tcPr>
          <w:p>
            <w:pPr>
              <w:spacing w:after="0"/>
              <w:rPr>
                <w:sz w:val="20"/>
                <w:szCs w:val="20"/>
                <w:color w:val="auto"/>
              </w:rPr>
            </w:pPr>
          </w:p>
        </w:tc>
        <w:tc>
          <w:tcPr>
            <w:tcW w:w="720" w:type="dxa"/>
            <w:vAlign w:val="bottom"/>
            <w:tcBorders>
              <w:bottom w:val="single" w:sz="8" w:color="B6B6B6"/>
            </w:tcBorders>
          </w:tcPr>
          <w:p>
            <w:pPr>
              <w:spacing w:after="0"/>
              <w:rPr>
                <w:sz w:val="20"/>
                <w:szCs w:val="20"/>
                <w:color w:val="auto"/>
              </w:rPr>
            </w:pPr>
          </w:p>
        </w:tc>
        <w:tc>
          <w:tcPr>
            <w:tcW w:w="3080" w:type="dxa"/>
            <w:vAlign w:val="bottom"/>
            <w:tcBorders>
              <w:bottom w:val="single" w:sz="8" w:color="B6B6B6"/>
            </w:tcBorders>
            <w:gridSpan w:val="6"/>
          </w:tcPr>
          <w:p>
            <w:pPr>
              <w:jc w:val="right"/>
              <w:spacing w:after="0"/>
              <w:rPr>
                <w:sz w:val="20"/>
                <w:szCs w:val="20"/>
                <w:color w:val="auto"/>
              </w:rPr>
            </w:pPr>
            <w:r>
              <w:rPr>
                <w:rFonts w:ascii="Arial" w:cs="Arial" w:eastAsia="Arial" w:hAnsi="Arial"/>
                <w:sz w:val="18"/>
                <w:szCs w:val="18"/>
                <w:b w:val="1"/>
                <w:bCs w:val="1"/>
                <w:color w:val="503C64"/>
                <w:w w:val="99"/>
              </w:rPr>
              <w:t>Three Months Ended December 31,</w:t>
            </w:r>
          </w:p>
        </w:tc>
        <w:tc>
          <w:tcPr>
            <w:tcW w:w="9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B6B6B6"/>
            </w:tcBorders>
          </w:tcPr>
          <w:p>
            <w:pPr>
              <w:spacing w:after="0"/>
              <w:rPr>
                <w:sz w:val="19"/>
                <w:szCs w:val="19"/>
                <w:color w:val="auto"/>
              </w:rPr>
            </w:pPr>
          </w:p>
        </w:tc>
        <w:tc>
          <w:tcPr>
            <w:tcW w:w="260" w:type="dxa"/>
            <w:vAlign w:val="bottom"/>
            <w:tcBorders>
              <w:bottom w:val="single" w:sz="8" w:color="B6B6B6"/>
            </w:tcBorders>
          </w:tcPr>
          <w:p>
            <w:pPr>
              <w:spacing w:after="0"/>
              <w:rPr>
                <w:sz w:val="19"/>
                <w:szCs w:val="19"/>
                <w:color w:val="auto"/>
              </w:rPr>
            </w:pPr>
          </w:p>
        </w:tc>
        <w:tc>
          <w:tcPr>
            <w:tcW w:w="720" w:type="dxa"/>
            <w:vAlign w:val="bottom"/>
            <w:tcBorders>
              <w:bottom w:val="single" w:sz="8" w:color="B6B6B6"/>
            </w:tcBorders>
          </w:tcPr>
          <w:p>
            <w:pPr>
              <w:spacing w:after="0"/>
              <w:rPr>
                <w:sz w:val="19"/>
                <w:szCs w:val="19"/>
                <w:color w:val="auto"/>
              </w:rPr>
            </w:pPr>
          </w:p>
        </w:tc>
        <w:tc>
          <w:tcPr>
            <w:tcW w:w="520" w:type="dxa"/>
            <w:vAlign w:val="bottom"/>
            <w:tcBorders>
              <w:bottom w:val="single" w:sz="8" w:color="B6B6B6"/>
            </w:tcBorders>
          </w:tcPr>
          <w:p>
            <w:pPr>
              <w:jc w:val="right"/>
              <w:spacing w:after="0"/>
              <w:rPr>
                <w:sz w:val="20"/>
                <w:szCs w:val="20"/>
                <w:color w:val="auto"/>
              </w:rPr>
            </w:pPr>
            <w:r>
              <w:rPr>
                <w:rFonts w:ascii="Arial" w:cs="Arial" w:eastAsia="Arial" w:hAnsi="Arial"/>
                <w:sz w:val="18"/>
                <w:szCs w:val="18"/>
                <w:b w:val="1"/>
                <w:bCs w:val="1"/>
                <w:color w:val="503C64"/>
              </w:rPr>
              <w:t>2023</w:t>
            </w:r>
          </w:p>
        </w:tc>
        <w:tc>
          <w:tcPr>
            <w:tcW w:w="960" w:type="dxa"/>
            <w:vAlign w:val="bottom"/>
            <w:tcBorders>
              <w:bottom w:val="single" w:sz="8" w:color="B6B6B6"/>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B6B6B6"/>
            </w:tcBorders>
          </w:tcPr>
          <w:p>
            <w:pPr>
              <w:spacing w:after="0"/>
              <w:rPr>
                <w:sz w:val="19"/>
                <w:szCs w:val="19"/>
                <w:color w:val="auto"/>
              </w:rPr>
            </w:pPr>
          </w:p>
        </w:tc>
        <w:tc>
          <w:tcPr>
            <w:tcW w:w="126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2022</w:t>
            </w:r>
          </w:p>
        </w:tc>
        <w:tc>
          <w:tcPr>
            <w:tcW w:w="94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40" w:type="dxa"/>
            <w:vAlign w:val="bottom"/>
            <w:vMerge w:val="restart"/>
          </w:tcPr>
          <w:p>
            <w:pPr>
              <w:jc w:val="center"/>
              <w:ind w:right="4390"/>
              <w:spacing w:after="0"/>
              <w:rPr>
                <w:sz w:val="20"/>
                <w:szCs w:val="20"/>
                <w:color w:val="auto"/>
              </w:rPr>
            </w:pPr>
            <w:r>
              <w:rPr>
                <w:rFonts w:ascii="Arial" w:cs="Arial" w:eastAsia="Arial" w:hAnsi="Arial"/>
                <w:sz w:val="18"/>
                <w:szCs w:val="18"/>
                <w:b w:val="1"/>
                <w:bCs w:val="1"/>
                <w:color w:val="auto"/>
                <w:w w:val="99"/>
              </w:rPr>
              <w:t>Operating expenses</w:t>
            </w:r>
          </w:p>
        </w:tc>
        <w:tc>
          <w:tcPr>
            <w:tcW w:w="260" w:type="dxa"/>
            <w:vAlign w:val="bottom"/>
            <w:tcBorders>
              <w:bottom w:val="single" w:sz="8" w:color="B6B6B6"/>
            </w:tcBorders>
          </w:tcPr>
          <w:p>
            <w:pPr>
              <w:spacing w:after="0"/>
              <w:rPr>
                <w:sz w:val="16"/>
                <w:szCs w:val="16"/>
                <w:color w:val="auto"/>
              </w:rPr>
            </w:pPr>
          </w:p>
        </w:tc>
        <w:tc>
          <w:tcPr>
            <w:tcW w:w="720" w:type="dxa"/>
            <w:vAlign w:val="bottom"/>
            <w:tcBorders>
              <w:bottom w:val="single" w:sz="8" w:color="B6B6B6"/>
            </w:tcBorders>
          </w:tcPr>
          <w:p>
            <w:pPr>
              <w:jc w:val="right"/>
              <w:ind w:right="94"/>
              <w:spacing w:after="0"/>
              <w:rPr>
                <w:sz w:val="20"/>
                <w:szCs w:val="20"/>
                <w:color w:val="auto"/>
              </w:rPr>
            </w:pPr>
            <w:r>
              <w:rPr>
                <w:rFonts w:ascii="Arial" w:cs="Arial" w:eastAsia="Arial" w:hAnsi="Arial"/>
                <w:sz w:val="14"/>
                <w:szCs w:val="14"/>
                <w:b w:val="1"/>
                <w:bCs w:val="1"/>
                <w:color w:val="503C64"/>
              </w:rPr>
              <w:t>GAAP</w:t>
            </w:r>
          </w:p>
        </w:tc>
        <w:tc>
          <w:tcPr>
            <w:tcW w:w="52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gridSpan w:val="2"/>
          </w:tcPr>
          <w:p>
            <w:pPr>
              <w:ind w:left="60"/>
              <w:spacing w:after="0"/>
              <w:rPr>
                <w:sz w:val="20"/>
                <w:szCs w:val="20"/>
                <w:color w:val="auto"/>
              </w:rPr>
            </w:pPr>
            <w:r>
              <w:rPr>
                <w:rFonts w:ascii="Arial" w:cs="Arial" w:eastAsia="Arial" w:hAnsi="Arial"/>
                <w:sz w:val="14"/>
                <w:szCs w:val="14"/>
                <w:b w:val="1"/>
                <w:bCs w:val="1"/>
                <w:color w:val="503C64"/>
              </w:rPr>
              <w:t>Adjusted</w:t>
            </w:r>
          </w:p>
        </w:tc>
        <w:tc>
          <w:tcPr>
            <w:tcW w:w="26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3"/>
              <w:spacing w:after="0"/>
              <w:rPr>
                <w:sz w:val="20"/>
                <w:szCs w:val="20"/>
                <w:color w:val="auto"/>
              </w:rPr>
            </w:pPr>
            <w:r>
              <w:rPr>
                <w:rFonts w:ascii="Arial" w:cs="Arial" w:eastAsia="Arial" w:hAnsi="Arial"/>
                <w:sz w:val="14"/>
                <w:szCs w:val="14"/>
                <w:b w:val="1"/>
                <w:bCs w:val="1"/>
                <w:color w:val="503C64"/>
              </w:rPr>
              <w:t>GAAP</w:t>
            </w:r>
          </w:p>
        </w:tc>
        <w:tc>
          <w:tcPr>
            <w:tcW w:w="30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jc w:val="right"/>
              <w:ind w:right="19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5"/>
        </w:trPr>
        <w:tc>
          <w:tcPr>
            <w:tcW w:w="6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503C64"/>
              </w:rPr>
              <w:t>(Dollars 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40" w:type="dxa"/>
            <w:vAlign w:val="bottom"/>
          </w:tcPr>
          <w:p>
            <w:pPr>
              <w:ind w:left="120"/>
              <w:spacing w:after="0"/>
              <w:rPr>
                <w:sz w:val="20"/>
                <w:szCs w:val="20"/>
                <w:color w:val="auto"/>
              </w:rPr>
            </w:pPr>
            <w:r>
              <w:rPr>
                <w:rFonts w:ascii="Arial" w:cs="Arial" w:eastAsia="Arial" w:hAnsi="Arial"/>
                <w:sz w:val="18"/>
                <w:szCs w:val="18"/>
                <w:color w:val="auto"/>
              </w:rPr>
              <w:t>Total compensation and benefits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215.1</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6"/>
              <w:spacing w:after="0"/>
              <w:rPr>
                <w:sz w:val="20"/>
                <w:szCs w:val="20"/>
                <w:color w:val="auto"/>
              </w:rPr>
            </w:pPr>
            <w:r>
              <w:rPr>
                <w:rFonts w:ascii="Arial" w:cs="Arial" w:eastAsia="Arial" w:hAnsi="Arial"/>
                <w:sz w:val="18"/>
                <w:szCs w:val="18"/>
                <w:color w:val="auto"/>
              </w:rPr>
              <w:t>162.7</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167.1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7"/>
        </w:trPr>
        <w:tc>
          <w:tcPr>
            <w:tcW w:w="6240" w:type="dxa"/>
            <w:vAlign w:val="bottom"/>
          </w:tcPr>
          <w:p>
            <w:pPr>
              <w:jc w:val="center"/>
              <w:ind w:right="4370"/>
              <w:spacing w:after="0"/>
              <w:rPr>
                <w:sz w:val="20"/>
                <w:szCs w:val="20"/>
                <w:color w:val="auto"/>
              </w:rPr>
            </w:pPr>
            <w:r>
              <w:rPr>
                <w:rFonts w:ascii="Arial" w:cs="Arial" w:eastAsia="Arial" w:hAnsi="Arial"/>
                <w:sz w:val="18"/>
                <w:szCs w:val="18"/>
                <w:i w:val="1"/>
                <w:iCs w:val="1"/>
                <w:color w:val="auto"/>
                <w:w w:val="99"/>
              </w:rPr>
              <w:t>% of Revenues</w:t>
            </w:r>
          </w:p>
        </w:tc>
        <w:tc>
          <w:tcPr>
            <w:tcW w:w="260" w:type="dxa"/>
            <w:vAlign w:val="bottom"/>
          </w:tcPr>
          <w:p>
            <w:pPr>
              <w:spacing w:after="0"/>
              <w:rPr>
                <w:sz w:val="19"/>
                <w:szCs w:val="19"/>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i w:val="1"/>
                <w:iCs w:val="1"/>
                <w:color w:val="auto"/>
              </w:rPr>
              <w:t>101 %</w:t>
            </w: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76 %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91 %</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73 %</w:t>
            </w:r>
          </w:p>
        </w:tc>
        <w:tc>
          <w:tcPr>
            <w:tcW w:w="0" w:type="dxa"/>
            <w:vAlign w:val="bottom"/>
          </w:tcPr>
          <w:p>
            <w:pPr>
              <w:spacing w:after="0"/>
              <w:rPr>
                <w:sz w:val="1"/>
                <w:szCs w:val="1"/>
                <w:color w:val="auto"/>
              </w:rPr>
            </w:pPr>
          </w:p>
        </w:tc>
      </w:tr>
      <w:tr>
        <w:trPr>
          <w:trHeight w:val="232"/>
        </w:trPr>
        <w:tc>
          <w:tcPr>
            <w:tcW w:w="624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41.5</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6"/>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35.6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7"/>
        </w:trPr>
        <w:tc>
          <w:tcPr>
            <w:tcW w:w="6240" w:type="dxa"/>
            <w:vAlign w:val="bottom"/>
          </w:tcPr>
          <w:p>
            <w:pPr>
              <w:jc w:val="center"/>
              <w:ind w:right="4370"/>
              <w:spacing w:after="0"/>
              <w:rPr>
                <w:sz w:val="20"/>
                <w:szCs w:val="20"/>
                <w:color w:val="auto"/>
              </w:rPr>
            </w:pPr>
            <w:r>
              <w:rPr>
                <w:rFonts w:ascii="Arial" w:cs="Arial" w:eastAsia="Arial" w:hAnsi="Arial"/>
                <w:sz w:val="18"/>
                <w:szCs w:val="18"/>
                <w:i w:val="1"/>
                <w:iCs w:val="1"/>
                <w:color w:val="auto"/>
                <w:w w:val="99"/>
              </w:rPr>
              <w:t>% of Revenues</w:t>
            </w:r>
          </w:p>
        </w:tc>
        <w:tc>
          <w:tcPr>
            <w:tcW w:w="260" w:type="dxa"/>
            <w:vAlign w:val="bottom"/>
          </w:tcPr>
          <w:p>
            <w:pPr>
              <w:spacing w:after="0"/>
              <w:rPr>
                <w:sz w:val="20"/>
                <w:szCs w:val="20"/>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i w:val="1"/>
                <w:iCs w:val="1"/>
                <w:color w:val="auto"/>
              </w:rPr>
              <w:t>20 %</w:t>
            </w: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Three Months Ended</w:t>
      </w:r>
    </w:p>
    <w:p>
      <w:pPr>
        <w:spacing w:after="0" w:line="391"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GAAP total compensation and benefits were $215.1 million for the fourth quarter of 2023, compared to $167.1 million for the fourth quarter of 2022. Adjusted total compensation and benefits were $162.7 million for the fourth quarter of 2023 as compared to $134.1 million for the same period a year ago. The increase in both GAAP total compensation and benefits and adjusted total compensation and benefits was the result of a higher compensation margin on a higher revenue base. On a GAAP basis, total compensation and benefits included the impact of aforementioned business realignment costs.</w:t>
      </w:r>
    </w:p>
    <w:p>
      <w:pPr>
        <w:spacing w:after="0" w:line="204"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GAAP non-compensation expenses were $41.5 million for the fourth quarter of 2023, compared with $35.6 million for the fourth quarter of 2022. Adjusted non-compensation expenses were $38.9 million for the fourth quarter of 2023, compared with $32.1 million for the same period a year ago. The increase in both GAAP non-compensation expenses and adjusted non-compensation expenses was largely driven by higher legal spend, a step-up in depreciation expense tied to our New York and London office renovation and relocation, an increase in travel and related expenses, and technology investments, partially offset by lower rent and occupancy costs due to the roll off of overlapping rent periods versus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8"/>
        <w:spacing w:after="0" w:line="259"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Provision for Income Taxes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Perella Weinberg Partners currently owns 51.79% of the operating partnership (PWP Holdings LP) and is subject to U.S. federal and state corporate income tax on its allocable share of earnings. Income earned by the operating partnership is subject to certain state, local, and foreign income taxes.</w:t>
      </w:r>
    </w:p>
    <w:p>
      <w:pPr>
        <w:spacing w:after="0" w:line="197"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purposes of calculating adjusted if-converted net income, we have presented our results as if all partnership units had been converted to shares of Class A Common Stock, and as if all of our adjusted income for the period was subject to U.S. corporate income tax. For the twelve months ended December 31, 2023, the effective tax rate for adjusted if-converted net income was 27%. This tax rate includes a one-time tax benefit recognized in the second quarter of 2023 due to the release of a tax reserve at one of our foreign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As of December 31, 2023, PWP had $338.3 million of cash and short-term investments in U.S. Treasury securities. The Firm has no outstanding indebtedness and has an undrawn revolving credit facility.</w:t>
      </w:r>
    </w:p>
    <w:p>
      <w:pPr>
        <w:spacing w:after="0" w:line="182"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During the twelve months ended December 31, 2023, PWP returned $64.6 million in aggregate to our equity holders through (i) the repurchase of 2,376,683 shares at an average price per share of $9.46 in open market transactions pursuant to PWP’s Class A common stock repurchase program, (ii) the net settlement of 1,636,948 share equivalents to satisfy statutory tax withholding obligations at an average price per share of $10.23 and (iii) the payment of $25.4 million in pro rata distributions to limited partners which allowed PWP to pay its dividends of $13.1 million on Class A common stock.</w:t>
      </w:r>
    </w:p>
    <w:p>
      <w:pPr>
        <w:spacing w:after="0" w:line="204"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During the twelve months ended December 31, 2023, PWP made $9.1 million of cash payments related to the business realignment. Current expectations include future cash payments of approximately $15 million related to the business realignment, substantially all of which are expected to be paid during the first half of 2024.</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March 11, 2024 to Class A common stockholders of record on February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8"/>
        <w:spacing w:after="0" w:line="259"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Conference Call and Webcast</w:t>
      </w:r>
    </w:p>
    <w:p>
      <w:pPr>
        <w:spacing w:after="0" w:line="299" w:lineRule="exact"/>
        <w:rPr>
          <w:sz w:val="20"/>
          <w:szCs w:val="20"/>
          <w:color w:val="auto"/>
        </w:rPr>
      </w:pPr>
    </w:p>
    <w:p>
      <w:pPr>
        <w:ind w:right="20"/>
        <w:spacing w:after="0" w:line="342" w:lineRule="auto"/>
        <w:rPr>
          <w:sz w:val="20"/>
          <w:szCs w:val="20"/>
          <w:color w:val="auto"/>
        </w:rPr>
      </w:pPr>
      <w:r>
        <w:rPr>
          <w:rFonts w:ascii="Arial" w:cs="Arial" w:eastAsia="Arial" w:hAnsi="Arial"/>
          <w:sz w:val="20"/>
          <w:szCs w:val="20"/>
          <w:color w:val="auto"/>
        </w:rPr>
        <w:t>Management will host a webcast and conference call on Thursday, February 8, 2024 at 9:00 am ET to discuss PWP’s financial results for the full year and fourth quarter ended December 31, 2023.</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will be made available in the Investors section of PWP’s website at https://investors.pwpartners.com/.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Domestic: (800) 343-4136</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International: (203) 518-9848</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Conference ID: PWPQ423</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Replay</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A replay of the call will also be available two hours after the live call through February 15, 2024. To access the replay, dial (800) 723-0498 (Domestic) or (402) 220-2652 (International). The replay can also be accessed on the Investors section of PWP’s website at https://investors.pwpartners.com/.</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For those who listen to the rebroadcast of the call, we remind you that the remarks made are as of February 8, 2024, and have not been updated subsequent to the initial earnings call.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PWP</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700 employees, PWP currently maintains offices in New York, London, Houston, San Francisco, Paris, Los Angeles, Chicago, Calgary, Denver, and Munich. The financial information of PWP herein refers to the business operations of PWP Holdings LP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2" w:right="339" w:bottom="1440" w:gutter="0" w:footer="0" w:header="0"/>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31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296" w:lineRule="exact"/>
        <w:rPr>
          <w:sz w:val="20"/>
          <w:szCs w:val="20"/>
          <w:color w:val="auto"/>
        </w:rPr>
      </w:pPr>
    </w:p>
    <w:p>
      <w:pPr>
        <w:jc w:val="both"/>
        <w:ind w:firstLine="8"/>
        <w:spacing w:after="0" w:line="259" w:lineRule="auto"/>
        <w:tabs>
          <w:tab w:leader="none" w:pos="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15"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SEC on February 28, 2023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8"/>
        <w:spacing w:after="0" w:line="259" w:lineRule="auto"/>
        <w:tabs>
          <w:tab w:leader="none" w:pos="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503C64"/>
              </w:rPr>
              <w:t>Three Months Ended</w:t>
            </w:r>
          </w:p>
        </w:tc>
        <w:tc>
          <w:tcPr>
            <w:tcW w:w="280" w:type="dxa"/>
            <w:vAlign w:val="bottom"/>
          </w:tcPr>
          <w:p>
            <w:pPr>
              <w:spacing w:after="0"/>
              <w:rPr>
                <w:sz w:val="16"/>
                <w:szCs w:val="16"/>
                <w:color w:val="auto"/>
              </w:rPr>
            </w:pPr>
          </w:p>
        </w:tc>
        <w:tc>
          <w:tcPr>
            <w:tcW w:w="236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503C64"/>
              </w:rPr>
              <w:t>Twelve Months Ended</w:t>
            </w:r>
          </w:p>
        </w:tc>
      </w:tr>
      <w:tr>
        <w:trPr>
          <w:trHeight w:val="223"/>
        </w:trPr>
        <w:tc>
          <w:tcPr>
            <w:tcW w:w="5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503C64"/>
              </w:rPr>
              <w:t>December 31,</w:t>
            </w:r>
          </w:p>
        </w:tc>
        <w:tc>
          <w:tcPr>
            <w:tcW w:w="280" w:type="dxa"/>
            <w:vAlign w:val="bottom"/>
          </w:tcPr>
          <w:p>
            <w:pPr>
              <w:spacing w:after="0"/>
              <w:rPr>
                <w:sz w:val="19"/>
                <w:szCs w:val="19"/>
                <w:color w:val="auto"/>
              </w:rPr>
            </w:pPr>
          </w:p>
        </w:tc>
        <w:tc>
          <w:tcPr>
            <w:tcW w:w="236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503C64"/>
              </w:rPr>
              <w:t>December 31,</w:t>
            </w:r>
          </w:p>
        </w:tc>
      </w:tr>
      <w:tr>
        <w:trPr>
          <w:trHeight w:val="21"/>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r>
      <w:tr>
        <w:trPr>
          <w:trHeight w:val="195"/>
        </w:trPr>
        <w:tc>
          <w:tcPr>
            <w:tcW w:w="5900" w:type="dxa"/>
            <w:vAlign w:val="bottom"/>
            <w:tcBorders>
              <w:bottom w:val="single" w:sz="8" w:color="B6B6B6"/>
            </w:tcBorders>
          </w:tcPr>
          <w:p>
            <w:pPr>
              <w:spacing w:after="0"/>
              <w:rPr>
                <w:sz w:val="16"/>
                <w:szCs w:val="16"/>
                <w:color w:val="auto"/>
              </w:rPr>
            </w:pPr>
          </w:p>
        </w:tc>
        <w:tc>
          <w:tcPr>
            <w:tcW w:w="80" w:type="dxa"/>
            <w:vAlign w:val="bottom"/>
            <w:tcBorders>
              <w:bottom w:val="single" w:sz="8" w:color="B6B6B6"/>
            </w:tcBorders>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2022</w:t>
            </w:r>
          </w:p>
        </w:tc>
      </w:tr>
      <w:tr>
        <w:trPr>
          <w:trHeight w:val="210"/>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212,678</w:t>
            </w:r>
          </w:p>
        </w:tc>
        <w:tc>
          <w:tcPr>
            <w:tcW w:w="300" w:type="dxa"/>
            <w:vAlign w:val="bottom"/>
            <w:shd w:val="clear" w:color="auto" w:fill="E3E1E9"/>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183,148</w:t>
            </w:r>
          </w:p>
        </w:tc>
        <w:tc>
          <w:tcPr>
            <w:tcW w:w="2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648,652</w:t>
            </w:r>
          </w:p>
        </w:tc>
        <w:tc>
          <w:tcPr>
            <w:tcW w:w="2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631,507</w:t>
            </w: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590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165,521</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127,241</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426,572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391,333</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49,600</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39,842</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182,375</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154,158</w:t>
            </w:r>
          </w:p>
        </w:tc>
      </w:tr>
      <w:tr>
        <w:trPr>
          <w:trHeight w:val="216"/>
        </w:trPr>
        <w:tc>
          <w:tcPr>
            <w:tcW w:w="590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215,121</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167,083</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608,947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545,491</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13,094</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8,922</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39,640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34,824</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8,612</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7,670</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34,462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30,084</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6,033</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7,387</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26,891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24,898</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5,396</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4,187</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19,030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13,034</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3,877</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4,801</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20,103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20,215</w:t>
            </w:r>
          </w:p>
        </w:tc>
      </w:tr>
      <w:tr>
        <w:trPr>
          <w:trHeight w:val="217"/>
        </w:trPr>
        <w:tc>
          <w:tcPr>
            <w:tcW w:w="59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4,511</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2,641</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14,679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10,694</w:t>
            </w:r>
          </w:p>
        </w:tc>
      </w:tr>
      <w:tr>
        <w:trPr>
          <w:trHeight w:val="217"/>
        </w:trPr>
        <w:tc>
          <w:tcPr>
            <w:tcW w:w="590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256,644</w:t>
            </w:r>
          </w:p>
        </w:tc>
        <w:tc>
          <w:tcPr>
            <w:tcW w:w="300" w:type="dxa"/>
            <w:vAlign w:val="bottom"/>
            <w:shd w:val="clear" w:color="auto" w:fill="E3E1E9"/>
          </w:tcPr>
          <w:p>
            <w:pPr>
              <w:spacing w:after="0"/>
              <w:rPr>
                <w:sz w:val="18"/>
                <w:szCs w:val="18"/>
                <w:color w:val="auto"/>
              </w:rPr>
            </w:pPr>
          </w:p>
        </w:tc>
        <w:tc>
          <w:tcPr>
            <w:tcW w:w="10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202,691</w:t>
            </w:r>
          </w:p>
        </w:tc>
        <w:tc>
          <w:tcPr>
            <w:tcW w:w="280" w:type="dxa"/>
            <w:vAlign w:val="bottom"/>
            <w:shd w:val="clear" w:color="auto" w:fill="E3E1E9"/>
          </w:tcPr>
          <w:p>
            <w:pPr>
              <w:spacing w:after="0"/>
              <w:rPr>
                <w:sz w:val="18"/>
                <w:szCs w:val="18"/>
                <w:color w:val="auto"/>
              </w:rPr>
            </w:pPr>
          </w:p>
        </w:tc>
        <w:tc>
          <w:tcPr>
            <w:tcW w:w="10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763,752</w:t>
            </w:r>
          </w:p>
        </w:tc>
        <w:tc>
          <w:tcPr>
            <w:tcW w:w="28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679,240</w:t>
            </w: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(43,966)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(19,543)</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(115,100)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(47,733)</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5900" w:type="dxa"/>
            <w:vAlign w:val="bottom"/>
          </w:tcPr>
          <w:p>
            <w:pPr>
              <w:ind w:left="180"/>
              <w:spacing w:after="0"/>
              <w:rPr>
                <w:sz w:val="20"/>
                <w:szCs w:val="20"/>
                <w:color w:val="auto"/>
              </w:rPr>
            </w:pPr>
            <w:r>
              <w:rPr>
                <w:rFonts w:ascii="Arial" w:cs="Arial" w:eastAsia="Arial" w:hAnsi="Arial"/>
                <w:sz w:val="16"/>
                <w:szCs w:val="16"/>
                <w:color w:val="auto"/>
              </w:rPr>
              <w:t>Related party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557</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2,805</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(4,000)</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1,348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7,702</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Change in fair value of warrant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15,806</w:t>
            </w:r>
          </w:p>
        </w:tc>
      </w:tr>
      <w:tr>
        <w:trPr>
          <w:trHeight w:val="216"/>
        </w:trPr>
        <w:tc>
          <w:tcPr>
            <w:tcW w:w="590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(3,443)</w:t>
            </w: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2,280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26,313</w:t>
            </w:r>
          </w:p>
        </w:tc>
      </w:tr>
      <w:tr>
        <w:trPr>
          <w:trHeight w:val="21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(43,944)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(22,986)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(112,820)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(21,420)</w:t>
            </w:r>
          </w:p>
        </w:tc>
      </w:tr>
      <w:tr>
        <w:trPr>
          <w:trHeight w:val="216"/>
        </w:trPr>
        <w:tc>
          <w:tcPr>
            <w:tcW w:w="590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(1,532)</w:t>
            </w:r>
          </w:p>
        </w:tc>
        <w:tc>
          <w:tcPr>
            <w:tcW w:w="30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(380)</w:t>
            </w:r>
          </w:p>
        </w:tc>
        <w:tc>
          <w:tcPr>
            <w:tcW w:w="280" w:type="dxa"/>
            <w:vAlign w:val="bottom"/>
            <w:tcBorders>
              <w:bottom w:val="single" w:sz="8" w:color="B6B6B6"/>
            </w:tcBorders>
          </w:tcPr>
          <w:p>
            <w:pPr>
              <w:spacing w:after="0"/>
              <w:rPr>
                <w:sz w:val="18"/>
                <w:szCs w:val="18"/>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(980)</w:t>
            </w:r>
          </w:p>
        </w:tc>
        <w:tc>
          <w:tcPr>
            <w:tcW w:w="28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10,327</w:t>
            </w: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(42,412)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(22,606)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(111,840)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(31,747)</w:t>
            </w:r>
          </w:p>
        </w:tc>
      </w:tr>
      <w:tr>
        <w:trPr>
          <w:trHeight w:val="21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(32,002)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(21,185)</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(94,617)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(49,625)</w:t>
            </w:r>
          </w:p>
        </w:tc>
      </w:tr>
      <w:tr>
        <w:trPr>
          <w:trHeight w:val="216"/>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(10,410)</w:t>
            </w:r>
          </w:p>
        </w:tc>
        <w:tc>
          <w:tcPr>
            <w:tcW w:w="300" w:type="dxa"/>
            <w:vAlign w:val="bottom"/>
            <w:shd w:val="clear" w:color="auto" w:fill="E3E1E9"/>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(1,421)</w:t>
            </w:r>
          </w:p>
        </w:tc>
        <w:tc>
          <w:tcPr>
            <w:tcW w:w="2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(17,223)</w:t>
            </w:r>
          </w:p>
        </w:tc>
        <w:tc>
          <w:tcPr>
            <w:tcW w:w="2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17,878</w:t>
            </w:r>
          </w:p>
        </w:tc>
      </w:tr>
      <w:tr>
        <w:trPr>
          <w:trHeight w:val="216"/>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60" w:type="dxa"/>
            <w:vAlign w:val="bottom"/>
            <w:shd w:val="clear" w:color="auto" w:fill="E3E1E9"/>
          </w:tcPr>
          <w:p>
            <w:pPr>
              <w:spacing w:after="0"/>
              <w:rPr>
                <w:sz w:val="18"/>
                <w:szCs w:val="18"/>
                <w:color w:val="auto"/>
              </w:rPr>
            </w:pPr>
          </w:p>
        </w:tc>
        <w:tc>
          <w:tcPr>
            <w:tcW w:w="300" w:type="dxa"/>
            <w:vAlign w:val="bottom"/>
            <w:shd w:val="clear" w:color="auto" w:fill="E3E1E9"/>
          </w:tcPr>
          <w:p>
            <w:pPr>
              <w:spacing w:after="0"/>
              <w:rPr>
                <w:sz w:val="18"/>
                <w:szCs w:val="18"/>
                <w:color w:val="auto"/>
              </w:rPr>
            </w:pPr>
          </w:p>
        </w:tc>
        <w:tc>
          <w:tcPr>
            <w:tcW w:w="1040" w:type="dxa"/>
            <w:vAlign w:val="bottom"/>
            <w:shd w:val="clear" w:color="auto" w:fill="E3E1E9"/>
          </w:tcPr>
          <w:p>
            <w:pPr>
              <w:spacing w:after="0"/>
              <w:rPr>
                <w:sz w:val="18"/>
                <w:szCs w:val="18"/>
                <w:color w:val="auto"/>
              </w:rPr>
            </w:pPr>
          </w:p>
        </w:tc>
        <w:tc>
          <w:tcPr>
            <w:tcW w:w="280" w:type="dxa"/>
            <w:vAlign w:val="bottom"/>
            <w:shd w:val="clear" w:color="auto" w:fill="E3E1E9"/>
          </w:tcPr>
          <w:p>
            <w:pPr>
              <w:spacing w:after="0"/>
              <w:rPr>
                <w:sz w:val="18"/>
                <w:szCs w:val="18"/>
                <w:color w:val="auto"/>
              </w:rPr>
            </w:pPr>
          </w:p>
        </w:tc>
        <w:tc>
          <w:tcPr>
            <w:tcW w:w="1060" w:type="dxa"/>
            <w:vAlign w:val="bottom"/>
            <w:shd w:val="clear" w:color="auto" w:fill="E3E1E9"/>
          </w:tcPr>
          <w:p>
            <w:pPr>
              <w:spacing w:after="0"/>
              <w:rPr>
                <w:sz w:val="18"/>
                <w:szCs w:val="18"/>
                <w:color w:val="auto"/>
              </w:rPr>
            </w:pPr>
          </w:p>
        </w:tc>
        <w:tc>
          <w:tcPr>
            <w:tcW w:w="280" w:type="dxa"/>
            <w:vAlign w:val="bottom"/>
            <w:shd w:val="clear" w:color="auto" w:fill="E3E1E9"/>
          </w:tcPr>
          <w:p>
            <w:pPr>
              <w:spacing w:after="0"/>
              <w:rPr>
                <w:sz w:val="18"/>
                <w:szCs w:val="18"/>
                <w:color w:val="auto"/>
              </w:rPr>
            </w:pPr>
          </w:p>
        </w:tc>
        <w:tc>
          <w:tcPr>
            <w:tcW w:w="1020" w:type="dxa"/>
            <w:vAlign w:val="bottom"/>
            <w:shd w:val="clear" w:color="auto" w:fill="E3E1E9"/>
          </w:tcPr>
          <w:p>
            <w:pPr>
              <w:spacing w:after="0"/>
              <w:rPr>
                <w:sz w:val="18"/>
                <w:szCs w:val="18"/>
                <w:color w:val="auto"/>
              </w:rPr>
            </w:pPr>
          </w:p>
        </w:tc>
      </w:tr>
      <w:tr>
        <w:trPr>
          <w:trHeight w:val="215"/>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(0.23)</w:t>
            </w:r>
          </w:p>
        </w:tc>
        <w:tc>
          <w:tcPr>
            <w:tcW w:w="300" w:type="dxa"/>
            <w:vAlign w:val="bottom"/>
            <w:shd w:val="clear" w:color="auto" w:fill="E3E1E9"/>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(0.03)</w:t>
            </w:r>
          </w:p>
        </w:tc>
        <w:tc>
          <w:tcPr>
            <w:tcW w:w="2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(0.40)</w:t>
            </w:r>
          </w:p>
        </w:tc>
        <w:tc>
          <w:tcPr>
            <w:tcW w:w="2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0.41</w:t>
            </w:r>
          </w:p>
        </w:tc>
      </w:tr>
      <w:tr>
        <w:trPr>
          <w:trHeight w:val="215"/>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(0.49)</w:t>
            </w:r>
          </w:p>
        </w:tc>
        <w:tc>
          <w:tcPr>
            <w:tcW w:w="300" w:type="dxa"/>
            <w:vAlign w:val="bottom"/>
            <w:shd w:val="clear" w:color="auto" w:fill="E3E1E9"/>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(0.28)</w:t>
            </w:r>
          </w:p>
        </w:tc>
        <w:tc>
          <w:tcPr>
            <w:tcW w:w="2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(1.33)</w:t>
            </w:r>
          </w:p>
        </w:tc>
        <w:tc>
          <w:tcPr>
            <w:tcW w:w="2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(0.46)</w:t>
            </w:r>
          </w:p>
        </w:tc>
      </w:tr>
      <w:tr>
        <w:trPr>
          <w:trHeight w:val="218"/>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60" w:type="dxa"/>
            <w:vAlign w:val="bottom"/>
            <w:shd w:val="clear" w:color="auto" w:fill="E3E1E9"/>
          </w:tcPr>
          <w:p>
            <w:pPr>
              <w:spacing w:after="0"/>
              <w:rPr>
                <w:sz w:val="18"/>
                <w:szCs w:val="18"/>
                <w:color w:val="auto"/>
              </w:rPr>
            </w:pPr>
          </w:p>
        </w:tc>
        <w:tc>
          <w:tcPr>
            <w:tcW w:w="300" w:type="dxa"/>
            <w:vAlign w:val="bottom"/>
            <w:shd w:val="clear" w:color="auto" w:fill="E3E1E9"/>
          </w:tcPr>
          <w:p>
            <w:pPr>
              <w:spacing w:after="0"/>
              <w:rPr>
                <w:sz w:val="18"/>
                <w:szCs w:val="18"/>
                <w:color w:val="auto"/>
              </w:rPr>
            </w:pPr>
          </w:p>
        </w:tc>
        <w:tc>
          <w:tcPr>
            <w:tcW w:w="1040" w:type="dxa"/>
            <w:vAlign w:val="bottom"/>
            <w:shd w:val="clear" w:color="auto" w:fill="E3E1E9"/>
          </w:tcPr>
          <w:p>
            <w:pPr>
              <w:spacing w:after="0"/>
              <w:rPr>
                <w:sz w:val="18"/>
                <w:szCs w:val="18"/>
                <w:color w:val="auto"/>
              </w:rPr>
            </w:pPr>
          </w:p>
        </w:tc>
        <w:tc>
          <w:tcPr>
            <w:tcW w:w="280" w:type="dxa"/>
            <w:vAlign w:val="bottom"/>
            <w:shd w:val="clear" w:color="auto" w:fill="E3E1E9"/>
          </w:tcPr>
          <w:p>
            <w:pPr>
              <w:spacing w:after="0"/>
              <w:rPr>
                <w:sz w:val="18"/>
                <w:szCs w:val="18"/>
                <w:color w:val="auto"/>
              </w:rPr>
            </w:pPr>
          </w:p>
        </w:tc>
        <w:tc>
          <w:tcPr>
            <w:tcW w:w="1060" w:type="dxa"/>
            <w:vAlign w:val="bottom"/>
            <w:shd w:val="clear" w:color="auto" w:fill="E3E1E9"/>
          </w:tcPr>
          <w:p>
            <w:pPr>
              <w:spacing w:after="0"/>
              <w:rPr>
                <w:sz w:val="18"/>
                <w:szCs w:val="18"/>
                <w:color w:val="auto"/>
              </w:rPr>
            </w:pPr>
          </w:p>
        </w:tc>
        <w:tc>
          <w:tcPr>
            <w:tcW w:w="280" w:type="dxa"/>
            <w:vAlign w:val="bottom"/>
            <w:shd w:val="clear" w:color="auto" w:fill="E3E1E9"/>
          </w:tcPr>
          <w:p>
            <w:pPr>
              <w:spacing w:after="0"/>
              <w:rPr>
                <w:sz w:val="18"/>
                <w:szCs w:val="18"/>
                <w:color w:val="auto"/>
              </w:rPr>
            </w:pPr>
          </w:p>
        </w:tc>
        <w:tc>
          <w:tcPr>
            <w:tcW w:w="1020" w:type="dxa"/>
            <w:vAlign w:val="bottom"/>
            <w:shd w:val="clear" w:color="auto" w:fill="E3E1E9"/>
          </w:tcPr>
          <w:p>
            <w:pPr>
              <w:spacing w:after="0"/>
              <w:rPr>
                <w:sz w:val="18"/>
                <w:szCs w:val="18"/>
                <w:color w:val="auto"/>
              </w:rPr>
            </w:pPr>
          </w:p>
        </w:tc>
      </w:tr>
      <w:tr>
        <w:trPr>
          <w:trHeight w:val="215"/>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44,884,305</w:t>
            </w:r>
          </w:p>
        </w:tc>
        <w:tc>
          <w:tcPr>
            <w:tcW w:w="300" w:type="dxa"/>
            <w:vAlign w:val="bottom"/>
            <w:shd w:val="clear" w:color="auto" w:fill="E3E1E9"/>
          </w:tcPr>
          <w:p>
            <w:pPr>
              <w:spacing w:after="0"/>
              <w:rPr>
                <w:sz w:val="18"/>
                <w:szCs w:val="18"/>
                <w:color w:val="auto"/>
              </w:rPr>
            </w:pPr>
          </w:p>
        </w:tc>
        <w:tc>
          <w:tcPr>
            <w:tcW w:w="10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42,638,357</w:t>
            </w:r>
          </w:p>
        </w:tc>
        <w:tc>
          <w:tcPr>
            <w:tcW w:w="280" w:type="dxa"/>
            <w:vAlign w:val="bottom"/>
            <w:shd w:val="clear" w:color="auto" w:fill="E3E1E9"/>
          </w:tcPr>
          <w:p>
            <w:pPr>
              <w:spacing w:after="0"/>
              <w:rPr>
                <w:sz w:val="18"/>
                <w:szCs w:val="18"/>
                <w:color w:val="auto"/>
              </w:rPr>
            </w:pPr>
          </w:p>
        </w:tc>
        <w:tc>
          <w:tcPr>
            <w:tcW w:w="10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43,273,939</w:t>
            </w:r>
          </w:p>
        </w:tc>
        <w:tc>
          <w:tcPr>
            <w:tcW w:w="28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43,837,640</w:t>
            </w:r>
          </w:p>
        </w:tc>
      </w:tr>
      <w:tr>
        <w:trPr>
          <w:trHeight w:val="217"/>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87,329,418</w:t>
            </w:r>
          </w:p>
        </w:tc>
        <w:tc>
          <w:tcPr>
            <w:tcW w:w="300" w:type="dxa"/>
            <w:vAlign w:val="bottom"/>
            <w:shd w:val="clear" w:color="auto" w:fill="E3E1E9"/>
          </w:tcPr>
          <w:p>
            <w:pPr>
              <w:spacing w:after="0"/>
              <w:rPr>
                <w:sz w:val="18"/>
                <w:szCs w:val="18"/>
                <w:color w:val="auto"/>
              </w:rPr>
            </w:pPr>
          </w:p>
        </w:tc>
        <w:tc>
          <w:tcPr>
            <w:tcW w:w="10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87,442,255</w:t>
            </w:r>
          </w:p>
        </w:tc>
        <w:tc>
          <w:tcPr>
            <w:tcW w:w="280" w:type="dxa"/>
            <w:vAlign w:val="bottom"/>
            <w:shd w:val="clear" w:color="auto" w:fill="E3E1E9"/>
          </w:tcPr>
          <w:p>
            <w:pPr>
              <w:spacing w:after="0"/>
              <w:rPr>
                <w:sz w:val="18"/>
                <w:szCs w:val="18"/>
                <w:color w:val="auto"/>
              </w:rPr>
            </w:pPr>
          </w:p>
        </w:tc>
        <w:tc>
          <w:tcPr>
            <w:tcW w:w="10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86,779,052</w:t>
            </w:r>
          </w:p>
        </w:tc>
        <w:tc>
          <w:tcPr>
            <w:tcW w:w="28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89,755,632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2" w:right="3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332"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503C64"/>
              </w:rPr>
              <w:t>Three Months Ended</w:t>
            </w:r>
          </w:p>
        </w:tc>
        <w:tc>
          <w:tcPr>
            <w:tcW w:w="220" w:type="dxa"/>
            <w:vAlign w:val="bottom"/>
          </w:tcPr>
          <w:p>
            <w:pPr>
              <w:spacing w:after="0"/>
              <w:rPr>
                <w:sz w:val="16"/>
                <w:szCs w:val="16"/>
                <w:color w:val="auto"/>
              </w:rPr>
            </w:pPr>
          </w:p>
        </w:tc>
        <w:tc>
          <w:tcPr>
            <w:tcW w:w="2160" w:type="dxa"/>
            <w:vAlign w:val="bottom"/>
            <w:gridSpan w:val="3"/>
          </w:tcPr>
          <w:p>
            <w:pPr>
              <w:jc w:val="right"/>
              <w:ind w:right="268"/>
              <w:spacing w:after="0"/>
              <w:rPr>
                <w:sz w:val="20"/>
                <w:szCs w:val="20"/>
                <w:color w:val="auto"/>
              </w:rPr>
            </w:pPr>
            <w:r>
              <w:rPr>
                <w:rFonts w:ascii="Arial" w:cs="Arial" w:eastAsia="Arial" w:hAnsi="Arial"/>
                <w:sz w:val="16"/>
                <w:szCs w:val="16"/>
                <w:b w:val="1"/>
                <w:bCs w:val="1"/>
                <w:color w:val="503C64"/>
              </w:rPr>
              <w:t>Twelve Months Ended</w:t>
            </w:r>
          </w:p>
        </w:tc>
      </w:tr>
      <w:tr>
        <w:trPr>
          <w:trHeight w:val="223"/>
        </w:trPr>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503C64"/>
              </w:rPr>
              <w:t>December 31,</w:t>
            </w:r>
          </w:p>
        </w:tc>
        <w:tc>
          <w:tcPr>
            <w:tcW w:w="220" w:type="dxa"/>
            <w:vAlign w:val="bottom"/>
          </w:tcPr>
          <w:p>
            <w:pPr>
              <w:spacing w:after="0"/>
              <w:rPr>
                <w:sz w:val="19"/>
                <w:szCs w:val="19"/>
                <w:color w:val="auto"/>
              </w:rPr>
            </w:pPr>
          </w:p>
        </w:tc>
        <w:tc>
          <w:tcPr>
            <w:tcW w:w="2160" w:type="dxa"/>
            <w:vAlign w:val="bottom"/>
            <w:gridSpan w:val="3"/>
          </w:tcPr>
          <w:p>
            <w:pPr>
              <w:jc w:val="right"/>
              <w:ind w:right="588"/>
              <w:spacing w:after="0"/>
              <w:rPr>
                <w:sz w:val="20"/>
                <w:szCs w:val="20"/>
                <w:color w:val="auto"/>
              </w:rPr>
            </w:pPr>
            <w:r>
              <w:rPr>
                <w:rFonts w:ascii="Arial" w:cs="Arial" w:eastAsia="Arial" w:hAnsi="Arial"/>
                <w:sz w:val="16"/>
                <w:szCs w:val="16"/>
                <w:b w:val="1"/>
                <w:bCs w:val="1"/>
                <w:color w:val="503C64"/>
              </w:rPr>
              <w:t>December 31,</w:t>
            </w:r>
          </w:p>
        </w:tc>
      </w:tr>
      <w:tr>
        <w:trPr>
          <w:trHeight w:val="21"/>
        </w:trPr>
        <w:tc>
          <w:tcPr>
            <w:tcW w:w="570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r>
      <w:tr>
        <w:trPr>
          <w:trHeight w:val="195"/>
        </w:trPr>
        <w:tc>
          <w:tcPr>
            <w:tcW w:w="5700" w:type="dxa"/>
            <w:vAlign w:val="bottom"/>
            <w:tcBorders>
              <w:bottom w:val="single" w:sz="8" w:color="B6B6B6"/>
            </w:tcBorders>
          </w:tcPr>
          <w:p>
            <w:pPr>
              <w:spacing w:after="0"/>
              <w:rPr>
                <w:sz w:val="16"/>
                <w:szCs w:val="16"/>
                <w:color w:val="auto"/>
              </w:rPr>
            </w:pPr>
          </w:p>
        </w:tc>
        <w:tc>
          <w:tcPr>
            <w:tcW w:w="24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B6B6B6"/>
            </w:tcBorders>
          </w:tcPr>
          <w:p>
            <w:pPr>
              <w:spacing w:after="0"/>
              <w:rPr>
                <w:sz w:val="16"/>
                <w:szCs w:val="16"/>
                <w:color w:val="auto"/>
              </w:rPr>
            </w:pPr>
          </w:p>
        </w:tc>
        <w:tc>
          <w:tcPr>
            <w:tcW w:w="22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503C64"/>
              </w:rPr>
              <w:t>2023</w:t>
            </w:r>
          </w:p>
        </w:tc>
        <w:tc>
          <w:tcPr>
            <w:tcW w:w="320" w:type="dxa"/>
            <w:vAlign w:val="bottom"/>
            <w:tcBorders>
              <w:bottom w:val="single" w:sz="8" w:color="B6B6B6"/>
            </w:tcBorders>
          </w:tcPr>
          <w:p>
            <w:pPr>
              <w:spacing w:after="0"/>
              <w:rPr>
                <w:sz w:val="16"/>
                <w:szCs w:val="16"/>
                <w:color w:val="auto"/>
              </w:rPr>
            </w:pPr>
          </w:p>
        </w:tc>
        <w:tc>
          <w:tcPr>
            <w:tcW w:w="88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503C64"/>
              </w:rPr>
              <w:t>2022</w:t>
            </w:r>
          </w:p>
        </w:tc>
      </w:tr>
      <w:tr>
        <w:trPr>
          <w:trHeight w:val="19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215,121</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167,083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608,947</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545,491</w:t>
            </w:r>
          </w:p>
        </w:tc>
      </w:tr>
      <w:tr>
        <w:trPr>
          <w:trHeight w:val="206"/>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(13,999)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(68,647)</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(74,616)</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(12,702)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(48,435)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(49,737)</w:t>
            </w:r>
          </w:p>
        </w:tc>
      </w:tr>
      <w:tr>
        <w:trPr>
          <w:trHeight w:val="201"/>
        </w:trPr>
        <w:tc>
          <w:tcPr>
            <w:tcW w:w="57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(25,768)</w:t>
            </w:r>
          </w:p>
        </w:tc>
        <w:tc>
          <w:tcPr>
            <w:tcW w:w="3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(37,265)</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162,652</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134,133</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454,600</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421,138</w:t>
            </w:r>
          </w:p>
        </w:tc>
      </w:tr>
      <w:tr>
        <w:trPr>
          <w:trHeight w:val="254"/>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41,523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35,608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154,805</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133,749</w:t>
            </w:r>
          </w:p>
        </w:tc>
      </w:tr>
      <w:tr>
        <w:trPr>
          <w:trHeight w:val="206"/>
        </w:trPr>
        <w:tc>
          <w:tcPr>
            <w:tcW w:w="5700" w:type="dxa"/>
            <w:vAlign w:val="bottom"/>
          </w:tcPr>
          <w:p>
            <w:pPr>
              <w:ind w:left="2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(6,580)</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(1,017)</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(3,392)</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(2,752)</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r>
      <w:tr>
        <w:trPr>
          <w:trHeight w:val="201"/>
        </w:trPr>
        <w:tc>
          <w:tcPr>
            <w:tcW w:w="57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(7)</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(809)</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700" w:type="dxa"/>
            <w:vAlign w:val="bottom"/>
            <w:shd w:val="clear" w:color="auto" w:fill="E3E1E9"/>
          </w:tcPr>
          <w:p>
            <w:pPr>
              <w:ind w:left="20"/>
              <w:spacing w:after="0" w:line="196"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(8)</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38,861</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32,131</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144,024</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123,116</w:t>
            </w:r>
          </w:p>
        </w:tc>
      </w:tr>
      <w:tr>
        <w:trPr>
          <w:trHeight w:val="254"/>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(43,966)</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(19,543)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(115,100)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(47,733)</w:t>
            </w:r>
          </w:p>
        </w:tc>
      </w:tr>
      <w:tr>
        <w:trPr>
          <w:trHeight w:val="206"/>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13,999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68,647</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74,616</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12,702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48,435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49,737</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25,768</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37,265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6,580</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1,017</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3,392</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2,752</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r>
      <w:tr>
        <w:trPr>
          <w:trHeight w:val="201"/>
        </w:trPr>
        <w:tc>
          <w:tcPr>
            <w:tcW w:w="57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(7)</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809</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 (loss)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11,165</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16,884</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50,028</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87,253</w:t>
            </w:r>
          </w:p>
        </w:tc>
      </w:tr>
      <w:tr>
        <w:trPr>
          <w:trHeight w:val="25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(43,944)</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(22,986)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(112,820)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(21,420)</w:t>
            </w:r>
          </w:p>
        </w:tc>
      </w:tr>
      <w:tr>
        <w:trPr>
          <w:trHeight w:val="206"/>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13,999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68,647</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74,616</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12,702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48,435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49,737</w:t>
            </w: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25,768</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37,265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6,580</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1,017</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3,392</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2,752</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(7)</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809</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57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(9)</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color w:val="auto"/>
              </w:rPr>
              <w:t>38</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2,763</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(15,657)</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(loss) before income taxes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11,225</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13,479</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55,071</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97,909</w:t>
            </w:r>
          </w:p>
        </w:tc>
      </w:tr>
      <w:tr>
        <w:trPr>
          <w:trHeight w:val="25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(1,532)</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(980)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10,327</w:t>
            </w:r>
          </w:p>
        </w:tc>
      </w:tr>
      <w:tr>
        <w:trPr>
          <w:trHeight w:val="204"/>
        </w:trPr>
        <w:tc>
          <w:tcPr>
            <w:tcW w:w="570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(10)</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color w:val="auto"/>
              </w:rPr>
              <w:t>3,329</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1,813</w:t>
            </w: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8,594</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5,959</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 (benefit)</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1,797</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1,433</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7,614</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16,286</w:t>
            </w:r>
          </w:p>
        </w:tc>
      </w:tr>
      <w:tr>
        <w:trPr>
          <w:trHeight w:val="25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(42,412)</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(22,606)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(111,840)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(31,747)</w:t>
            </w:r>
          </w:p>
        </w:tc>
      </w:tr>
      <w:tr>
        <w:trPr>
          <w:trHeight w:val="206"/>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13,999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68,647</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74,616</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12,702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48,435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49,737</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25,768</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37,265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6,580</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1,017</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3,392</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2,752</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(7)</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809</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(9)</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2,763</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(15,657)</w:t>
            </w:r>
          </w:p>
        </w:tc>
      </w:tr>
      <w:tr>
        <w:trPr>
          <w:trHeight w:val="201"/>
        </w:trPr>
        <w:tc>
          <w:tcPr>
            <w:tcW w:w="57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(10)</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(3,329)</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(1,813)</w:t>
            </w: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(8,594)</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(5,959)</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9,428</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12,046</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47,457</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81,623</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8" w:firstLine="8"/>
        <w:spacing w:after="0" w:line="259" w:lineRule="auto"/>
        <w:tabs>
          <w:tab w:leader="none" w:pos="88"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503C64"/>
              </w:rPr>
              <w:t>Three Months Ended</w:t>
            </w:r>
          </w:p>
        </w:tc>
        <w:tc>
          <w:tcPr>
            <w:tcW w:w="220" w:type="dxa"/>
            <w:vAlign w:val="bottom"/>
          </w:tcPr>
          <w:p>
            <w:pPr>
              <w:spacing w:after="0"/>
              <w:rPr>
                <w:sz w:val="16"/>
                <w:szCs w:val="16"/>
                <w:color w:val="auto"/>
              </w:rPr>
            </w:pPr>
          </w:p>
        </w:tc>
        <w:tc>
          <w:tcPr>
            <w:tcW w:w="2360" w:type="dxa"/>
            <w:vAlign w:val="bottom"/>
            <w:gridSpan w:val="3"/>
          </w:tcPr>
          <w:p>
            <w:pPr>
              <w:jc w:val="right"/>
              <w:ind w:right="368"/>
              <w:spacing w:after="0"/>
              <w:rPr>
                <w:sz w:val="20"/>
                <w:szCs w:val="20"/>
                <w:color w:val="auto"/>
              </w:rPr>
            </w:pPr>
            <w:r>
              <w:rPr>
                <w:rFonts w:ascii="Arial" w:cs="Arial" w:eastAsia="Arial" w:hAnsi="Arial"/>
                <w:sz w:val="16"/>
                <w:szCs w:val="16"/>
                <w:b w:val="1"/>
                <w:bCs w:val="1"/>
                <w:color w:val="503C64"/>
              </w:rPr>
              <w:t>Twelve Months Ended</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503C64"/>
                <w:w w:val="99"/>
              </w:rPr>
              <w:t>December 31,</w:t>
            </w:r>
          </w:p>
        </w:tc>
        <w:tc>
          <w:tcPr>
            <w:tcW w:w="220" w:type="dxa"/>
            <w:vAlign w:val="bottom"/>
          </w:tcPr>
          <w:p>
            <w:pPr>
              <w:spacing w:after="0"/>
              <w:rPr>
                <w:sz w:val="19"/>
                <w:szCs w:val="19"/>
                <w:color w:val="auto"/>
              </w:rPr>
            </w:pPr>
          </w:p>
        </w:tc>
        <w:tc>
          <w:tcPr>
            <w:tcW w:w="2360" w:type="dxa"/>
            <w:vAlign w:val="bottom"/>
            <w:gridSpan w:val="3"/>
          </w:tcPr>
          <w:p>
            <w:pPr>
              <w:jc w:val="right"/>
              <w:ind w:right="688"/>
              <w:spacing w:after="0"/>
              <w:rPr>
                <w:sz w:val="20"/>
                <w:szCs w:val="20"/>
                <w:color w:val="auto"/>
              </w:rPr>
            </w:pPr>
            <w:r>
              <w:rPr>
                <w:rFonts w:ascii="Arial" w:cs="Arial" w:eastAsia="Arial" w:hAnsi="Arial"/>
                <w:sz w:val="16"/>
                <w:szCs w:val="16"/>
                <w:b w:val="1"/>
                <w:bCs w:val="1"/>
                <w:color w:val="503C64"/>
              </w:rPr>
              <w:t>December 31,</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32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42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B6B6B6"/>
            </w:tcBorders>
          </w:tcPr>
          <w:p>
            <w:pPr>
              <w:spacing w:after="0"/>
              <w:rPr>
                <w:sz w:val="16"/>
                <w:szCs w:val="16"/>
                <w:color w:val="auto"/>
              </w:rPr>
            </w:pPr>
          </w:p>
        </w:tc>
        <w:tc>
          <w:tcPr>
            <w:tcW w:w="22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447"/>
              <w:spacing w:after="0"/>
              <w:rPr>
                <w:sz w:val="20"/>
                <w:szCs w:val="20"/>
                <w:color w:val="auto"/>
              </w:rPr>
            </w:pPr>
            <w:r>
              <w:rPr>
                <w:rFonts w:ascii="Arial" w:cs="Arial" w:eastAsia="Arial" w:hAnsi="Arial"/>
                <w:sz w:val="14"/>
                <w:szCs w:val="14"/>
                <w:b w:val="1"/>
                <w:bCs w:val="1"/>
                <w:color w:val="503C64"/>
              </w:rPr>
              <w:t>2023</w:t>
            </w:r>
          </w:p>
        </w:tc>
        <w:tc>
          <w:tcPr>
            <w:tcW w:w="26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503C64"/>
              </w:rPr>
              <w:t>2022</w:t>
            </w:r>
          </w:p>
        </w:tc>
        <w:tc>
          <w:tcPr>
            <w:tcW w:w="0" w:type="dxa"/>
            <w:vAlign w:val="bottom"/>
          </w:tcPr>
          <w:p>
            <w:pPr>
              <w:spacing w:after="0"/>
              <w:rPr>
                <w:sz w:val="1"/>
                <w:szCs w:val="1"/>
                <w:color w:val="auto"/>
              </w:rPr>
            </w:pPr>
          </w:p>
        </w:tc>
      </w:tr>
      <w:tr>
        <w:trPr>
          <w:trHeight w:val="197"/>
        </w:trPr>
        <w:tc>
          <w:tcPr>
            <w:tcW w:w="532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w:t>
            </w:r>
          </w:p>
        </w:tc>
        <w:tc>
          <w:tcPr>
            <w:tcW w:w="20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9,428</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12,046</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47,457</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81,623</w:t>
            </w:r>
          </w:p>
        </w:tc>
        <w:tc>
          <w:tcPr>
            <w:tcW w:w="0" w:type="dxa"/>
            <w:vAlign w:val="bottom"/>
          </w:tcPr>
          <w:p>
            <w:pPr>
              <w:spacing w:after="0"/>
              <w:rPr>
                <w:sz w:val="1"/>
                <w:szCs w:val="1"/>
                <w:color w:val="auto"/>
              </w:rPr>
            </w:pPr>
          </w:p>
        </w:tc>
      </w:tr>
      <w:tr>
        <w:trPr>
          <w:trHeight w:val="194"/>
        </w:trPr>
        <w:tc>
          <w:tcPr>
            <w:tcW w:w="5320" w:type="dxa"/>
            <w:vAlign w:val="bottom"/>
          </w:tcPr>
          <w:p>
            <w:pPr>
              <w:ind w:left="20"/>
              <w:spacing w:after="0"/>
              <w:rPr>
                <w:sz w:val="20"/>
                <w:szCs w:val="20"/>
                <w:color w:val="auto"/>
              </w:rPr>
            </w:pPr>
            <w:r>
              <w:rPr>
                <w:rFonts w:ascii="Arial" w:cs="Arial" w:eastAsia="Arial" w:hAnsi="Arial"/>
                <w:sz w:val="14"/>
                <w:szCs w:val="14"/>
                <w:color w:val="auto"/>
              </w:rPr>
              <w:t>Less: Adjusted income tax expense (benefit)</w:t>
            </w:r>
          </w:p>
        </w:tc>
        <w:tc>
          <w:tcPr>
            <w:tcW w:w="200" w:type="dxa"/>
            <w:vAlign w:val="bottom"/>
          </w:tcPr>
          <w:p>
            <w:pPr>
              <w:spacing w:after="0"/>
              <w:rPr>
                <w:sz w:val="16"/>
                <w:szCs w:val="16"/>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(1,797)</w:t>
            </w:r>
          </w:p>
        </w:tc>
        <w:tc>
          <w:tcPr>
            <w:tcW w:w="26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(7,614)</w:t>
            </w:r>
          </w:p>
        </w:tc>
        <w:tc>
          <w:tcPr>
            <w:tcW w:w="26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(16,286)</w:t>
            </w:r>
          </w:p>
        </w:tc>
        <w:tc>
          <w:tcPr>
            <w:tcW w:w="0" w:type="dxa"/>
            <w:vAlign w:val="bottom"/>
          </w:tcPr>
          <w:p>
            <w:pPr>
              <w:spacing w:after="0"/>
              <w:rPr>
                <w:sz w:val="1"/>
                <w:szCs w:val="1"/>
                <w:color w:val="auto"/>
              </w:rPr>
            </w:pPr>
          </w:p>
        </w:tc>
      </w:tr>
      <w:tr>
        <w:trPr>
          <w:trHeight w:val="211"/>
        </w:trPr>
        <w:tc>
          <w:tcPr>
            <w:tcW w:w="532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Add: If-converted tax impact</w:t>
            </w:r>
            <w:r>
              <w:rPr>
                <w:rFonts w:ascii="Arial" w:cs="Arial" w:eastAsia="Arial" w:hAnsi="Arial"/>
                <w:sz w:val="18"/>
                <w:szCs w:val="18"/>
                <w:color w:val="auto"/>
                <w:vertAlign w:val="superscript"/>
              </w:rPr>
              <w:t>(11)</w:t>
            </w:r>
          </w:p>
        </w:tc>
        <w:tc>
          <w:tcPr>
            <w:tcW w:w="20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3,543</w:t>
            </w:r>
          </w:p>
        </w:tc>
        <w:tc>
          <w:tcPr>
            <w:tcW w:w="26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3,504</w:t>
            </w:r>
          </w:p>
        </w:tc>
        <w:tc>
          <w:tcPr>
            <w:tcW w:w="100" w:type="dxa"/>
            <w:vAlign w:val="bottom"/>
            <w:tcBorders>
              <w:bottom w:val="single" w:sz="8" w:color="B6B6B6"/>
            </w:tcBorders>
          </w:tcPr>
          <w:p>
            <w:pPr>
              <w:spacing w:after="0"/>
              <w:rPr>
                <w:sz w:val="18"/>
                <w:szCs w:val="18"/>
                <w:color w:val="auto"/>
              </w:rPr>
            </w:pPr>
          </w:p>
        </w:tc>
        <w:tc>
          <w:tcPr>
            <w:tcW w:w="22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14,994</w:t>
            </w:r>
          </w:p>
        </w:tc>
        <w:tc>
          <w:tcPr>
            <w:tcW w:w="26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27,656</w:t>
            </w:r>
          </w:p>
        </w:tc>
        <w:tc>
          <w:tcPr>
            <w:tcW w:w="0" w:type="dxa"/>
            <w:vAlign w:val="bottom"/>
          </w:tcPr>
          <w:p>
            <w:pPr>
              <w:spacing w:after="0"/>
              <w:rPr>
                <w:sz w:val="1"/>
                <w:szCs w:val="1"/>
                <w:color w:val="auto"/>
              </w:rPr>
            </w:pPr>
          </w:p>
        </w:tc>
      </w:tr>
      <w:tr>
        <w:trPr>
          <w:trHeight w:val="196"/>
        </w:trPr>
        <w:tc>
          <w:tcPr>
            <w:tcW w:w="532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 (loss)</w:t>
            </w:r>
          </w:p>
        </w:tc>
        <w:tc>
          <w:tcPr>
            <w:tcW w:w="20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7,682</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9,975</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40,077</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70,253</w:t>
            </w:r>
          </w:p>
        </w:tc>
        <w:tc>
          <w:tcPr>
            <w:tcW w:w="0" w:type="dxa"/>
            <w:vAlign w:val="bottom"/>
          </w:tcPr>
          <w:p>
            <w:pPr>
              <w:spacing w:after="0"/>
              <w:rPr>
                <w:sz w:val="1"/>
                <w:szCs w:val="1"/>
                <w:color w:val="auto"/>
              </w:rPr>
            </w:pPr>
          </w:p>
        </w:tc>
      </w:tr>
      <w:tr>
        <w:trPr>
          <w:trHeight w:val="356"/>
        </w:trPr>
        <w:tc>
          <w:tcPr>
            <w:tcW w:w="532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w:t>
            </w:r>
          </w:p>
        </w:tc>
        <w:tc>
          <w:tcPr>
            <w:tcW w:w="200" w:type="dxa"/>
            <w:vAlign w:val="bottom"/>
          </w:tcPr>
          <w:p>
            <w:pPr>
              <w:spacing w:after="0"/>
              <w:rPr>
                <w:sz w:val="24"/>
                <w:szCs w:val="24"/>
                <w:color w:val="auto"/>
              </w:rPr>
            </w:pPr>
          </w:p>
        </w:tc>
        <w:tc>
          <w:tcPr>
            <w:tcW w:w="1080" w:type="dxa"/>
            <w:vAlign w:val="bottom"/>
          </w:tcPr>
          <w:p>
            <w:pPr>
              <w:jc w:val="right"/>
              <w:ind w:right="167"/>
              <w:spacing w:after="0"/>
              <w:rPr>
                <w:sz w:val="20"/>
                <w:szCs w:val="20"/>
                <w:color w:val="auto"/>
              </w:rPr>
            </w:pPr>
            <w:r>
              <w:rPr>
                <w:rFonts w:ascii="Arial" w:cs="Arial" w:eastAsia="Arial" w:hAnsi="Arial"/>
                <w:sz w:val="14"/>
                <w:szCs w:val="14"/>
                <w:color w:val="auto"/>
              </w:rPr>
              <w:t>87,329,418</w:t>
            </w:r>
          </w:p>
        </w:tc>
        <w:tc>
          <w:tcPr>
            <w:tcW w:w="26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87,442,255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67"/>
              <w:spacing w:after="0"/>
              <w:rPr>
                <w:sz w:val="20"/>
                <w:szCs w:val="20"/>
                <w:color w:val="auto"/>
              </w:rPr>
            </w:pPr>
            <w:r>
              <w:rPr>
                <w:rFonts w:ascii="Arial" w:cs="Arial" w:eastAsia="Arial" w:hAnsi="Arial"/>
                <w:sz w:val="14"/>
                <w:szCs w:val="14"/>
                <w:color w:val="auto"/>
              </w:rPr>
              <w:t>86,779,052</w:t>
            </w:r>
          </w:p>
        </w:tc>
        <w:tc>
          <w:tcPr>
            <w:tcW w:w="26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89,755,632</w:t>
            </w:r>
          </w:p>
        </w:tc>
        <w:tc>
          <w:tcPr>
            <w:tcW w:w="0" w:type="dxa"/>
            <w:vAlign w:val="bottom"/>
          </w:tcPr>
          <w:p>
            <w:pPr>
              <w:spacing w:after="0"/>
              <w:rPr>
                <w:sz w:val="1"/>
                <w:szCs w:val="1"/>
                <w:color w:val="auto"/>
              </w:rPr>
            </w:pPr>
          </w:p>
        </w:tc>
      </w:tr>
      <w:tr>
        <w:trPr>
          <w:trHeight w:val="158"/>
        </w:trPr>
        <w:tc>
          <w:tcPr>
            <w:tcW w:w="5320" w:type="dxa"/>
            <w:vAlign w:val="bottom"/>
          </w:tcPr>
          <w:p>
            <w:pPr>
              <w:ind w:left="20"/>
              <w:spacing w:after="0" w:line="159" w:lineRule="exact"/>
              <w:rPr>
                <w:sz w:val="20"/>
                <w:szCs w:val="20"/>
                <w:color w:val="auto"/>
              </w:rPr>
            </w:pPr>
            <w:r>
              <w:rPr>
                <w:rFonts w:ascii="Arial" w:cs="Arial" w:eastAsia="Arial" w:hAnsi="Arial"/>
                <w:sz w:val="14"/>
                <w:szCs w:val="14"/>
                <w:color w:val="auto"/>
              </w:rPr>
              <w:t>Weighted average number of incremental shares from assumed vesting of RSUs</w:t>
            </w:r>
          </w:p>
        </w:tc>
        <w:tc>
          <w:tcPr>
            <w:tcW w:w="200" w:type="dxa"/>
            <w:vAlign w:val="bottom"/>
          </w:tcPr>
          <w:p>
            <w:pPr>
              <w:spacing w:after="0"/>
              <w:rPr>
                <w:sz w:val="13"/>
                <w:szCs w:val="13"/>
                <w:color w:val="auto"/>
              </w:rPr>
            </w:pPr>
          </w:p>
        </w:tc>
        <w:tc>
          <w:tcPr>
            <w:tcW w:w="1080" w:type="dxa"/>
            <w:vAlign w:val="bottom"/>
            <w:vMerge w:val="restart"/>
          </w:tcPr>
          <w:p>
            <w:pPr>
              <w:jc w:val="right"/>
              <w:ind w:right="167"/>
              <w:spacing w:after="0"/>
              <w:rPr>
                <w:sz w:val="20"/>
                <w:szCs w:val="20"/>
                <w:color w:val="auto"/>
              </w:rPr>
            </w:pPr>
            <w:r>
              <w:rPr>
                <w:rFonts w:ascii="Arial" w:cs="Arial" w:eastAsia="Arial" w:hAnsi="Arial"/>
                <w:sz w:val="14"/>
                <w:szCs w:val="14"/>
                <w:color w:val="auto"/>
              </w:rPr>
              <w:t>4,059,875</w:t>
            </w:r>
          </w:p>
        </w:tc>
        <w:tc>
          <w:tcPr>
            <w:tcW w:w="26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1,011,068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167"/>
              <w:spacing w:after="0"/>
              <w:rPr>
                <w:sz w:val="20"/>
                <w:szCs w:val="20"/>
                <w:color w:val="auto"/>
              </w:rPr>
            </w:pPr>
            <w:r>
              <w:rPr>
                <w:rFonts w:ascii="Arial" w:cs="Arial" w:eastAsia="Arial" w:hAnsi="Arial"/>
                <w:sz w:val="14"/>
                <w:szCs w:val="14"/>
                <w:color w:val="auto"/>
              </w:rPr>
              <w:t>2,186,189</w:t>
            </w:r>
          </w:p>
        </w:tc>
        <w:tc>
          <w:tcPr>
            <w:tcW w:w="26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369,413</w:t>
            </w:r>
          </w:p>
        </w:tc>
        <w:tc>
          <w:tcPr>
            <w:tcW w:w="0" w:type="dxa"/>
            <w:vAlign w:val="bottom"/>
          </w:tcPr>
          <w:p>
            <w:pPr>
              <w:spacing w:after="0"/>
              <w:rPr>
                <w:sz w:val="1"/>
                <w:szCs w:val="1"/>
                <w:color w:val="auto"/>
              </w:rPr>
            </w:pPr>
          </w:p>
        </w:tc>
      </w:tr>
      <w:tr>
        <w:trPr>
          <w:trHeight w:val="201"/>
        </w:trPr>
        <w:tc>
          <w:tcPr>
            <w:tcW w:w="532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and PSUs</w:t>
            </w:r>
            <w:r>
              <w:rPr>
                <w:rFonts w:ascii="Arial" w:cs="Arial" w:eastAsia="Arial" w:hAnsi="Arial"/>
                <w:sz w:val="18"/>
                <w:szCs w:val="18"/>
                <w:color w:val="auto"/>
                <w:vertAlign w:val="superscript"/>
              </w:rPr>
              <w:t>(12)</w:t>
            </w:r>
          </w:p>
        </w:tc>
        <w:tc>
          <w:tcPr>
            <w:tcW w:w="20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vMerge w:val="continue"/>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vMerge w:val="continue"/>
          </w:tcPr>
          <w:p>
            <w:pPr>
              <w:spacing w:after="0"/>
              <w:rPr>
                <w:sz w:val="17"/>
                <w:szCs w:val="17"/>
                <w:color w:val="auto"/>
              </w:rPr>
            </w:pP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vMerge w:val="continue"/>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200" w:type="dxa"/>
            <w:vAlign w:val="bottom"/>
            <w:shd w:val="clear" w:color="auto" w:fill="E3E1E9"/>
          </w:tcPr>
          <w:p>
            <w:pPr>
              <w:spacing w:after="0"/>
              <w:rPr>
                <w:sz w:val="17"/>
                <w:szCs w:val="17"/>
                <w:color w:val="auto"/>
              </w:rPr>
            </w:pP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91,389,293</w:t>
            </w:r>
          </w:p>
        </w:tc>
        <w:tc>
          <w:tcPr>
            <w:tcW w:w="260" w:type="dxa"/>
            <w:vAlign w:val="bottom"/>
            <w:shd w:val="clear" w:color="auto" w:fill="E3E1E9"/>
          </w:tcPr>
          <w:p>
            <w:pPr>
              <w:spacing w:after="0"/>
              <w:rPr>
                <w:sz w:val="17"/>
                <w:szCs w:val="17"/>
                <w:color w:val="auto"/>
              </w:rPr>
            </w:pP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88,453,323</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spacing w:after="0"/>
              <w:rPr>
                <w:sz w:val="17"/>
                <w:szCs w:val="17"/>
                <w:color w:val="auto"/>
              </w:rPr>
            </w:pP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88,965,241</w:t>
            </w:r>
          </w:p>
        </w:tc>
        <w:tc>
          <w:tcPr>
            <w:tcW w:w="260" w:type="dxa"/>
            <w:vAlign w:val="bottom"/>
            <w:shd w:val="clear" w:color="auto" w:fill="E3E1E9"/>
          </w:tcPr>
          <w:p>
            <w:pPr>
              <w:spacing w:after="0"/>
              <w:rPr>
                <w:sz w:val="17"/>
                <w:szCs w:val="17"/>
                <w:color w:val="auto"/>
              </w:rPr>
            </w:pP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90,125,045</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 per Class A share—diluted, if-converted</w:t>
            </w:r>
          </w:p>
        </w:tc>
        <w:tc>
          <w:tcPr>
            <w:tcW w:w="20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0.08</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0.45</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369"/>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(13)</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(17.7)%</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Arial" w:cs="Arial" w:eastAsia="Arial" w:hAnsi="Arial"/>
                <w:sz w:val="14"/>
                <w:szCs w:val="14"/>
                <w:color w:val="auto"/>
              </w:rPr>
              <w:t>Adjusted operating income (loss) margin</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7.7 %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202"/>
        </w:trPr>
        <w:tc>
          <w:tcPr>
            <w:tcW w:w="5320" w:type="dxa"/>
            <w:vAlign w:val="bottom"/>
          </w:tcPr>
          <w:p>
            <w:pPr>
              <w:ind w:left="20"/>
              <w:spacing w:after="0"/>
              <w:rPr>
                <w:sz w:val="20"/>
                <w:szCs w:val="20"/>
                <w:color w:val="auto"/>
              </w:rPr>
            </w:pPr>
            <w:r>
              <w:rPr>
                <w:rFonts w:ascii="Arial" w:cs="Arial" w:eastAsia="Arial" w:hAnsi="Arial"/>
                <w:sz w:val="14"/>
                <w:szCs w:val="14"/>
                <w:color w:val="auto"/>
              </w:rPr>
              <w:t>GAAP compensation ratio</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94 %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Arial" w:cs="Arial" w:eastAsia="Arial" w:hAnsi="Arial"/>
                <w:sz w:val="14"/>
                <w:szCs w:val="14"/>
                <w:color w:val="auto"/>
              </w:rPr>
              <w:t>Adjusted compensation ratio</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70 %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Arial" w:cs="Arial" w:eastAsia="Arial" w:hAnsi="Arial"/>
                <w:sz w:val="14"/>
                <w:szCs w:val="14"/>
                <w:color w:val="auto"/>
              </w:rPr>
              <w:t>GAAP effective tax rate</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1 %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Arial" w:cs="Arial" w:eastAsia="Arial" w:hAnsi="Arial"/>
                <w:sz w:val="14"/>
                <w:szCs w:val="14"/>
                <w:color w:val="auto"/>
              </w:rPr>
              <w:t>Adjusted if-converted effective tax rate</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27 %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GAAP Reconciliation of Adjusted Results:</w:t>
      </w:r>
    </w:p>
    <w:p>
      <w:pPr>
        <w:spacing w:after="0" w:line="285" w:lineRule="exact"/>
        <w:rPr>
          <w:sz w:val="20"/>
          <w:szCs w:val="20"/>
          <w:color w:val="auto"/>
        </w:rPr>
      </w:pPr>
    </w:p>
    <w:p>
      <w:pPr>
        <w:jc w:val="both"/>
        <w:ind w:left="500" w:hanging="492"/>
        <w:spacing w:after="0" w:line="315"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Holdings LP (“PWP OpCo”) includes amortization of legacy awards granted to certain partners prior to the business combination that closed on June 24, 2021 (the “Business Combination”) and amortization of PWP Professional Partners LP (together with its successors and assigns, as applicable, “Professional Partners”) alignment capital units and value capital units awards. The vesting of these awards does not dilute PWP shareholders relative to Professional Partners as Professional Partners’ interest in PWP OpCo does not change as a result of granting those equity awards to its working partners. The legacy awards were fully amortized as of September 30, 2023.</w:t>
      </w:r>
    </w:p>
    <w:p>
      <w:pPr>
        <w:spacing w:after="0" w:line="114"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200" w:lineRule="exact"/>
        <w:rPr>
          <w:sz w:val="20"/>
          <w:szCs w:val="20"/>
          <w:color w:val="auto"/>
        </w:rPr>
      </w:pPr>
    </w:p>
    <w:p>
      <w:pPr>
        <w:spacing w:after="0" w:line="306" w:lineRule="exact"/>
        <w:rPr>
          <w:sz w:val="20"/>
          <w:szCs w:val="20"/>
          <w:color w:val="auto"/>
        </w:rPr>
      </w:pPr>
    </w:p>
    <w:p>
      <w:pPr>
        <w:jc w:val="both"/>
        <w:ind w:firstLine="8"/>
        <w:spacing w:after="0" w:line="259" w:lineRule="auto"/>
        <w:tabs>
          <w:tab w:leader="none" w:pos="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2" w:right="339" w:bottom="1440" w:gutter="0" w:footer="0" w:header="0"/>
        </w:sectPr>
      </w:pPr>
    </w:p>
    <w:bookmarkStart w:id="13" w:name="page14"/>
    <w:bookmarkEnd w:id="13"/>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ind w:left="500" w:hanging="492"/>
        <w:spacing w:after="0" w:line="314"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resulted in headcount reductions in order to improve compensation alignment and to provide greater flexibility to advance strategic opportunities. Costs include separation and transition benefits and the accelerated amortization (net of forfeitures) of certain equity-based awards. For the three and twelve months ended December 31, 2023, such amortization includes $7.7 million and $9.6 million, respectively, for certain Professional Partners Awards, and $0.9 million and $1.7 million, respectively, for certain transaction-related RSUs, which are excluded from Equity-based compensation not dilutive to investors in PWP or PWP OpCo and Public company transaction related incentives, respectively. Currently, we are estimating $40 million of total business realignment costs, including cash benefits and non-cash accelerated amortization of equity-based awards, with approximately $3 million remaining and expected to be incurred during the first quarter of 2024.</w:t>
      </w:r>
    </w:p>
    <w:p>
      <w:pPr>
        <w:spacing w:after="0" w:line="113" w:lineRule="exact"/>
        <w:rPr>
          <w:rFonts w:ascii="Arial" w:cs="Arial" w:eastAsia="Arial" w:hAnsi="Arial"/>
          <w:sz w:val="20"/>
          <w:szCs w:val="20"/>
          <w:color w:val="auto"/>
        </w:rPr>
      </w:pPr>
    </w:p>
    <w:p>
      <w:pPr>
        <w:jc w:val="both"/>
        <w:ind w:left="500" w:right="100" w:hanging="492"/>
        <w:spacing w:after="0" w:line="326"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88" w:lineRule="exact"/>
        <w:rPr>
          <w:rFonts w:ascii="Arial" w:cs="Arial" w:eastAsia="Arial" w:hAnsi="Arial"/>
          <w:sz w:val="20"/>
          <w:szCs w:val="20"/>
          <w:color w:val="auto"/>
        </w:rPr>
      </w:pPr>
    </w:p>
    <w:p>
      <w:pPr>
        <w:jc w:val="both"/>
        <w:ind w:left="500" w:right="120" w:hanging="492"/>
        <w:spacing w:after="0" w:line="320"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Business Combination, including (i) equity-based vesting for transaction-related RSUs issued to non-employees and (ii) costs incurred related to a potential future partnership restructuring that was contemplated during the implementation of the up-C structure at the time of the Business Combination.</w:t>
      </w:r>
    </w:p>
    <w:p>
      <w:pPr>
        <w:spacing w:after="0" w:line="109" w:lineRule="exact"/>
        <w:rPr>
          <w:rFonts w:ascii="Arial" w:cs="Arial" w:eastAsia="Arial" w:hAnsi="Arial"/>
          <w:sz w:val="20"/>
          <w:szCs w:val="20"/>
          <w:color w:val="auto"/>
        </w:rPr>
      </w:pPr>
    </w:p>
    <w:p>
      <w:pPr>
        <w:ind w:left="500" w:right="20" w:hanging="492"/>
        <w:spacing w:after="0" w:line="342"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exchange offer and solicitation relating to the Company’s then-outstanding warrants, which the Company commenced on July 22, 2022 (the “Warrant Exchange”).</w:t>
      </w:r>
    </w:p>
    <w:p>
      <w:pPr>
        <w:spacing w:after="0" w:line="87" w:lineRule="exact"/>
        <w:rPr>
          <w:rFonts w:ascii="Arial" w:cs="Arial" w:eastAsia="Arial" w:hAnsi="Arial"/>
          <w:sz w:val="20"/>
          <w:szCs w:val="20"/>
          <w:color w:val="auto"/>
        </w:rPr>
      </w:pPr>
    </w:p>
    <w:p>
      <w:pPr>
        <w:ind w:left="500" w:hanging="492"/>
        <w:spacing w:after="0"/>
        <w:tabs>
          <w:tab w:leader="none" w:pos="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Certain expenses incurred related to the Settlement.</w:t>
      </w:r>
    </w:p>
    <w:p>
      <w:pPr>
        <w:spacing w:after="0" w:line="202" w:lineRule="exact"/>
        <w:rPr>
          <w:rFonts w:ascii="Arial" w:cs="Arial" w:eastAsia="Arial" w:hAnsi="Arial"/>
          <w:sz w:val="20"/>
          <w:szCs w:val="20"/>
          <w:color w:val="auto"/>
        </w:rPr>
      </w:pPr>
    </w:p>
    <w:p>
      <w:pPr>
        <w:ind w:left="500" w:hanging="492"/>
        <w:spacing w:after="0" w:line="342"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87" w:lineRule="exact"/>
        <w:rPr>
          <w:rFonts w:ascii="Arial" w:cs="Arial" w:eastAsia="Arial" w:hAnsi="Arial"/>
          <w:sz w:val="20"/>
          <w:szCs w:val="20"/>
          <w:color w:val="auto"/>
        </w:rPr>
      </w:pPr>
    </w:p>
    <w:p>
      <w:pPr>
        <w:jc w:val="both"/>
        <w:ind w:left="500" w:right="100" w:hanging="492"/>
        <w:spacing w:after="0" w:line="318"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For the twelve months ended December 31, 2022, this adjustment includes a gain of $15.8 million on the change in fair value of warrant liabilities, which is non-cash and we believe not indicative of our core performance. For the twelve months ended December 31, 2023, this adjustment includes a $1.25 million charge related to the Settlement and a non-operating loss on investment of $1.4 million. A minimal adjustment for the amortization of debt discounts and issuance costs is also included for all periods.</w:t>
      </w:r>
    </w:p>
    <w:p>
      <w:pPr>
        <w:spacing w:after="0" w:line="109" w:lineRule="exact"/>
        <w:rPr>
          <w:rFonts w:ascii="Arial" w:cs="Arial" w:eastAsia="Arial" w:hAnsi="Arial"/>
          <w:sz w:val="20"/>
          <w:szCs w:val="20"/>
          <w:color w:val="auto"/>
        </w:rPr>
      </w:pPr>
    </w:p>
    <w:p>
      <w:pPr>
        <w:jc w:val="both"/>
        <w:ind w:left="500" w:right="120" w:hanging="492"/>
        <w:spacing w:after="0" w:line="326" w:lineRule="auto"/>
        <w:tabs>
          <w:tab w:leader="none" w:pos="497"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non-GAAP tax expense represents the Company’s calculated tax expense on adjusted non-GAAP income. It excludes the impact on income taxes of certain transaction-related items and other items not reflected in our adjusted non-GAAP results. It does not represent the cash that the Company expects to pay for taxes in the current periods.</w:t>
      </w:r>
    </w:p>
    <w:p>
      <w:pPr>
        <w:spacing w:after="0" w:line="200" w:lineRule="exact"/>
        <w:rPr>
          <w:sz w:val="20"/>
          <w:szCs w:val="20"/>
          <w:color w:val="auto"/>
        </w:rPr>
      </w:pPr>
    </w:p>
    <w:p>
      <w:pPr>
        <w:spacing w:after="0" w:line="306" w:lineRule="exact"/>
        <w:rPr>
          <w:sz w:val="20"/>
          <w:szCs w:val="20"/>
          <w:color w:val="auto"/>
        </w:rPr>
      </w:pPr>
    </w:p>
    <w:p>
      <w:pPr>
        <w:jc w:val="both"/>
        <w:ind w:firstLine="8"/>
        <w:spacing w:after="0" w:line="259" w:lineRule="auto"/>
        <w:tabs>
          <w:tab w:leader="none" w:pos="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ind w:left="500" w:hanging="492"/>
        <w:spacing w:after="0" w:line="326" w:lineRule="auto"/>
        <w:tabs>
          <w:tab w:leader="none" w:pos="482"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if-converted tax expense represents the Company's calculated tax expense on adjusted non-GAAP income assuming the exchange of all partnership units for PWP Class A common stock, resulting in all of the Company’s income being subject to corporate-level tax.</w:t>
      </w:r>
    </w:p>
    <w:p>
      <w:pPr>
        <w:spacing w:after="0" w:line="102" w:lineRule="exact"/>
        <w:rPr>
          <w:rFonts w:ascii="Arial" w:cs="Arial" w:eastAsia="Arial" w:hAnsi="Arial"/>
          <w:sz w:val="20"/>
          <w:szCs w:val="20"/>
          <w:color w:val="auto"/>
        </w:rPr>
      </w:pPr>
    </w:p>
    <w:p>
      <w:pPr>
        <w:ind w:left="500" w:hanging="492"/>
        <w:spacing w:after="0" w:line="342" w:lineRule="auto"/>
        <w:tabs>
          <w:tab w:leader="none" w:pos="497" w:val="left"/>
        </w:tabs>
        <w:numPr>
          <w:ilvl w:val="0"/>
          <w:numId w:val="20"/>
        </w:numPr>
        <w:rPr>
          <w:rFonts w:ascii="Arial" w:cs="Arial" w:eastAsia="Arial" w:hAnsi="Arial"/>
          <w:sz w:val="20"/>
          <w:szCs w:val="20"/>
          <w:color w:val="auto"/>
        </w:rPr>
      </w:pPr>
      <w:r>
        <w:rPr>
          <w:rFonts w:ascii="Arial" w:cs="Arial" w:eastAsia="Arial" w:hAnsi="Arial"/>
          <w:sz w:val="20"/>
          <w:szCs w:val="20"/>
          <w:color w:val="auto"/>
        </w:rPr>
        <w:t>Assumed vesting of RSUs and performance restricted stock units (“PSUs”) as calculated using the treasury stock method and to the extent dilutive to Adjusted net income (loss) per Class A share—diluted, if-converted.</w:t>
      </w:r>
    </w:p>
    <w:p>
      <w:pPr>
        <w:spacing w:after="0" w:line="73" w:lineRule="exact"/>
        <w:rPr>
          <w:rFonts w:ascii="Arial" w:cs="Arial" w:eastAsia="Arial" w:hAnsi="Arial"/>
          <w:sz w:val="20"/>
          <w:szCs w:val="20"/>
          <w:color w:val="auto"/>
        </w:rPr>
      </w:pPr>
    </w:p>
    <w:p>
      <w:pPr>
        <w:ind w:left="500" w:hanging="492"/>
        <w:spacing w:after="0"/>
        <w:tabs>
          <w:tab w:leader="none" w:pos="5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Reconciliations of key metrics from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8"/>
        <w:spacing w:after="0" w:line="259" w:lineRule="auto"/>
        <w:tabs>
          <w:tab w:leader="none" w:pos="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80" w:type="dxa"/>
            <w:vAlign w:val="bottom"/>
            <w:tcBorders>
              <w:bottom w:val="single" w:sz="8" w:color="B6B6B6"/>
            </w:tcBorders>
            <w:gridSpan w:val="4"/>
          </w:tcPr>
          <w:p>
            <w:pPr>
              <w:jc w:val="center"/>
              <w:ind w:left="108"/>
              <w:spacing w:after="0"/>
              <w:rPr>
                <w:sz w:val="20"/>
                <w:szCs w:val="20"/>
                <w:color w:val="auto"/>
              </w:rPr>
            </w:pPr>
            <w:r>
              <w:rPr>
                <w:rFonts w:ascii="Arial" w:cs="Arial" w:eastAsia="Arial" w:hAnsi="Arial"/>
                <w:sz w:val="14"/>
                <w:szCs w:val="14"/>
                <w:b w:val="1"/>
                <w:bCs w:val="1"/>
                <w:color w:val="503C64"/>
              </w:rPr>
              <w:t>Three Months Ended December 31, 2023</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13,094</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(1,017) </w:t>
            </w:r>
            <w:r>
              <w:rPr>
                <w:rFonts w:ascii="Arial" w:cs="Arial" w:eastAsia="Arial" w:hAnsi="Arial"/>
                <w:sz w:val="12"/>
                <w:szCs w:val="12"/>
                <w:color w:val="auto"/>
              </w:rPr>
              <w:t>(1)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12,077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8,612</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8,612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6,033</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6,033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5,396</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5,396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3,877</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3,877</w:t>
            </w:r>
          </w:p>
        </w:tc>
      </w:tr>
      <w:tr>
        <w:trPr>
          <w:trHeight w:val="234"/>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20"/>
                <w:szCs w:val="20"/>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4,511</w:t>
            </w:r>
          </w:p>
        </w:tc>
        <w:tc>
          <w:tcPr>
            <w:tcW w:w="420" w:type="dxa"/>
            <w:vAlign w:val="bottom"/>
            <w:tcBorders>
              <w:bottom w:val="single" w:sz="8" w:color="B6B6B6"/>
            </w:tcBorders>
          </w:tcPr>
          <w:p>
            <w:pPr>
              <w:spacing w:after="0"/>
              <w:rPr>
                <w:sz w:val="20"/>
                <w:szCs w:val="20"/>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20"/>
                <w:szCs w:val="20"/>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2,866</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41,523</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(2,662)</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38,861</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80" w:type="dxa"/>
            <w:vAlign w:val="bottom"/>
            <w:tcBorders>
              <w:bottom w:val="single" w:sz="8" w:color="B6B6B6"/>
            </w:tcBorders>
            <w:gridSpan w:val="4"/>
          </w:tcPr>
          <w:p>
            <w:pPr>
              <w:jc w:val="center"/>
              <w:ind w:left="108"/>
              <w:spacing w:after="0"/>
              <w:rPr>
                <w:sz w:val="20"/>
                <w:szCs w:val="20"/>
                <w:color w:val="auto"/>
              </w:rPr>
            </w:pPr>
            <w:r>
              <w:rPr>
                <w:rFonts w:ascii="Arial" w:cs="Arial" w:eastAsia="Arial" w:hAnsi="Arial"/>
                <w:sz w:val="14"/>
                <w:szCs w:val="14"/>
                <w:b w:val="1"/>
                <w:bCs w:val="1"/>
                <w:color w:val="503C64"/>
              </w:rPr>
              <w:t>Three Months Ended December 31, 2022</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8,922</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(1,832) </w:t>
            </w:r>
            <w:r>
              <w:rPr>
                <w:rFonts w:ascii="Arial" w:cs="Arial" w:eastAsia="Arial" w:hAnsi="Arial"/>
                <w:sz w:val="12"/>
                <w:szCs w:val="12"/>
                <w:color w:val="auto"/>
              </w:rPr>
              <w:t>(1)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7,090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7,670</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7,670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7,387</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7,387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4,187</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4,187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4,801</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4,801</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2,641</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996</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35,608</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(3,477)</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32,131</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3880" w:type="dxa"/>
            <w:vAlign w:val="bottom"/>
            <w:tcBorders>
              <w:bottom w:val="single" w:sz="8" w:color="B6B6B6"/>
            </w:tcBorders>
            <w:gridSpan w:val="4"/>
          </w:tcPr>
          <w:p>
            <w:pPr>
              <w:jc w:val="right"/>
              <w:ind w:right="28"/>
              <w:spacing w:after="0"/>
              <w:rPr>
                <w:sz w:val="20"/>
                <w:szCs w:val="20"/>
                <w:color w:val="auto"/>
              </w:rPr>
            </w:pPr>
            <w:r>
              <w:rPr>
                <w:rFonts w:ascii="Arial" w:cs="Arial" w:eastAsia="Arial" w:hAnsi="Arial"/>
                <w:sz w:val="14"/>
                <w:szCs w:val="14"/>
                <w:b w:val="1"/>
                <w:bCs w:val="1"/>
                <w:color w:val="503C64"/>
              </w:rPr>
              <w:t>Twelve Months Ended December 31, 2023</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380" w:type="dxa"/>
            <w:vAlign w:val="bottom"/>
            <w:tcBorders>
              <w:bottom w:val="single" w:sz="8" w:color="B6B6B6"/>
            </w:tcBorders>
          </w:tcPr>
          <w:p>
            <w:pPr>
              <w:jc w:val="right"/>
              <w:ind w:right="648"/>
              <w:spacing w:after="0"/>
              <w:rPr>
                <w:sz w:val="20"/>
                <w:szCs w:val="20"/>
                <w:color w:val="auto"/>
              </w:rPr>
            </w:pPr>
            <w:r>
              <w:rPr>
                <w:rFonts w:ascii="Arial" w:cs="Arial" w:eastAsia="Arial" w:hAnsi="Arial"/>
                <w:sz w:val="14"/>
                <w:szCs w:val="14"/>
                <w:b w:val="1"/>
                <w:bCs w:val="1"/>
                <w:color w:val="503C64"/>
              </w:rPr>
              <w:t>GAAP</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39,640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(4,201) </w:t>
            </w:r>
            <w:r>
              <w:rPr>
                <w:rFonts w:ascii="Arial" w:cs="Arial" w:eastAsia="Arial" w:hAnsi="Arial"/>
                <w:sz w:val="12"/>
                <w:szCs w:val="12"/>
                <w:color w:val="auto"/>
              </w:rPr>
              <w:t>(3)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35,439</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34,462</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34,462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26,891</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26,891</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19,030</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19,030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20,103</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20,103</w:t>
            </w:r>
          </w:p>
        </w:tc>
      </w:tr>
      <w:tr>
        <w:trPr>
          <w:trHeight w:val="233"/>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B6B6B6"/>
            </w:tcBorders>
          </w:tcPr>
          <w:p>
            <w:pPr>
              <w:spacing w:after="0"/>
              <w:rPr>
                <w:sz w:val="20"/>
                <w:szCs w:val="20"/>
                <w:color w:val="auto"/>
              </w:rPr>
            </w:pPr>
          </w:p>
        </w:tc>
        <w:tc>
          <w:tcPr>
            <w:tcW w:w="138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14,679</w:t>
            </w:r>
          </w:p>
        </w:tc>
        <w:tc>
          <w:tcPr>
            <w:tcW w:w="420" w:type="dxa"/>
            <w:vAlign w:val="bottom"/>
            <w:tcBorders>
              <w:bottom w:val="single" w:sz="8" w:color="B6B6B6"/>
            </w:tcBorders>
          </w:tcPr>
          <w:p>
            <w:pPr>
              <w:spacing w:after="0"/>
              <w:rPr>
                <w:sz w:val="20"/>
                <w:szCs w:val="20"/>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(6,580)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20"/>
                <w:szCs w:val="20"/>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8,099</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154,805</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(10,781)</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144,024</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00" w:type="dxa"/>
            <w:vAlign w:val="bottom"/>
            <w:tcBorders>
              <w:bottom w:val="single" w:sz="8" w:color="B6B6B6"/>
            </w:tcBorders>
          </w:tcPr>
          <w:p>
            <w:pPr>
              <w:spacing w:after="0"/>
              <w:rPr>
                <w:sz w:val="17"/>
                <w:szCs w:val="17"/>
                <w:color w:val="auto"/>
              </w:rPr>
            </w:pPr>
          </w:p>
        </w:tc>
        <w:tc>
          <w:tcPr>
            <w:tcW w:w="3240" w:type="dxa"/>
            <w:vAlign w:val="bottom"/>
            <w:tcBorders>
              <w:bottom w:val="single" w:sz="8" w:color="B6B6B6"/>
            </w:tcBorders>
            <w:gridSpan w:val="4"/>
          </w:tcPr>
          <w:p>
            <w:pPr>
              <w:jc w:val="right"/>
              <w:ind w:right="28"/>
              <w:spacing w:after="0"/>
              <w:rPr>
                <w:sz w:val="20"/>
                <w:szCs w:val="20"/>
                <w:color w:val="auto"/>
              </w:rPr>
            </w:pPr>
            <w:r>
              <w:rPr>
                <w:rFonts w:ascii="Arial" w:cs="Arial" w:eastAsia="Arial" w:hAnsi="Arial"/>
                <w:sz w:val="14"/>
                <w:szCs w:val="14"/>
                <w:b w:val="1"/>
                <w:bCs w:val="1"/>
                <w:color w:val="503C64"/>
              </w:rPr>
              <w:t>Twelve Months Ended December 31, 2022</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4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34,824</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(4,053) </w:t>
            </w:r>
            <w:r>
              <w:rPr>
                <w:rFonts w:ascii="Arial" w:cs="Arial" w:eastAsia="Arial" w:hAnsi="Arial"/>
                <w:sz w:val="12"/>
                <w:szCs w:val="12"/>
                <w:color w:val="auto"/>
              </w:rPr>
              <w:t>(4)</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30,771</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30,084</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30,084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24,898</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24,898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13,034</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13,034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20,215</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20,215</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Borders>
              <w:bottom w:val="single" w:sz="8" w:color="B6B6B6"/>
            </w:tcBorders>
          </w:tcPr>
          <w:p>
            <w:pPr>
              <w:spacing w:after="0"/>
              <w:rPr>
                <w:sz w:val="17"/>
                <w:szCs w:val="17"/>
                <w:color w:val="auto"/>
              </w:rPr>
            </w:pPr>
          </w:p>
        </w:tc>
        <w:tc>
          <w:tcPr>
            <w:tcW w:w="7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10,694</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(6,580)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4,114</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133,749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(10,633)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123,116</w:t>
            </w:r>
          </w:p>
        </w:tc>
      </w:tr>
    </w:tbl>
    <w:p>
      <w:pPr>
        <w:spacing w:after="0" w:line="200" w:lineRule="exact"/>
        <w:rPr>
          <w:sz w:val="20"/>
          <w:szCs w:val="20"/>
          <w:color w:val="auto"/>
        </w:rPr>
      </w:pPr>
    </w:p>
    <w:p>
      <w:pPr>
        <w:spacing w:after="0" w:line="238" w:lineRule="exact"/>
        <w:rPr>
          <w:sz w:val="20"/>
          <w:szCs w:val="20"/>
          <w:color w:val="auto"/>
        </w:rPr>
      </w:pPr>
    </w:p>
    <w:p>
      <w:pPr>
        <w:ind w:left="880" w:hanging="382"/>
        <w:spacing w:after="0"/>
        <w:tabs>
          <w:tab w:leader="none" w:pos="8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95" w:lineRule="exact"/>
        <w:rPr>
          <w:rFonts w:ascii="Arial" w:cs="Arial" w:eastAsia="Arial" w:hAnsi="Arial"/>
          <w:sz w:val="14"/>
          <w:szCs w:val="14"/>
          <w:color w:val="auto"/>
        </w:rPr>
      </w:pPr>
    </w:p>
    <w:p>
      <w:pPr>
        <w:ind w:left="880" w:hanging="382"/>
        <w:spacing w:after="0"/>
        <w:tabs>
          <w:tab w:leader="none" w:pos="8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95" w:lineRule="exact"/>
        <w:rPr>
          <w:rFonts w:ascii="Arial" w:cs="Arial" w:eastAsia="Arial" w:hAnsi="Arial"/>
          <w:sz w:val="14"/>
          <w:szCs w:val="14"/>
          <w:color w:val="auto"/>
        </w:rPr>
      </w:pPr>
    </w:p>
    <w:p>
      <w:pPr>
        <w:ind w:left="880" w:hanging="382"/>
        <w:spacing w:after="0"/>
        <w:tabs>
          <w:tab w:leader="none" w:pos="8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 and certain expenses related to the Settlement.</w:t>
      </w:r>
    </w:p>
    <w:p>
      <w:pPr>
        <w:spacing w:after="0" w:line="109" w:lineRule="exact"/>
        <w:rPr>
          <w:rFonts w:ascii="Arial" w:cs="Arial" w:eastAsia="Arial" w:hAnsi="Arial"/>
          <w:sz w:val="14"/>
          <w:szCs w:val="14"/>
          <w:color w:val="auto"/>
        </w:rPr>
      </w:pPr>
    </w:p>
    <w:p>
      <w:pPr>
        <w:ind w:left="880" w:hanging="382"/>
        <w:spacing w:after="0"/>
        <w:tabs>
          <w:tab w:leader="none" w:pos="8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 and the Warrant Exchange.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89"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3"/>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2024-02-08T06:35:37Z</dcterms:created>
  <dcterms:modified xsi:type="dcterms:W3CDTF">2024-02-08T06:35:37Z</dcterms:modified>
</cp:coreProperties>
</file>