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8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1)*</w:t>
      </w:r>
    </w:p>
    <w:p>
      <w:pPr>
        <w:spacing w:after="0" w:line="22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2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(formerly known as FinTech Acquisition Corp. IV)</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-140335</wp:posOffset>
            </wp:positionV>
            <wp:extent cx="6231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4" w:lineRule="exact"/>
        <w:tabs>
          <w:tab w:leader="none" w:pos="1022"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7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56"/>
        <w:spacing w:after="0" w:line="242" w:lineRule="auto"/>
        <w:tabs>
          <w:tab w:leader="none" w:pos="7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221" w:right="619" w:bottom="1440" w:gutter="0" w:footer="0" w:header="0"/>
        </w:sectPr>
      </w:pPr>
    </w:p>
    <w:bookmarkStart w:id="1" w:name="page2"/>
    <w:bookmarkEnd w:id="1"/>
    <w:p>
      <w:pPr>
        <w:spacing w:after="0"/>
        <w:tabs>
          <w:tab w:leader="none" w:pos="53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ind w:left="1700" w:hanging="967"/>
        <w:spacing w:after="0" w:line="225" w:lineRule="auto"/>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NAMES OF REPORTING PERSONS</w:t>
      </w:r>
    </w:p>
    <w:p>
      <w:pPr>
        <w:spacing w:after="0" w:line="7" w:lineRule="exact"/>
        <w:rPr>
          <w:rFonts w:ascii="Times New Roman" w:cs="Times New Roman" w:eastAsia="Times New Roman" w:hAnsi="Times New Roman"/>
          <w:sz w:val="58"/>
          <w:szCs w:val="58"/>
          <w:b w:val="1"/>
          <w:bCs w:val="1"/>
          <w:color w:val="auto"/>
          <w:vertAlign w:val="subscript"/>
        </w:rPr>
      </w:pPr>
    </w:p>
    <w:p>
      <w:pPr>
        <w:ind w:left="2220" w:hanging="187"/>
        <w:spacing w:after="0"/>
        <w:tabs>
          <w:tab w:leader="none" w:pos="22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Schoenfeld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5057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057775"/>
                    </a:xfrm>
                    <a:prstGeom prst="rect">
                      <a:avLst/>
                    </a:prstGeom>
                    <a:noFill/>
                  </pic:spPr>
                </pic:pic>
              </a:graphicData>
            </a:graphic>
          </wp:anchor>
        </w:drawing>
      </w:r>
    </w:p>
    <w:p>
      <w:pPr>
        <w:spacing w:after="0" w:line="91" w:lineRule="exact"/>
        <w:rPr>
          <w:sz w:val="20"/>
          <w:szCs w:val="20"/>
          <w:color w:val="auto"/>
        </w:rPr>
      </w:pPr>
    </w:p>
    <w:tbl>
      <w:tblPr>
        <w:tblLayout w:type="fixed"/>
        <w:tblInd w:w="740" w:type="dxa"/>
        <w:tblCellMar>
          <w:top w:w="0" w:type="dxa"/>
          <w:left w:w="0" w:type="dxa"/>
          <w:bottom w:w="0" w:type="dxa"/>
          <w:right w:w="0" w:type="dxa"/>
        </w:tblCellMar>
      </w:tblPr>
      <w:tr>
        <w:trPr>
          <w:trHeight w:val="262"/>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2</w:t>
            </w:r>
          </w:p>
        </w:tc>
        <w:tc>
          <w:tcPr>
            <w:tcW w:w="6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2560" w:type="dxa"/>
            <w:vAlign w:val="bottom"/>
            <w:vMerge w:val="restart"/>
          </w:tcPr>
          <w:p>
            <w:pPr>
              <w:ind w:left="2020"/>
              <w:spacing w:after="0" w:line="322" w:lineRule="exact"/>
              <w:rPr>
                <w:sz w:val="20"/>
                <w:szCs w:val="20"/>
                <w:color w:val="auto"/>
              </w:rPr>
            </w:pPr>
            <w:r>
              <w:rPr>
                <w:rFonts w:ascii="Times New Roman" w:cs="Times New Roman" w:eastAsia="Times New Roman" w:hAnsi="Times New Roman"/>
                <w:sz w:val="20"/>
                <w:szCs w:val="20"/>
                <w:color w:val="auto"/>
                <w:w w:val="94"/>
              </w:rPr>
              <w:t xml:space="preserve">(a) </w:t>
            </w:r>
            <w:r>
              <w:rPr>
                <w:rFonts w:ascii="MS PGothic" w:cs="MS PGothic" w:eastAsia="MS PGothic" w:hAnsi="MS PGothic"/>
                <w:sz w:val="28"/>
                <w:szCs w:val="28"/>
                <w:color w:val="auto"/>
                <w:w w:val="94"/>
              </w:rPr>
              <w:t>☐</w:t>
            </w:r>
          </w:p>
        </w:tc>
        <w:tc>
          <w:tcPr>
            <w:tcW w:w="0" w:type="dxa"/>
            <w:vAlign w:val="bottom"/>
          </w:tcPr>
          <w:p>
            <w:pPr>
              <w:spacing w:after="0"/>
              <w:rPr>
                <w:sz w:val="1"/>
                <w:szCs w:val="1"/>
                <w:color w:val="auto"/>
              </w:rPr>
            </w:pPr>
          </w:p>
        </w:tc>
      </w:tr>
      <w:tr>
        <w:trPr>
          <w:trHeight w:val="76"/>
        </w:trPr>
        <w:tc>
          <w:tcPr>
            <w:tcW w:w="560" w:type="dxa"/>
            <w:vAlign w:val="bottom"/>
            <w:vMerge w:val="continue"/>
          </w:tcPr>
          <w:p>
            <w:pPr>
              <w:spacing w:after="0"/>
              <w:rPr>
                <w:sz w:val="6"/>
                <w:szCs w:val="6"/>
                <w:color w:val="auto"/>
              </w:rPr>
            </w:pPr>
          </w:p>
        </w:tc>
        <w:tc>
          <w:tcPr>
            <w:tcW w:w="6900" w:type="dxa"/>
            <w:vAlign w:val="bottom"/>
          </w:tcPr>
          <w:p>
            <w:pPr>
              <w:spacing w:after="0"/>
              <w:rPr>
                <w:sz w:val="6"/>
                <w:szCs w:val="6"/>
                <w:color w:val="auto"/>
              </w:rPr>
            </w:pPr>
          </w:p>
        </w:tc>
        <w:tc>
          <w:tcPr>
            <w:tcW w:w="2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560" w:type="dxa"/>
            <w:vAlign w:val="bottom"/>
          </w:tcPr>
          <w:p>
            <w:pPr>
              <w:ind w:left="2020"/>
              <w:spacing w:after="0" w:line="322" w:lineRule="exact"/>
              <w:rPr>
                <w:sz w:val="20"/>
                <w:szCs w:val="20"/>
                <w:color w:val="auto"/>
              </w:rPr>
            </w:pPr>
            <w:r>
              <w:rPr>
                <w:rFonts w:ascii="Times New Roman" w:cs="Times New Roman" w:eastAsia="Times New Roman" w:hAnsi="Times New Roman"/>
                <w:sz w:val="20"/>
                <w:szCs w:val="20"/>
                <w:color w:val="auto"/>
                <w:w w:val="92"/>
              </w:rPr>
              <w:t xml:space="preserve">(b) </w:t>
            </w: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bl>
    <w:p>
      <w:pPr>
        <w:ind w:left="1700" w:hanging="967"/>
        <w:spacing w:after="0" w:line="185" w:lineRule="auto"/>
        <w:tabs>
          <w:tab w:leader="none" w:pos="1700" w:val="left"/>
        </w:tabs>
        <w:numPr>
          <w:ilvl w:val="0"/>
          <w:numId w:val="4"/>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w w:val="99"/>
              </w:rPr>
              <w:t>Delaware</w:t>
            </w:r>
          </w:p>
        </w:tc>
        <w:tc>
          <w:tcPr>
            <w:tcW w:w="6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260" w:type="dxa"/>
            <w:vAlign w:val="bottom"/>
            <w:tcBorders>
              <w:right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29"/>
                <w:szCs w:val="29"/>
                <w:b w:val="1"/>
                <w:bCs w:val="1"/>
                <w:color w:val="auto"/>
              </w:rPr>
              <w:t>5</w:t>
            </w: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3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36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right w:val="single" w:sz="8" w:color="auto"/>
            </w:tcBorders>
            <w:vMerge w:val="restart"/>
          </w:tcPr>
          <w:p>
            <w:pPr>
              <w:jc w:val="right"/>
              <w:ind w:right="455"/>
              <w:spacing w:after="0" w:line="330" w:lineRule="exact"/>
              <w:rPr>
                <w:sz w:val="20"/>
                <w:szCs w:val="20"/>
                <w:color w:val="auto"/>
              </w:rPr>
            </w:pPr>
            <w:r>
              <w:rPr>
                <w:rFonts w:ascii="Times New Roman" w:cs="Times New Roman" w:eastAsia="Times New Roman" w:hAnsi="Times New Roman"/>
                <w:sz w:val="29"/>
                <w:szCs w:val="29"/>
                <w:b w:val="1"/>
                <w:bCs w:val="1"/>
                <w:color w:val="auto"/>
              </w:rPr>
              <w:t>6</w:t>
            </w: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8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645,743 shares of Class A Common Stock (including 50,000 shares of Class A Common Stock</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tcPr>
          <w:p>
            <w:pPr>
              <w:spacing w:after="0"/>
              <w:rPr>
                <w:sz w:val="10"/>
                <w:szCs w:val="10"/>
                <w:color w:val="auto"/>
              </w:rPr>
            </w:pPr>
          </w:p>
        </w:tc>
        <w:tc>
          <w:tcPr>
            <w:tcW w:w="8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3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issuable upon the exercise of warrants)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3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right"/>
              <w:ind w:right="455"/>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36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3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3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29"/>
                <w:szCs w:val="29"/>
                <w:b w:val="1"/>
                <w:bCs w:val="1"/>
                <w:color w:val="auto"/>
              </w:rPr>
              <w:t>8</w:t>
            </w:r>
          </w:p>
        </w:tc>
        <w:tc>
          <w:tcPr>
            <w:tcW w:w="6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36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8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645,743 shares of Class A Common Stock (including 50,000 shares of Class A Common Stock</w:t>
            </w:r>
          </w:p>
        </w:tc>
        <w:tc>
          <w:tcPr>
            <w:tcW w:w="0" w:type="dxa"/>
            <w:vAlign w:val="bottom"/>
          </w:tcPr>
          <w:p>
            <w:pPr>
              <w:spacing w:after="0"/>
              <w:rPr>
                <w:sz w:val="1"/>
                <w:szCs w:val="1"/>
                <w:color w:val="auto"/>
              </w:rPr>
            </w:pPr>
          </w:p>
        </w:tc>
      </w:tr>
      <w:tr>
        <w:trPr>
          <w:trHeight w:val="51"/>
        </w:trPr>
        <w:tc>
          <w:tcPr>
            <w:tcW w:w="1580" w:type="dxa"/>
            <w:vAlign w:val="bottom"/>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issuable upon the exercise of warrants)</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9660" w:type="dxa"/>
            <w:vAlign w:val="bottom"/>
            <w:gridSpan w:val="3"/>
            <w:vMerge w:val="restart"/>
          </w:tcPr>
          <w:p>
            <w:pPr>
              <w:ind w:left="460"/>
              <w:spacing w:after="0"/>
              <w:rPr>
                <w:sz w:val="20"/>
                <w:szCs w:val="20"/>
                <w:color w:val="auto"/>
              </w:rPr>
            </w:pPr>
            <w:r>
              <w:rPr>
                <w:rFonts w:ascii="Times New Roman" w:cs="Times New Roman" w:eastAsia="Times New Roman" w:hAnsi="Times New Roman"/>
                <w:sz w:val="20"/>
                <w:szCs w:val="20"/>
                <w:color w:val="auto"/>
              </w:rPr>
              <w:t>645,743 shares of Class A Common Stock (including 50,000 shares of Class A Common Stock issuable upon the</w:t>
            </w:r>
          </w:p>
        </w:tc>
        <w:tc>
          <w:tcPr>
            <w:tcW w:w="0" w:type="dxa"/>
            <w:vAlign w:val="bottom"/>
          </w:tcPr>
          <w:p>
            <w:pPr>
              <w:spacing w:after="0"/>
              <w:rPr>
                <w:sz w:val="1"/>
                <w:szCs w:val="1"/>
                <w:color w:val="auto"/>
              </w:rPr>
            </w:pPr>
          </w:p>
        </w:tc>
      </w:tr>
      <w:tr>
        <w:trPr>
          <w:trHeight w:val="51"/>
        </w:trPr>
        <w:tc>
          <w:tcPr>
            <w:tcW w:w="1580" w:type="dxa"/>
            <w:vAlign w:val="bottom"/>
          </w:tcPr>
          <w:p>
            <w:pPr>
              <w:spacing w:after="0"/>
              <w:rPr>
                <w:sz w:val="4"/>
                <w:szCs w:val="4"/>
                <w:color w:val="auto"/>
              </w:rPr>
            </w:pPr>
          </w:p>
        </w:tc>
        <w:tc>
          <w:tcPr>
            <w:tcW w:w="9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2"/>
                <w:szCs w:val="22"/>
                <w:color w:val="auto"/>
              </w:rPr>
            </w:pPr>
          </w:p>
        </w:tc>
        <w:tc>
          <w:tcPr>
            <w:tcW w:w="76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exercise of warrants)</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11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762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3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20"/>
                <w:szCs w:val="20"/>
                <w:color w:val="auto"/>
              </w:rPr>
              <w:t>1.5%</w:t>
            </w:r>
          </w:p>
        </w:tc>
        <w:tc>
          <w:tcPr>
            <w:tcW w:w="6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IA, PN</w:t>
            </w:r>
          </w:p>
        </w:tc>
        <w:tc>
          <w:tcPr>
            <w:tcW w:w="6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71367G102</w:t>
            </w:r>
          </w:p>
        </w:tc>
        <w:tc>
          <w:tcPr>
            <w:tcW w:w="328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13G/A</w:t>
            </w:r>
          </w:p>
        </w:tc>
        <w:tc>
          <w:tcPr>
            <w:tcW w:w="31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w w:val="98"/>
              </w:rPr>
              <w:t>Page 3 of 7 Pages</w:t>
            </w:r>
          </w:p>
        </w:tc>
        <w:tc>
          <w:tcPr>
            <w:tcW w:w="0" w:type="dxa"/>
            <w:vAlign w:val="bottom"/>
          </w:tcPr>
          <w:p>
            <w:pPr>
              <w:spacing w:after="0"/>
              <w:rPr>
                <w:sz w:val="1"/>
                <w:szCs w:val="1"/>
                <w:color w:val="auto"/>
              </w:rPr>
            </w:pPr>
          </w:p>
        </w:tc>
      </w:tr>
      <w:tr>
        <w:trPr>
          <w:trHeight w:val="331"/>
        </w:trPr>
        <w:tc>
          <w:tcPr>
            <w:tcW w:w="13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00" w:type="dxa"/>
            <w:vAlign w:val="bottom"/>
            <w:vMerge w:val="restart"/>
          </w:tcPr>
          <w:p>
            <w:pPr>
              <w:jc w:val="right"/>
              <w:ind w:right="294"/>
              <w:spacing w:after="0"/>
              <w:rPr>
                <w:sz w:val="20"/>
                <w:szCs w:val="20"/>
                <w:color w:val="auto"/>
              </w:rPr>
            </w:pPr>
            <w:r>
              <w:rPr>
                <w:rFonts w:ascii="Times New Roman" w:cs="Times New Roman" w:eastAsia="Times New Roman" w:hAnsi="Times New Roman"/>
                <w:sz w:val="29"/>
                <w:szCs w:val="29"/>
                <w:b w:val="1"/>
                <w:bCs w:val="1"/>
                <w:color w:val="auto"/>
              </w:rPr>
              <w:t>1</w:t>
            </w:r>
          </w:p>
        </w:tc>
        <w:tc>
          <w:tcPr>
            <w:tcW w:w="34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2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4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Peter M. Schoenfeld</w:t>
            </w:r>
          </w:p>
        </w:tc>
        <w:tc>
          <w:tcPr>
            <w:tcW w:w="32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Borders>
              <w:bottom w:val="single" w:sz="8" w:color="auto"/>
            </w:tcBorders>
          </w:tcPr>
          <w:p>
            <w:pPr>
              <w:spacing w:after="0"/>
              <w:rPr>
                <w:sz w:val="8"/>
                <w:szCs w:val="8"/>
                <w:color w:val="auto"/>
              </w:rPr>
            </w:pPr>
          </w:p>
        </w:tc>
        <w:tc>
          <w:tcPr>
            <w:tcW w:w="6760" w:type="dxa"/>
            <w:vAlign w:val="bottom"/>
            <w:tcBorders>
              <w:bottom w:val="single" w:sz="8" w:color="auto"/>
            </w:tcBorders>
            <w:gridSpan w:val="2"/>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80" w:type="dxa"/>
            <w:vAlign w:val="bottom"/>
            <w:vMerge w:val="restart"/>
          </w:tcPr>
          <w:p>
            <w:pPr>
              <w:ind w:left="216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480" w:type="dxa"/>
            <w:vAlign w:val="bottom"/>
          </w:tcPr>
          <w:p>
            <w:pPr>
              <w:spacing w:after="0"/>
              <w:rPr>
                <w:sz w:val="6"/>
                <w:szCs w:val="6"/>
                <w:color w:val="auto"/>
              </w:rPr>
            </w:pPr>
          </w:p>
        </w:tc>
        <w:tc>
          <w:tcPr>
            <w:tcW w:w="328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80" w:type="dxa"/>
            <w:vAlign w:val="bottom"/>
          </w:tcPr>
          <w:p>
            <w:pPr>
              <w:ind w:left="216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5057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057775"/>
                    </a:xfrm>
                    <a:prstGeom prst="rect">
                      <a:avLst/>
                    </a:prstGeom>
                    <a:noFill/>
                  </pic:spPr>
                </pic:pic>
              </a:graphicData>
            </a:graphic>
          </wp:anchor>
        </w:drawing>
      </w:r>
    </w:p>
    <w:p>
      <w:pPr>
        <w:ind w:left="1700" w:hanging="967"/>
        <w:spacing w:after="0" w:line="185" w:lineRule="auto"/>
        <w:tabs>
          <w:tab w:leader="none" w:pos="1700" w:val="left"/>
        </w:tabs>
        <w:numPr>
          <w:ilvl w:val="0"/>
          <w:numId w:val="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7620" w:type="dxa"/>
            <w:vAlign w:val="bottom"/>
            <w:gridSpan w:val="2"/>
            <w:vMerge w:val="restart"/>
          </w:tcPr>
          <w:p>
            <w:pPr>
              <w:ind w:left="460"/>
              <w:spacing w:after="0"/>
              <w:rPr>
                <w:sz w:val="20"/>
                <w:szCs w:val="20"/>
                <w:color w:val="auto"/>
              </w:rPr>
            </w:pPr>
            <w:r>
              <w:rPr>
                <w:rFonts w:ascii="Times New Roman" w:cs="Times New Roman" w:eastAsia="Times New Roman" w:hAnsi="Times New Roman"/>
                <w:sz w:val="20"/>
                <w:szCs w:val="20"/>
                <w:color w:val="auto"/>
              </w:rPr>
              <w:t>United States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762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260" w:type="dxa"/>
            <w:vAlign w:val="bottom"/>
            <w:tcBorders>
              <w:right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29"/>
                <w:szCs w:val="29"/>
                <w:b w:val="1"/>
                <w:bCs w:val="1"/>
                <w:color w:val="auto"/>
              </w:rPr>
              <w:t>5</w:t>
            </w: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3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36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right w:val="single" w:sz="8" w:color="auto"/>
            </w:tcBorders>
            <w:vMerge w:val="restart"/>
          </w:tcPr>
          <w:p>
            <w:pPr>
              <w:jc w:val="right"/>
              <w:ind w:right="455"/>
              <w:spacing w:after="0" w:line="330" w:lineRule="exact"/>
              <w:rPr>
                <w:sz w:val="20"/>
                <w:szCs w:val="20"/>
                <w:color w:val="auto"/>
              </w:rPr>
            </w:pPr>
            <w:r>
              <w:rPr>
                <w:rFonts w:ascii="Times New Roman" w:cs="Times New Roman" w:eastAsia="Times New Roman" w:hAnsi="Times New Roman"/>
                <w:sz w:val="29"/>
                <w:szCs w:val="29"/>
                <w:b w:val="1"/>
                <w:bCs w:val="1"/>
                <w:color w:val="auto"/>
              </w:rPr>
              <w:t>6</w:t>
            </w:r>
          </w:p>
        </w:tc>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8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645,743 shares of Class A Common Stock (including 50,000 shares of Class A Common Stock</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tcPr>
          <w:p>
            <w:pPr>
              <w:spacing w:after="0"/>
              <w:rPr>
                <w:sz w:val="10"/>
                <w:szCs w:val="10"/>
                <w:color w:val="auto"/>
              </w:rPr>
            </w:pPr>
          </w:p>
        </w:tc>
        <w:tc>
          <w:tcPr>
            <w:tcW w:w="8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3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issuable upon the exercise of warrants)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3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right"/>
              <w:ind w:right="455"/>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36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3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3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29"/>
                <w:szCs w:val="29"/>
                <w:b w:val="1"/>
                <w:bCs w:val="1"/>
                <w:color w:val="auto"/>
              </w:rPr>
              <w:t>8</w:t>
            </w:r>
          </w:p>
        </w:tc>
        <w:tc>
          <w:tcPr>
            <w:tcW w:w="6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36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8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645,743 shares of Class A Common Stock (including 50,000 shares of Class A Common Stock</w:t>
            </w:r>
          </w:p>
        </w:tc>
        <w:tc>
          <w:tcPr>
            <w:tcW w:w="0" w:type="dxa"/>
            <w:vAlign w:val="bottom"/>
          </w:tcPr>
          <w:p>
            <w:pPr>
              <w:spacing w:after="0"/>
              <w:rPr>
                <w:sz w:val="1"/>
                <w:szCs w:val="1"/>
                <w:color w:val="auto"/>
              </w:rPr>
            </w:pPr>
          </w:p>
        </w:tc>
      </w:tr>
      <w:tr>
        <w:trPr>
          <w:trHeight w:val="51"/>
        </w:trPr>
        <w:tc>
          <w:tcPr>
            <w:tcW w:w="1580" w:type="dxa"/>
            <w:vAlign w:val="bottom"/>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issuable upon the exercise of warrants)</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9660" w:type="dxa"/>
            <w:vAlign w:val="bottom"/>
            <w:gridSpan w:val="3"/>
            <w:vMerge w:val="restart"/>
          </w:tcPr>
          <w:p>
            <w:pPr>
              <w:ind w:left="460"/>
              <w:spacing w:after="0"/>
              <w:rPr>
                <w:sz w:val="20"/>
                <w:szCs w:val="20"/>
                <w:color w:val="auto"/>
              </w:rPr>
            </w:pPr>
            <w:r>
              <w:rPr>
                <w:rFonts w:ascii="Times New Roman" w:cs="Times New Roman" w:eastAsia="Times New Roman" w:hAnsi="Times New Roman"/>
                <w:sz w:val="20"/>
                <w:szCs w:val="20"/>
                <w:color w:val="auto"/>
              </w:rPr>
              <w:t>645,743 shares of Class A Common Stock (including 50,000 shares of Class A Common Stock issuable upon the</w:t>
            </w:r>
          </w:p>
        </w:tc>
        <w:tc>
          <w:tcPr>
            <w:tcW w:w="0" w:type="dxa"/>
            <w:vAlign w:val="bottom"/>
          </w:tcPr>
          <w:p>
            <w:pPr>
              <w:spacing w:after="0"/>
              <w:rPr>
                <w:sz w:val="1"/>
                <w:szCs w:val="1"/>
                <w:color w:val="auto"/>
              </w:rPr>
            </w:pPr>
          </w:p>
        </w:tc>
      </w:tr>
      <w:tr>
        <w:trPr>
          <w:trHeight w:val="51"/>
        </w:trPr>
        <w:tc>
          <w:tcPr>
            <w:tcW w:w="1580" w:type="dxa"/>
            <w:vAlign w:val="bottom"/>
          </w:tcPr>
          <w:p>
            <w:pPr>
              <w:spacing w:after="0"/>
              <w:rPr>
                <w:sz w:val="4"/>
                <w:szCs w:val="4"/>
                <w:color w:val="auto"/>
              </w:rPr>
            </w:pPr>
          </w:p>
        </w:tc>
        <w:tc>
          <w:tcPr>
            <w:tcW w:w="9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2"/>
                <w:szCs w:val="22"/>
                <w:color w:val="auto"/>
              </w:rPr>
            </w:pPr>
          </w:p>
        </w:tc>
        <w:tc>
          <w:tcPr>
            <w:tcW w:w="76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exercise of warrants)</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11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762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3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20"/>
                <w:szCs w:val="20"/>
                <w:color w:val="auto"/>
              </w:rPr>
              <w:t>1.5%</w:t>
            </w:r>
          </w:p>
        </w:tc>
        <w:tc>
          <w:tcPr>
            <w:tcW w:w="6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IN</w:t>
            </w:r>
          </w:p>
        </w:tc>
        <w:tc>
          <w:tcPr>
            <w:tcW w:w="6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1" w:right="339" w:bottom="1440" w:gutter="0" w:footer="0" w:header="0"/>
        </w:sectPr>
      </w:pPr>
    </w:p>
    <w:bookmarkStart w:id="3" w:name="page4"/>
    <w:bookmarkEnd w:id="3"/>
    <w:p>
      <w:pPr>
        <w:spacing w:after="0"/>
        <w:tabs>
          <w:tab w:leader="none" w:pos="53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30"/>
        </w:trPr>
        <w:tc>
          <w:tcPr>
            <w:tcW w:w="1260" w:type="dxa"/>
            <w:vAlign w:val="bottom"/>
          </w:tcPr>
          <w:p>
            <w:pPr>
              <w:spacing w:after="0"/>
              <w:rPr>
                <w:sz w:val="24"/>
                <w:szCs w:val="24"/>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name of the issuer is Perella Weinberg Partners (formerly known as FinTech Acquisition Corp. IV) (the</w:t>
            </w:r>
          </w:p>
        </w:tc>
      </w:tr>
      <w:tr>
        <w:trPr>
          <w:trHeight w:val="212"/>
        </w:trPr>
        <w:tc>
          <w:tcPr>
            <w:tcW w:w="1260" w:type="dxa"/>
            <w:vAlign w:val="bottom"/>
          </w:tcPr>
          <w:p>
            <w:pPr>
              <w:spacing w:after="0"/>
              <w:rPr>
                <w:sz w:val="18"/>
                <w:szCs w:val="18"/>
                <w:color w:val="auto"/>
              </w:rPr>
            </w:pPr>
          </w:p>
        </w:tc>
        <w:tc>
          <w:tcPr>
            <w:tcW w:w="9760" w:type="dxa"/>
            <w:vAlign w:val="bottom"/>
            <w:gridSpan w:val="13"/>
          </w:tcPr>
          <w:p>
            <w:pPr>
              <w:ind w:left="420"/>
              <w:spacing w:after="0" w:line="212" w:lineRule="exact"/>
              <w:rPr>
                <w:sz w:val="20"/>
                <w:szCs w:val="20"/>
                <w:color w:val="auto"/>
              </w:rPr>
            </w:pPr>
            <w:r>
              <w:rPr>
                <w:rFonts w:ascii="Times New Roman" w:cs="Times New Roman" w:eastAsia="Times New Roman" w:hAnsi="Times New Roman"/>
                <w:sz w:val="20"/>
                <w:szCs w:val="20"/>
                <w:color w:val="auto"/>
              </w:rPr>
              <w:t>"Company").</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767 Fifth Avenue, New York, NY 10153.</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(i)</w:t>
            </w:r>
          </w:p>
        </w:tc>
        <w:tc>
          <w:tcPr>
            <w:tcW w:w="8820" w:type="dxa"/>
            <w:vAlign w:val="bottom"/>
            <w:gridSpan w:val="11"/>
          </w:tcPr>
          <w:p>
            <w:pPr>
              <w:ind w:left="280"/>
              <w:spacing w:after="0"/>
              <w:rPr>
                <w:sz w:val="20"/>
                <w:szCs w:val="20"/>
                <w:color w:val="auto"/>
              </w:rPr>
            </w:pPr>
            <w:r>
              <w:rPr>
                <w:rFonts w:ascii="Times New Roman" w:cs="Times New Roman" w:eastAsia="Times New Roman" w:hAnsi="Times New Roman"/>
                <w:sz w:val="20"/>
                <w:szCs w:val="20"/>
                <w:color w:val="auto"/>
              </w:rPr>
              <w:t>P. Schoenfeld Asset Management LP ("PSAM"), a Delaware limited partnership, and the investment</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20" w:type="dxa"/>
            <w:vAlign w:val="bottom"/>
            <w:gridSpan w:val="11"/>
          </w:tcPr>
          <w:p>
            <w:pPr>
              <w:ind w:left="280"/>
              <w:spacing w:after="0" w:line="209" w:lineRule="exact"/>
              <w:rPr>
                <w:sz w:val="20"/>
                <w:szCs w:val="20"/>
                <w:color w:val="auto"/>
              </w:rPr>
            </w:pPr>
            <w:r>
              <w:rPr>
                <w:rFonts w:ascii="Times New Roman" w:cs="Times New Roman" w:eastAsia="Times New Roman" w:hAnsi="Times New Roman"/>
                <w:sz w:val="20"/>
                <w:szCs w:val="20"/>
                <w:color w:val="auto"/>
              </w:rPr>
              <w:t>adviser to certain funds and accounts (the "PSAM Funds"), with respect to the shares of Class A Common</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1"/>
          </w:tcPr>
          <w:p>
            <w:pPr>
              <w:ind w:left="280"/>
              <w:spacing w:after="0" w:line="228" w:lineRule="exact"/>
              <w:rPr>
                <w:sz w:val="20"/>
                <w:szCs w:val="20"/>
                <w:color w:val="auto"/>
              </w:rPr>
            </w:pPr>
            <w:r>
              <w:rPr>
                <w:rFonts w:ascii="Times New Roman" w:cs="Times New Roman" w:eastAsia="Times New Roman" w:hAnsi="Times New Roman"/>
                <w:sz w:val="20"/>
                <w:szCs w:val="20"/>
                <w:color w:val="auto"/>
              </w:rPr>
              <w:t>Stock and the shares of Class A Common Stock issuable upon the exercise of warrants (as defined in Item</w:t>
            </w:r>
          </w:p>
        </w:tc>
      </w:tr>
      <w:tr>
        <w:trPr>
          <w:trHeight w:val="258"/>
        </w:trPr>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20" w:type="dxa"/>
            <w:vAlign w:val="bottom"/>
            <w:gridSpan w:val="11"/>
          </w:tcPr>
          <w:p>
            <w:pPr>
              <w:ind w:left="280"/>
              <w:spacing w:after="0"/>
              <w:rPr>
                <w:sz w:val="20"/>
                <w:szCs w:val="20"/>
                <w:color w:val="auto"/>
              </w:rPr>
            </w:pPr>
            <w:r>
              <w:rPr>
                <w:rFonts w:ascii="Times New Roman" w:cs="Times New Roman" w:eastAsia="Times New Roman" w:hAnsi="Times New Roman"/>
                <w:sz w:val="20"/>
                <w:szCs w:val="20"/>
                <w:color w:val="auto"/>
              </w:rPr>
              <w:t>2(d) below) directly held by the PSAM Funds; and</w:t>
            </w:r>
          </w:p>
        </w:tc>
      </w:tr>
      <w:tr>
        <w:trPr>
          <w:trHeight w:val="413"/>
        </w:trPr>
        <w:tc>
          <w:tcPr>
            <w:tcW w:w="126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(ii)</w:t>
            </w:r>
          </w:p>
        </w:tc>
        <w:tc>
          <w:tcPr>
            <w:tcW w:w="8820" w:type="dxa"/>
            <w:vAlign w:val="bottom"/>
            <w:gridSpan w:val="11"/>
          </w:tcPr>
          <w:p>
            <w:pPr>
              <w:ind w:left="280"/>
              <w:spacing w:after="0"/>
              <w:rPr>
                <w:sz w:val="20"/>
                <w:szCs w:val="20"/>
                <w:color w:val="auto"/>
              </w:rPr>
            </w:pPr>
            <w:r>
              <w:rPr>
                <w:rFonts w:ascii="Times New Roman" w:cs="Times New Roman" w:eastAsia="Times New Roman" w:hAnsi="Times New Roman"/>
                <w:sz w:val="20"/>
                <w:szCs w:val="20"/>
                <w:color w:val="auto"/>
                <w:w w:val="98"/>
              </w:rPr>
              <w:t>Mr. Peter M. Schoenfeld ("Mr. Schoenfeld"), as the managing member of P. Schoenfeld Asset Management</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1"/>
          </w:tcPr>
          <w:p>
            <w:pPr>
              <w:ind w:left="280"/>
              <w:spacing w:after="0" w:line="228" w:lineRule="exact"/>
              <w:rPr>
                <w:sz w:val="20"/>
                <w:szCs w:val="20"/>
                <w:color w:val="auto"/>
              </w:rPr>
            </w:pPr>
            <w:r>
              <w:rPr>
                <w:rFonts w:ascii="Times New Roman" w:cs="Times New Roman" w:eastAsia="Times New Roman" w:hAnsi="Times New Roman"/>
                <w:sz w:val="20"/>
                <w:szCs w:val="20"/>
                <w:color w:val="auto"/>
                <w:w w:val="99"/>
              </w:rPr>
              <w:t>GP, LLC, a Delaware limited liability company that serves as the general partner of PSAM, with respect to</w:t>
            </w:r>
          </w:p>
        </w:tc>
      </w:tr>
      <w:tr>
        <w:trPr>
          <w:trHeight w:val="229"/>
        </w:trPr>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1"/>
          </w:tcPr>
          <w:p>
            <w:pPr>
              <w:ind w:left="280"/>
              <w:spacing w:after="0"/>
              <w:rPr>
                <w:sz w:val="20"/>
                <w:szCs w:val="20"/>
                <w:color w:val="auto"/>
              </w:rPr>
            </w:pPr>
            <w:r>
              <w:rPr>
                <w:rFonts w:ascii="Times New Roman" w:cs="Times New Roman" w:eastAsia="Times New Roman" w:hAnsi="Times New Roman"/>
                <w:sz w:val="20"/>
                <w:szCs w:val="20"/>
                <w:color w:val="auto"/>
              </w:rPr>
              <w:t>the shares of Class A Common Stock and the shares of Class A Common Stock issuable upon the exercise</w:t>
            </w:r>
          </w:p>
        </w:tc>
      </w:tr>
      <w:tr>
        <w:trPr>
          <w:trHeight w:val="258"/>
        </w:trPr>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20" w:type="dxa"/>
            <w:vAlign w:val="bottom"/>
            <w:gridSpan w:val="11"/>
          </w:tcPr>
          <w:p>
            <w:pPr>
              <w:ind w:left="280"/>
              <w:spacing w:after="0"/>
              <w:rPr>
                <w:sz w:val="20"/>
                <w:szCs w:val="20"/>
                <w:color w:val="auto"/>
              </w:rPr>
            </w:pPr>
            <w:r>
              <w:rPr>
                <w:rFonts w:ascii="Times New Roman" w:cs="Times New Roman" w:eastAsia="Times New Roman" w:hAnsi="Times New Roman"/>
                <w:sz w:val="20"/>
                <w:szCs w:val="20"/>
                <w:color w:val="auto"/>
              </w:rPr>
              <w:t>of warrants directly held by the PSAM Funds.</w:t>
            </w:r>
          </w:p>
        </w:tc>
      </w:tr>
      <w:tr>
        <w:trPr>
          <w:trHeight w:val="413"/>
        </w:trPr>
        <w:tc>
          <w:tcPr>
            <w:tcW w:w="1260" w:type="dxa"/>
            <w:vAlign w:val="bottom"/>
          </w:tcPr>
          <w:p>
            <w:pPr>
              <w:spacing w:after="0"/>
              <w:rPr>
                <w:sz w:val="24"/>
                <w:szCs w:val="24"/>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w w:val="98"/>
              </w:rPr>
              <w:t>The filing of this statement should not be construed as an admission that any of the forgoing persons or any Reporting</w:t>
            </w:r>
          </w:p>
        </w:tc>
      </w:tr>
      <w:tr>
        <w:trPr>
          <w:trHeight w:val="230"/>
        </w:trPr>
        <w:tc>
          <w:tcPr>
            <w:tcW w:w="1260" w:type="dxa"/>
            <w:vAlign w:val="bottom"/>
          </w:tcPr>
          <w:p>
            <w:pPr>
              <w:spacing w:after="0"/>
              <w:rPr>
                <w:sz w:val="19"/>
                <w:szCs w:val="19"/>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Person is, for the purposes of Section 13 of the Act, the beneficial owner of the shares of Class A Common Stock</w:t>
            </w:r>
          </w:p>
        </w:tc>
      </w:tr>
      <w:tr>
        <w:trPr>
          <w:trHeight w:val="258"/>
        </w:trPr>
        <w:tc>
          <w:tcPr>
            <w:tcW w:w="1260" w:type="dxa"/>
            <w:vAlign w:val="bottom"/>
          </w:tcPr>
          <w:p>
            <w:pPr>
              <w:spacing w:after="0"/>
              <w:rPr>
                <w:sz w:val="22"/>
                <w:szCs w:val="22"/>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reported herein.</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30"/>
        </w:trPr>
        <w:tc>
          <w:tcPr>
            <w:tcW w:w="1260" w:type="dxa"/>
            <w:vAlign w:val="bottom"/>
          </w:tcPr>
          <w:p>
            <w:pPr>
              <w:spacing w:after="0"/>
              <w:rPr>
                <w:sz w:val="24"/>
                <w:szCs w:val="24"/>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w w:val="99"/>
              </w:rPr>
              <w:t>The address of the business office of each of the Reporting Persons is 1350 Avenue of the Americas, 21st Floor, New</w:t>
            </w:r>
          </w:p>
        </w:tc>
      </w:tr>
      <w:tr>
        <w:trPr>
          <w:trHeight w:val="258"/>
        </w:trPr>
        <w:tc>
          <w:tcPr>
            <w:tcW w:w="1260" w:type="dxa"/>
            <w:vAlign w:val="bottom"/>
          </w:tcPr>
          <w:p>
            <w:pPr>
              <w:spacing w:after="0"/>
              <w:rPr>
                <w:sz w:val="22"/>
                <w:szCs w:val="22"/>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York, NY 10019.</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PSAM is a Delaware limited partnership. Mr. Schoenfeld is a citizen of the United States.</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6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Class A common stock, par value $0.0001 per share (the "Class A Common Stock").</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ectPr>
          <w:pgSz w:w="11900" w:h="16838" w:orient="portrait"/>
          <w:cols w:equalWidth="0" w:num="1">
            <w:col w:w="11240"/>
          </w:cols>
          <w:pgMar w:left="320" w:top="221" w:right="339" w:bottom="1440" w:gutter="0" w:footer="0" w:header="0"/>
          <w:type w:val="continuous"/>
        </w:sectPr>
      </w:pPr>
    </w:p>
    <w:bookmarkStart w:id="4" w:name="page5"/>
    <w:bookmarkEnd w:id="4"/>
    <w:p>
      <w:pPr>
        <w:spacing w:after="0"/>
        <w:tabs>
          <w:tab w:leader="none" w:pos="53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1" w:right="339" w:bottom="1440" w:gutter="0" w:footer="0" w:header="0"/>
        </w:sectPr>
      </w:pPr>
    </w:p>
    <w:p>
      <w:pPr>
        <w:spacing w:after="0" w:line="337"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71367G102</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89" w:lineRule="exact"/>
        <w:rPr>
          <w:sz w:val="20"/>
          <w:szCs w:val="20"/>
          <w:color w:val="auto"/>
        </w:rPr>
      </w:pPr>
    </w:p>
    <w:p>
      <w:pPr>
        <w:ind w:left="2560" w:hanging="761"/>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1"/>
        <w:spacing w:after="0" w:line="253" w:lineRule="exact"/>
        <w:tabs>
          <w:tab w:leader="none" w:pos="2565"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89" w:lineRule="exact"/>
        <w:rPr>
          <w:sz w:val="20"/>
          <w:szCs w:val="20"/>
          <w:color w:val="auto"/>
        </w:rPr>
      </w:pPr>
    </w:p>
    <w:p>
      <w:pPr>
        <w:ind w:left="3080" w:right="3280" w:hanging="1281"/>
        <w:spacing w:after="0" w:line="253" w:lineRule="exact"/>
        <w:tabs>
          <w:tab w:leader="none" w:pos="2562"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70"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1"/>
        <w:spacing w:after="0" w:line="253" w:lineRule="exact"/>
        <w:tabs>
          <w:tab w:leader="none" w:pos="2565"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84"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 ____________________</w:t>
      </w:r>
    </w:p>
    <w:p>
      <w:pPr>
        <w:spacing w:after="0" w:line="169"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1800" w:right="1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jc w:val="both"/>
        <w:ind w:left="1800" w:right="10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42,649,041 shares of Class A Common Stock, reported to be outstanding in the Company's Registration Statement on Form S-1 filed with the Securities and Exchange Commission on December 21, 2021, and assumes the exercise of the warrants reported herein.</w:t>
      </w:r>
    </w:p>
    <w:p>
      <w:pPr>
        <w:spacing w:after="0" w:line="184"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right="460"/>
        <w:spacing w:after="0" w:line="261" w:lineRule="exact"/>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221" w:right="339" w:bottom="1440" w:gutter="0" w:footer="0" w:header="0"/>
          <w:type w:val="continuous"/>
        </w:sectPr>
      </w:pPr>
    </w:p>
    <w:bookmarkStart w:id="5" w:name="page6"/>
    <w:bookmarkEnd w:id="5"/>
    <w:p>
      <w:pPr>
        <w:spacing w:after="0"/>
        <w:tabs>
          <w:tab w:leader="none" w:pos="53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1" w:right="339" w:bottom="1440" w:gutter="0" w:footer="0" w:header="0"/>
        </w:sectPr>
      </w:pPr>
    </w:p>
    <w:p>
      <w:pPr>
        <w:spacing w:after="0" w:line="337"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jc w:val="both"/>
        <w:ind w:left="1800" w:right="100"/>
        <w:spacing w:after="0" w:line="269" w:lineRule="auto"/>
        <w:rPr>
          <w:sz w:val="20"/>
          <w:szCs w:val="20"/>
          <w:color w:val="auto"/>
        </w:rPr>
      </w:pPr>
      <w:r>
        <w:rPr>
          <w:rFonts w:ascii="Times New Roman" w:cs="Times New Roman" w:eastAsia="Times New Roman" w:hAnsi="Times New Roman"/>
          <w:sz w:val="20"/>
          <w:szCs w:val="20"/>
          <w:color w:val="auto"/>
        </w:rPr>
        <w:t>See Item 2. The PSAM Funds have the right to receive or the power to direct the receipt of dividends from, or the proceeds from the sale of, the shares of Class A Common Stock reported herein.</w:t>
      </w:r>
    </w:p>
    <w:p>
      <w:pPr>
        <w:spacing w:after="0" w:line="169" w:lineRule="exact"/>
        <w:rPr>
          <w:sz w:val="20"/>
          <w:szCs w:val="20"/>
          <w:color w:val="auto"/>
        </w:rPr>
      </w:pPr>
    </w:p>
    <w:p>
      <w:pPr>
        <w:ind w:left="1800" w:right="100" w:hanging="1686"/>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jc w:val="both"/>
        <w:ind w:left="1800" w:right="10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1" w:right="339" w:bottom="1440" w:gutter="0" w:footer="0" w:header="0"/>
          <w:type w:val="continuous"/>
        </w:sectPr>
      </w:pPr>
    </w:p>
    <w:bookmarkStart w:id="6" w:name="page7"/>
    <w:bookmarkEnd w:id="6"/>
    <w:p>
      <w:pPr>
        <w:spacing w:after="0"/>
        <w:tabs>
          <w:tab w:leader="none" w:pos="53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 SCHOENFELD ASSET MANAGEMENT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P. Schoenfeld Asset Management GP LLC, its General Partner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Peter M.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637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Peter M. Schoenfeld</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Managing Member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Peter M.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6374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PETER M. SCHOENFELD</w:t>
      </w:r>
    </w:p>
    <w:sectPr>
      <w:pgSz w:w="11900" w:h="16838" w:orient="portrait"/>
      <w:cols w:equalWidth="0" w:num="1">
        <w:col w:w="11240"/>
      </w:cols>
      <w:pgMar w:left="320" w:top="2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lvl w:ilvl="1">
      <w:lvlJc w:val="left"/>
      <w:lvlText w:val="%2."/>
      <w:numFmt w:val="upperLetter"/>
      <w:start w:val="16"/>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2023-02-14T05:25:17Z</dcterms:created>
  <dcterms:modified xsi:type="dcterms:W3CDTF">2023-02-14T05:25:17Z</dcterms:modified>
</cp:coreProperties>
</file>