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OLLILA JORMA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Perella Weinberg Partners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08/31/2021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08/31/2021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3,580</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w w:val="93"/>
              </w:rPr>
              <w:t>3,580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08/31/2021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5,490</w:t>
            </w:r>
            <w:r>
              <w:rPr>
                <w:rFonts w:ascii="Arial" w:cs="Arial" w:eastAsia="Arial" w:hAnsi="Arial"/>
                <w:sz w:val="22"/>
                <w:szCs w:val="22"/>
                <w:color w:val="008000"/>
                <w:w w:val="89"/>
                <w:vertAlign w:val="superscript"/>
              </w:rPr>
              <w:t>(2)</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w w:val="93"/>
              </w:rPr>
              <w:t>9,070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3,580 unvested shares subject to awards of director restricted stock units ("RSUs"), which vest in three equal installments on the 12, 24 and 36 month anniversaries of the grant date, subject to continued board service through each vesting date. Each RSU represents a contingent right to receive one share of Class A common stock.</w:t>
      </w:r>
    </w:p>
    <w:p>
      <w:pPr>
        <w:spacing w:after="0" w:line="15" w:lineRule="exact"/>
        <w:rPr>
          <w:rFonts w:ascii="Arial" w:cs="Arial" w:eastAsia="Arial" w:hAnsi="Arial"/>
          <w:sz w:val="13"/>
          <w:szCs w:val="13"/>
          <w:color w:val="008000"/>
        </w:rPr>
      </w:pPr>
    </w:p>
    <w:p>
      <w:pPr>
        <w:ind w:left="40" w:right="3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5,490 unvested shares subject to awards of RSUs, which vest on the date of Perella Weinberg Partners' next general annual stockholder meeting following the grant date, subject to continued board service through such date.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09/01/2021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8944"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2021-09-01T15:35:21Z</dcterms:created>
  <dcterms:modified xsi:type="dcterms:W3CDTF">2021-09-01T15:35:21Z</dcterms:modified>
</cp:coreProperties>
</file>