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9, 2023</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9, 2023, Perella Weinberg Partners (the “Company”) issued a press release announcing its financial results for the fiscal quarter ended December 31, 2022.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9, 2023, the Company announced that its Board of Directors increased the Company’s share repurchase authorization amount by an additional $100,000,000 of the Company’s Class A common stock, par value $0.0001 per share (the “Class A Common Stock”) from the previously announced $100,000,000, with no requirement to purchase any minimum number of shares. As of February 8, 2023, the Company had repurchased 10.2 million shares of Class A Common Stock for $75.0 million under the existing authorization. Shares may be repurchased under the repurchase program through open market purchases, privately negotiated transactions, block trades, accelerated or other structured share repurchase programs, or other means.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manner, timing, pricing and amount of any transactions will be subject to the Company’s discretion and may be based upon market conditions and alternative opportunities that the Company may have for the use or investment of its capital. The Company may also from time to time establish one or more plans under Rule 10b5-1 of the Exchange Act. The repurchase program may be modified, suspended or discontinued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February 9, 2023</w:t>
            </w:r>
          </w:p>
        </w:tc>
        <w:tc>
          <w:tcPr>
            <w:tcW w:w="54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44"/>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9, 2023</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Reports Full Year and Fourth Quarter 2022 Results;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Additional $100 Million Share Repurchase Authorization</w:t>
      </w:r>
    </w:p>
    <w:p>
      <w:pPr>
        <w:spacing w:after="0" w:line="338" w:lineRule="exact"/>
        <w:rPr>
          <w:sz w:val="20"/>
          <w:szCs w:val="20"/>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 Year 2022 Revenues of $631.5 Million; Fourth Quarter 2022 Revenues of $183.1 Million</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Margin of 13.8% for the Full Year 2022 and 9.2% for the Fourth Quarter 2022; GAAP Operating Loss Margin of (7.6)% for the Full Year 2022 and (10.7)% for the Fourth Quarter 2022</w:t>
      </w:r>
    </w:p>
    <w:p>
      <w:pPr>
        <w:spacing w:after="0" w:line="50"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of $81.6 Million for the Full Year 2022 and $12.0 Million for the Fourth Quarter 2022; GAAP Net Loss of $(31.7) Million for the Full Year 2022 and $(22.6) Million for the Fourth Quarter 2022</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of $0.78 for the Full Year 2022 and $0.11 for the Fourth Quarter 2022; GAAP Diluted EPS of $(0.46) for the Full Year 2022 and $(0.28) for the Fourth Quarter 2022</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Continue to Add Senior Talent to Support Strategic Growth and Expand Coverage and Expertise</w:t>
      </w:r>
    </w:p>
    <w:p>
      <w:pPr>
        <w:spacing w:after="0" w:line="116" w:lineRule="exact"/>
        <w:rPr>
          <w:rFonts w:ascii="Arial" w:cs="Arial" w:eastAsia="Arial" w:hAnsi="Arial"/>
          <w:sz w:val="18"/>
          <w:szCs w:val="18"/>
          <w:i w:val="1"/>
          <w:iCs w:val="1"/>
          <w:color w:val="auto"/>
        </w:rPr>
      </w:pPr>
    </w:p>
    <w:p>
      <w:pPr>
        <w:ind w:left="1220" w:right="660" w:hanging="321"/>
        <w:spacing w:after="0" w:line="262" w:lineRule="auto"/>
        <w:tabs>
          <w:tab w:leader="none" w:pos="123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Added Eight Partners and Fourteen Managing Directors to our Advisory Business in 2022 Through Internal Promotions and External Hires</w:t>
      </w:r>
    </w:p>
    <w:p>
      <w:pPr>
        <w:ind w:left="1220" w:hanging="321"/>
        <w:spacing w:after="0"/>
        <w:tabs>
          <w:tab w:leader="none" w:pos="12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Promoted Two Managing Directors to Advisory Partners Effective January 1, 2023</w:t>
      </w:r>
    </w:p>
    <w:p>
      <w:pPr>
        <w:spacing w:after="0" w:line="96"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Out</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tanding Indebtedness; Strong Balance Sheet with $311.7 Million of Cash, Cash Equivalents, and Short-Term Investments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Returned $104 Million Dollars to Shareholders During 2022 Through Repurchases and Dividends</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Repurchased 10,589,863 Shares and Share Equivalents in 2022, Additional Repurchase Authorization of $100 Million Increases Capacity to Repurchase Shares from Approximately $25 Million of Unused Capacity under Firm’s Previously Approved Plan</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Declared Quarterly Dividend of $0.07 Per Share</w:t>
      </w: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NY, February 9, 2023 – Perella Weinberg Partners (the “Firm” or “PWP”) (NASDAQ:PWP) today reported financial results for the full year and fourth quarter ended December 31, 2022. The Firm reported revenues of $631.5 million for the year ended December 31, 2022, compared with $801.7 million for the year ended December 31, 2021, a record year for the firm. GAAP net loss and adjusted net income were $(31.7) million and $81.6 million, respectively, for the year ended December 31, 2022, compared with GAAP net income of $4.0 million and adjusted net income of $160.5 million for the year ended December 31, 2021. GAAP diluted net loss per Class A share (also referred to as “GAAP Diluted EPS”) and adjusted diluted if-converted net income per Class A share (also referred to as “Adjusted EPS”) were $(0.46) and $0.78, respectively, for the year ended December 31, 2022.</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Firm reported fourth quarter revenues of $183.1 million for the three months ended December 31, 2022, compared with $198.9 million for the three months ended December 31, 2021. GAAP net loss and adjusted net income were $(22.6) million and $12.0 million, respectively, for the three months ended December 31, 2022, compared with GAAP net loss of $(18.0) million and adjusted net income of $38.4 million for the three months ended December 31, 2021. GAAP diluted EPS and adjusted EPS were $(0.28) and $0.11, respectively, for the three months ended December 31,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one of the most challenging economic environments in recent memory, it’s a great testament to the firm that in this context we continued to grow our partnership, our MD group and the firm; expanded our client relationships around the world; and returned a significant amount of capital to shareholders. In addition, we accomplished a smooth transition of leadership without missing a beat,” stated Peter Weinberg, Founding Partner and Chairman.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2023 with momentum and a continued focus on scaling our platform over the longer-term. As we begin a new year, we reflect on how grateful we are for our dedicated clients, our exceptional teammates, and the outstanding leadership which Peter provided since the founding of our firm nearly 17 years ago,” stated Andrew Bednar,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8"/>
        <w:spacing w:after="0" w:line="280" w:lineRule="auto"/>
        <w:tabs>
          <w:tab w:leader="none" w:pos="11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71" w:right="339" w:bottom="1440" w:gutter="0" w:footer="0" w:header="0"/>
        </w:sectPr>
      </w:pPr>
    </w:p>
    <w:bookmarkStart w:id="4" w:name="page5"/>
    <w:bookmarkEnd w:id="4"/>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tbl>
      <w:tblPr>
        <w:tblLayout w:type="fixed"/>
        <w:tblInd w:w="20" w:type="dxa"/>
        <w:tblCellMar>
          <w:top w:w="0" w:type="dxa"/>
          <w:left w:w="0" w:type="dxa"/>
          <w:bottom w:w="0" w:type="dxa"/>
          <w:right w:w="0" w:type="dxa"/>
        </w:tblCellMar>
      </w:tblPr>
      <w:tr>
        <w:trPr>
          <w:trHeight w:val="212"/>
        </w:trPr>
        <w:tc>
          <w:tcPr>
            <w:tcW w:w="7460" w:type="dxa"/>
            <w:vAlign w:val="bottom"/>
            <w:gridSpan w:val="3"/>
          </w:tcPr>
          <w:p>
            <w:pPr>
              <w:ind w:left="384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6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504,257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123,116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122,973</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174,432</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160,536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81,623</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 (1)</w:t>
            </w: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43,837,640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42,595,712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89,755,632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92,749,911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90,125,045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ind w:left="340" w:hanging="332"/>
        <w:spacing w:after="0" w:line="258"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twelve months ended December 31, 2021, net income (loss) per share of Class A common stock and weighted-average shares of Class A common stock outstanding is representative of the period from June 24, 2021 through December 31, 2021, the period following the business combination with FinTech Acquisition Corp. IV, which closed on June 24, 2021 (the “Business Combination”). Adjusted net income (loss) per Class A share - Diluted, If-Converted for the twelve months ended December 31,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8"/>
        <w:spacing w:after="0" w:line="280" w:lineRule="auto"/>
        <w:tabs>
          <w:tab w:leader="none" w:pos="11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198,913</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35,382</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45,034</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46,740</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(22,606)</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(21,185)</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12,046</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42,638,357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42,591,146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87,442,255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92,745,345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88,453,323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94,293,814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firstLine="8"/>
        <w:spacing w:after="0" w:line="280" w:lineRule="auto"/>
        <w:tabs>
          <w:tab w:leader="none" w:pos="11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85" w:right="339" w:bottom="1440" w:gutter="0" w:footer="0" w:header="0"/>
        </w:sectPr>
      </w:pPr>
    </w:p>
    <w:bookmarkStart w:id="6" w:name="page7"/>
    <w:bookmarkEnd w:id="6"/>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revenues were $631.5 million, compared with $801.7 million for 2021</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 decrease of 21% off of record year performance. For the fourth quarter 2022, revenues were $183.1 million, a decrease of 8% from $198.9 million for the fourth quarter 2021. The period-over-period decline, for both the full year and the fourth quarter, was primarily driven by a reduction in mergers and acquisition activity partially offset by a step-up in fees related to our financing and capital solutions advisory business. The decrease in revenues for the full year period can be attributed to both fewer advisory transaction completions as well as a decrease in average fee size per client. The decrease in revenues for the fourth quarter 2022 was driven by a decrease in average fee size per client as compared to the fourth quarter 2021, despite a modest increase in the number of advisory transaction completions.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60" w:type="dxa"/>
            <w:vAlign w:val="bottom"/>
            <w:tcBorders>
              <w:bottom w:val="single" w:sz="8" w:color="auto"/>
            </w:tcBorders>
          </w:tcPr>
          <w:p>
            <w:pPr>
              <w:spacing w:after="0"/>
              <w:rPr>
                <w:sz w:val="18"/>
                <w:szCs w:val="18"/>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545,491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421,138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504,257</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63 %</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Non-compensation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133,749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134,384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123,116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122,973</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total compensation and benefits were $545.5 million for the year ended December 31, 2022, compared to $600.7 million for the year ended December 31, 2021. Adjusted total compensation and benefits were $421.1 million for the year ended December 31, 2022, compared to $504.3 million for the year ended December 31, 2021. The decrease in both GAAP total compensation and benefits and adjusted total compensation and benefits was due to a smaller bonus accrual on an absolute dollar basis associated with lower revenues, despite a higher compensation margin necessitated to attract, motivate and retain talent. On a GAAP basis, the smaller bonus accrual amount was partially offset by increased equity-based compensation related to equity awards issued in connection with or subsequent to the Business Combination.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non-compensation expenses were $133.7 million for the year ended December 31, 2022, compared with $134.4 million for the year ended December 31, 2021. Adjusted non-compensation expenses were $123.1 million for the year ended December 31, 2022, compared with $123.0 million for the year ended December 31, 2021. The relative stability experienced in both GAAP non-compensation expenses and non-compensation expenses on an adjusted basis was the result of a step-up in certain spend, including an increase in travel and related expenses as our teams returned to more normalized travel, an increase in technology and recruiting spend, a full year of public company costs including D&amp;O insurance, and an increase in bad debt expense, offset by a moderation in other spend categories including a decrease in professional fees related to consulting and legal expense, lower rent and occupancy costs as a result of our New York lease extension, and reduced depreciation and amortization expense due to office locations reaching the end of their initial lease terms. On a GAAP basis, non-compensation expenses also comprised of costs associated with a potential future partnership restructuring that had been contemplated during the implementation of the up-C structure as well as costs associated with the warrant exchange transaction.</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00" w:type="dxa"/>
            <w:vAlign w:val="bottom"/>
            <w:tcBorders>
              <w:bottom w:val="single" w:sz="8" w:color="auto"/>
            </w:tcBorders>
          </w:tcPr>
          <w:p>
            <w:pPr>
              <w:spacing w:after="0"/>
              <w:rPr>
                <w:sz w:val="18"/>
                <w:szCs w:val="18"/>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167,083</w:t>
            </w:r>
          </w:p>
        </w:tc>
        <w:tc>
          <w:tcPr>
            <w:tcW w:w="1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162,226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134,133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118,497</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60 %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35,608</w:t>
            </w:r>
          </w:p>
        </w:tc>
        <w:tc>
          <w:tcPr>
            <w:tcW w:w="1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37,306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32,131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35,382</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total compensation and benefits were $167.1 million for the fourth quarter 2022, compared to $162.2 million for the fourth quarter 2021. Adjusted total compensation and benefits were $134.1 million for the fourth quarter 2022 as compared to $118.5 million for the same period a year ago. The increase in both GAAP total compensation and benefits and adjusted total compensation and benefits in the fourth quarter 2022 was due to a higher compensation margin which was the result of a decision made in the fourth quarter to increase the full year compensation margin from the level where the Firm was previously accruing.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8"/>
        <w:spacing w:after="0" w:line="280" w:lineRule="auto"/>
        <w:tabs>
          <w:tab w:leader="none" w:pos="1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non-compensation expenses were $35.6 million for the fourth quarter 2022, compared with $37.3 million for the fourth quarter 2021. Adjusted non-compensation expenses were $32.1 million for the fourth quarter 2022, compared with $35.4 million for the same period a year ago. The decrease in both GAAP non-compensation expenses and non-compensation expenses on an adjusted basis was primarily driven by lower professional fees related to consulting and recruiting, reduced depreciation and amortization expense due to office locations reaching the end of their initial lease terms, and reduced D&amp;O insurance costs over the prior year period, partially offset by an increase in travel and related expenses as our teams returned to more normalized travel, periods of overlapping rent related to our new headquarter locations, and an increase in technology spend. On a GAAP basis, the decrease in non-compensation expenses was also partially offset by costs incurred in the fourth quarter 2022 relating to a potential future partnership restructuring that had been contemplated during the implementation of the up-C structure at the time of the Business Combination.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Perella Weinberg Partners currently owns 48.39% of the operating partnership (PWP Holdings LP) and is subject to U.S. federal and state corporate income tax. Income earned by the operating partnership is subject to certain state and foreign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close of the Business Combination on June 24, 2021, all of our operating income was derived from the predecessor PWP entity and was not subject to U.S. corporate income tax.</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purposes of calculating adjusted if-converted net income, we have presented our results as if all partnership units had been converted to shares of Class A Common Stock, and as if all of our adjusted income for the period was subjected to U.S. corporate income tax. For the twelve months ended December 31, 2022, the effective tax rate for adjusted if-converted net income was 28.25%.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Capital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PWP had $311.7 million of cash, cash equivalents and short-term investments in U.S. Treasury Securities. The Firm has no outstanding indebtedness and has an undrawn revolving credit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the Firm’s Board of Directors authorized the additional repurchase of shares of PWP’s Class A common stock in an amount of up to $100 million incremental to the remaining value of approximately $25 million as of February 8, 2023 from February 2022’s authorization. The authorization does not require the purchase of any minimum number of shares.</w:t>
      </w:r>
    </w:p>
    <w:p>
      <w:pPr>
        <w:spacing w:after="0" w:line="203" w:lineRule="exact"/>
        <w:rPr>
          <w:sz w:val="20"/>
          <w:szCs w:val="20"/>
          <w:color w:val="auto"/>
        </w:rPr>
      </w:pPr>
    </w:p>
    <w:p>
      <w:pPr>
        <w:ind w:right="1840"/>
        <w:spacing w:after="0" w:line="256" w:lineRule="auto"/>
        <w:rPr>
          <w:sz w:val="20"/>
          <w:szCs w:val="20"/>
          <w:color w:val="auto"/>
        </w:rPr>
      </w:pPr>
      <w:r>
        <w:rPr>
          <w:rFonts w:ascii="Times New Roman" w:cs="Times New Roman" w:eastAsia="Times New Roman" w:hAnsi="Times New Roman"/>
          <w:sz w:val="18"/>
          <w:szCs w:val="18"/>
          <w:color w:val="auto"/>
        </w:rPr>
        <w:t>PWP may purchase shares from time to time at the discretion of management through open market purchases, privately negotiated transactions, block trades, accelerated or other structured share repurchase programs, or other means. The manner, timing, pricing and amount of any transactions will be subject to the discretion of PWP and may be based upon market conditions and alternative opportunities that PWP may have for the use or investment of its capital. The Company may also from time to time establish one or more plans under Rule 10b5-1 of the Securities Exchange Act of 1934, as amended. The repurchase program may be modified, suspended or discontinued at any time.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2022, PWP returned $104 million dollars to shareholders through the repurchase of 9,544,016 shares at an average price per share of $7.20 in open market transactions pursuant to PWP’s Class A common stock repurchase program, the net settlement of 1,045,847 share equivalents to satisfy tax withholding obligations at an average price per share of $9.28 and the payment of $25.7 million dollars in pro rata distributions to limited partners which allowed PWP to pay its dividends of $12.8 million dollars.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PWP has declared a quarterly dividend of $0.07 per share of Class A common stock. The dividend will be paid on March 10, 2023 to Class A common stockholders of record on February 28,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8"/>
        <w:spacing w:after="0" w:line="280" w:lineRule="auto"/>
        <w:tabs>
          <w:tab w:leader="none" w:pos="11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webcast and conference call on Thursday, February 9, 2023 at 9:00 am ET to discuss PWP’s financial results for the full year and fourth quarter ended December 31,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made available in the Investors section of PWP’s website at https://investors.pwpartners.com/.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can also be accessed by the following dial-in information:</w:t>
      </w:r>
    </w:p>
    <w:p>
      <w:pPr>
        <w:spacing w:after="0" w:line="239" w:lineRule="exact"/>
        <w:rPr>
          <w:sz w:val="20"/>
          <w:szCs w:val="20"/>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(800) 245-3047</w:t>
      </w:r>
    </w:p>
    <w:p>
      <w:pPr>
        <w:spacing w:after="0" w:line="22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(203) 518-9765</w:t>
      </w:r>
    </w:p>
    <w:p>
      <w:pPr>
        <w:spacing w:after="0" w:line="21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PWPQ422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replay of the call will also be available on PWP’s website approximately two hours after the live call through February 16, 2023. To access the replay, dial (800) 839-5493 (Domestic) or (402) 220-2552 (International). The replay can also be accessed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650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latest presentation posted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Perella Weinberg Partners Investor Relations: investors@pwpartners.com</w:t>
      </w:r>
    </w:p>
    <w:p>
      <w:pPr>
        <w:spacing w:after="0"/>
        <w:rPr>
          <w:sz w:val="20"/>
          <w:szCs w:val="20"/>
          <w:color w:val="auto"/>
        </w:rPr>
      </w:pPr>
      <w:r>
        <w:rPr>
          <w:rFonts w:ascii="Times New Roman" w:cs="Times New Roman" w:eastAsia="Times New Roman" w:hAnsi="Times New Roman"/>
          <w:sz w:val="18"/>
          <w:szCs w:val="18"/>
          <w:color w:val="auto"/>
        </w:rPr>
        <w:t>For Perella Weinberg Partners Media: media@pwpartners.com</w:t>
      </w:r>
    </w:p>
    <w:p>
      <w:pPr>
        <w:spacing w:after="0" w:line="301" w:lineRule="exact"/>
        <w:rPr>
          <w:sz w:val="20"/>
          <w:szCs w:val="20"/>
          <w:color w:val="auto"/>
        </w:rPr>
      </w:pPr>
    </w:p>
    <w:p>
      <w:pPr>
        <w:ind w:firstLine="8"/>
        <w:spacing w:after="0" w:line="298" w:lineRule="auto"/>
        <w:tabs>
          <w:tab w:leader="none" w:pos="11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215" w:lineRule="exact"/>
        <w:rPr>
          <w:sz w:val="20"/>
          <w:szCs w:val="20"/>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opportunity of the Firm;</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Firm’s Class A common stock on Nasdaq following the Business Combination;</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660" w:right="580" w:hanging="386"/>
        <w:spacing w:after="0" w:line="282" w:lineRule="auto"/>
        <w:tabs>
          <w:tab w:leader="none" w:pos="6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53"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Firm, including:</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Firm realizes all or any of the anticipated benefits from the Business Combination;</w:t>
      </w:r>
    </w:p>
    <w:p>
      <w:pPr>
        <w:spacing w:after="0" w:line="117" w:lineRule="exact"/>
        <w:rPr>
          <w:rFonts w:ascii="Times New Roman" w:cs="Times New Roman" w:eastAsia="Times New Roman" w:hAnsi="Times New Roman"/>
          <w:sz w:val="18"/>
          <w:szCs w:val="18"/>
          <w:color w:val="auto"/>
        </w:rPr>
      </w:pPr>
    </w:p>
    <w:p>
      <w:pPr>
        <w:ind w:left="920" w:right="260" w:hanging="303"/>
        <w:spacing w:after="0" w:line="282" w:lineRule="auto"/>
        <w:tabs>
          <w:tab w:leader="none" w:pos="91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Firm’s ability to retain or compete for professional talent or investor capital;</w:t>
      </w:r>
    </w:p>
    <w:p>
      <w:pPr>
        <w:spacing w:after="0" w:line="53" w:lineRule="exact"/>
        <w:rPr>
          <w:rFonts w:ascii="Times New Roman" w:cs="Times New Roman" w:eastAsia="Times New Roman" w:hAnsi="Times New Roman"/>
          <w:sz w:val="18"/>
          <w:szCs w:val="18"/>
          <w:color w:val="auto"/>
        </w:rPr>
      </w:pPr>
    </w:p>
    <w:p>
      <w:pPr>
        <w:jc w:val="both"/>
        <w:ind w:left="920" w:right="320" w:hanging="303"/>
        <w:spacing w:after="0" w:line="266" w:lineRule="auto"/>
        <w:tabs>
          <w:tab w:leader="none" w:pos="91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6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dependence on and ability to retain working partners and other key employees;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successfully identify, recruit and develop talent;</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78" w:right="339" w:bottom="1440" w:gutter="0" w:footer="0" w:header="0"/>
          <w:type w:val="continuous"/>
        </w:sectPr>
      </w:pPr>
    </w:p>
    <w:bookmarkStart w:id="10" w:name="page11"/>
    <w:bookmarkEnd w:id="10"/>
    <w:p>
      <w:pPr>
        <w:ind w:left="920" w:right="46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the Firm’s dependence on its fee-paying clients and fluctuating revenues from its non-exclusive, engagement-by-engagement business model;</w:t>
      </w:r>
    </w:p>
    <w:p>
      <w:pPr>
        <w:spacing w:after="0" w:line="53" w:lineRule="exact"/>
        <w:rPr>
          <w:rFonts w:ascii="Times New Roman" w:cs="Times New Roman" w:eastAsia="Times New Roman" w:hAnsi="Times New Roman"/>
          <w:sz w:val="18"/>
          <w:szCs w:val="18"/>
          <w:color w:val="auto"/>
        </w:rPr>
      </w:pPr>
    </w:p>
    <w:p>
      <w:pPr>
        <w:ind w:left="920" w:right="12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Firm’s revenues as a result of its reliance on advisory fees that are largely contingent on the completion of events which may be out of its control;</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Firm’s clients to pay for its services, including its restructuring clients;</w:t>
      </w:r>
    </w:p>
    <w:p>
      <w:pPr>
        <w:spacing w:after="0" w:line="117" w:lineRule="exact"/>
        <w:rPr>
          <w:rFonts w:ascii="Times New Roman" w:cs="Times New Roman" w:eastAsia="Times New Roman" w:hAnsi="Times New Roman"/>
          <w:sz w:val="18"/>
          <w:szCs w:val="18"/>
          <w:color w:val="auto"/>
        </w:rPr>
      </w:pPr>
    </w:p>
    <w:p>
      <w:pPr>
        <w:ind w:left="920" w:right="24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Firm’s assets;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successful formulation and execution of its business and growth strategies;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Firm;</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expand into new markets and lines of businesses for the advisory business;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Firm’s operations, financial results, financial condition, business prospects, growth strategy and liquidity; and</w:t>
      </w:r>
    </w:p>
    <w:p>
      <w:pPr>
        <w:spacing w:after="0" w:line="117" w:lineRule="exact"/>
        <w:rPr>
          <w:rFonts w:ascii="Times New Roman" w:cs="Times New Roman" w:eastAsia="Times New Roman" w:hAnsi="Times New Roman"/>
          <w:sz w:val="18"/>
          <w:szCs w:val="18"/>
          <w:color w:val="auto"/>
        </w:rPr>
      </w:pPr>
    </w:p>
    <w:p>
      <w:pPr>
        <w:ind w:left="920" w:right="220" w:hanging="303"/>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Amendment No. 1 to our Annual Report on Form 10-K/A filed with the SEC on July 7, 2022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8"/>
        <w:spacing w:after="0" w:line="280" w:lineRule="auto"/>
        <w:tabs>
          <w:tab w:leader="none" w:pos="11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82" w:right="339" w:bottom="1440" w:gutter="0" w:footer="0" w:header="0"/>
        </w:sectPr>
      </w:pPr>
    </w:p>
    <w:bookmarkStart w:id="11" w:name="page12"/>
    <w:bookmarkEnd w:id="11"/>
    <w:p>
      <w:pPr>
        <w:ind w:left="3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ind w:left="386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154,158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96,330</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 and occupancy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202,691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679,240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735,078</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income (loss) attributable to non-controlling interests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Perella Weinberg Partners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Class A common shareholders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Class A common stock outstanding (1)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42,638,357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42,591,146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43,837,640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87,442,255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92,745,345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89,755,632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80" w:right="440" w:hanging="372"/>
        <w:spacing w:after="0" w:line="281" w:lineRule="auto"/>
        <w:tabs>
          <w:tab w:leader="none" w:pos="3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twelve months ended December 31, 2021, net income (loss) per share of Class A common stock and weighted-average shares of Class A common stock outstanding is representative of the period from June 24, 2021 through December 31, 2021, the period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98" w:lineRule="auto"/>
        <w:tabs>
          <w:tab w:leader="none" w:pos="11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72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118"/>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compensation and benefits—GAAP</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167,083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162,226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545,491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600,694</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32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(18,633)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(74,616)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(51,439)</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(14,317)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(49,737)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total compensation and benefits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134,133</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118,497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421,138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504,257</w:t>
            </w:r>
          </w:p>
        </w:tc>
        <w:tc>
          <w:tcPr>
            <w:tcW w:w="0" w:type="dxa"/>
            <w:vAlign w:val="bottom"/>
          </w:tcPr>
          <w:p>
            <w:pPr>
              <w:spacing w:after="0"/>
              <w:rPr>
                <w:sz w:val="1"/>
                <w:szCs w:val="1"/>
                <w:color w:val="auto"/>
              </w:rPr>
            </w:pPr>
          </w:p>
        </w:tc>
      </w:tr>
      <w:tr>
        <w:trPr>
          <w:trHeight w:val="53"/>
        </w:trPr>
        <w:tc>
          <w:tcPr>
            <w:tcW w:w="5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Non-compensation expense—GAAP</w:t>
            </w:r>
          </w:p>
        </w:tc>
        <w:tc>
          <w:tcPr>
            <w:tcW w:w="32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35,608</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37,306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133,749</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134,384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32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(4,831)</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non-compensation expense (6)</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32,131</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35,382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123,116</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122,973</w:t>
            </w:r>
          </w:p>
        </w:tc>
        <w:tc>
          <w:tcPr>
            <w:tcW w:w="0" w:type="dxa"/>
            <w:vAlign w:val="bottom"/>
          </w:tcPr>
          <w:p>
            <w:pPr>
              <w:spacing w:after="0"/>
              <w:rPr>
                <w:sz w:val="1"/>
                <w:szCs w:val="1"/>
                <w:color w:val="auto"/>
              </w:rPr>
            </w:pPr>
          </w:p>
        </w:tc>
      </w:tr>
      <w:tr>
        <w:trPr>
          <w:trHeight w:val="53"/>
        </w:trPr>
        <w:tc>
          <w:tcPr>
            <w:tcW w:w="5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(loss)—GAAP</w:t>
            </w:r>
          </w:p>
        </w:tc>
        <w:tc>
          <w:tcPr>
            <w:tcW w:w="32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(19,543)</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(47,733)</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66,584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18,633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51,439</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14,317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49,737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4,831</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 (loss)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16,884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45,034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87,253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174,432</w:t>
            </w:r>
          </w:p>
        </w:tc>
        <w:tc>
          <w:tcPr>
            <w:tcW w:w="0" w:type="dxa"/>
            <w:vAlign w:val="bottom"/>
          </w:tcPr>
          <w:p>
            <w:pPr>
              <w:spacing w:after="0"/>
              <w:rPr>
                <w:sz w:val="1"/>
                <w:szCs w:val="1"/>
                <w:color w:val="auto"/>
              </w:rPr>
            </w:pPr>
          </w:p>
        </w:tc>
      </w:tr>
      <w:tr>
        <w:trPr>
          <w:trHeight w:val="53"/>
        </w:trPr>
        <w:tc>
          <w:tcPr>
            <w:tcW w:w="5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(expense)—GAAP</w:t>
            </w:r>
          </w:p>
        </w:tc>
        <w:tc>
          <w:tcPr>
            <w:tcW w:w="32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(3,443)</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26,313</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(43,634)</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4,897</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3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9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non-operating income (expense)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(3,405)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10,656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2,758</w:t>
            </w:r>
          </w:p>
        </w:tc>
        <w:tc>
          <w:tcPr>
            <w:tcW w:w="0" w:type="dxa"/>
            <w:vAlign w:val="bottom"/>
          </w:tcPr>
          <w:p>
            <w:pPr>
              <w:spacing w:after="0"/>
              <w:rPr>
                <w:sz w:val="1"/>
                <w:szCs w:val="1"/>
                <w:color w:val="auto"/>
              </w:rPr>
            </w:pPr>
          </w:p>
        </w:tc>
      </w:tr>
      <w:tr>
        <w:trPr>
          <w:trHeight w:val="53"/>
        </w:trPr>
        <w:tc>
          <w:tcPr>
            <w:tcW w:w="5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taxes—GAAP</w:t>
            </w:r>
          </w:p>
        </w:tc>
        <w:tc>
          <w:tcPr>
            <w:tcW w:w="320" w:type="dxa"/>
            <w:vAlign w:val="bottom"/>
            <w:tcBorders>
              <w:top w:val="single" w:sz="8" w:color="CCEEFF"/>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(22,986)</w:t>
            </w: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rPr>
              <w:t>(21,420)</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22,950</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18,633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74,616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51,439</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14,317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49,737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4,831</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3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4,897</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(loss) before income taxes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13,479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46,740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97,909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177,190</w:t>
            </w:r>
          </w:p>
        </w:tc>
        <w:tc>
          <w:tcPr>
            <w:tcW w:w="0" w:type="dxa"/>
            <w:vAlign w:val="bottom"/>
          </w:tcPr>
          <w:p>
            <w:pPr>
              <w:spacing w:after="0"/>
              <w:rPr>
                <w:sz w:val="1"/>
                <w:szCs w:val="1"/>
                <w:color w:val="auto"/>
              </w:rPr>
            </w:pPr>
          </w:p>
        </w:tc>
      </w:tr>
      <w:tr>
        <w:trPr>
          <w:trHeight w:val="24"/>
        </w:trPr>
        <w:tc>
          <w:tcPr>
            <w:tcW w:w="5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(expense)—GAAP</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(18,927)</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2,273</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tax benefit (expense)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(16,654)</w:t>
            </w:r>
          </w:p>
        </w:tc>
        <w:tc>
          <w:tcPr>
            <w:tcW w:w="0" w:type="dxa"/>
            <w:vAlign w:val="bottom"/>
          </w:tcPr>
          <w:p>
            <w:pPr>
              <w:spacing w:after="0"/>
              <w:rPr>
                <w:sz w:val="1"/>
                <w:szCs w:val="1"/>
                <w:color w:val="auto"/>
              </w:rPr>
            </w:pPr>
          </w:p>
        </w:tc>
      </w:tr>
      <w:tr>
        <w:trPr>
          <w:trHeight w:val="24"/>
        </w:trPr>
        <w:tc>
          <w:tcPr>
            <w:tcW w:w="5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(loss)—GAAP</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(22,606)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(31,747)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4,023</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18,633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74,616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51,439</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14,317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3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4,831</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 Exchange transaction expenses (5)</w:t>
            </w:r>
          </w:p>
        </w:tc>
        <w:tc>
          <w:tcPr>
            <w:tcW w:w="3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4,897</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 (8)</w:t>
            </w:r>
          </w:p>
        </w:tc>
        <w:tc>
          <w:tcPr>
            <w:tcW w:w="3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39,408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(10)</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2,273</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12,046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38,368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81,623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160,536</w:t>
            </w:r>
          </w:p>
        </w:tc>
        <w:tc>
          <w:tcPr>
            <w:tcW w:w="0" w:type="dxa"/>
            <w:vAlign w:val="bottom"/>
          </w:tcPr>
          <w:p>
            <w:pPr>
              <w:spacing w:after="0"/>
              <w:rPr>
                <w:sz w:val="1"/>
                <w:szCs w:val="1"/>
                <w:color w:val="auto"/>
              </w:rPr>
            </w:pPr>
          </w:p>
        </w:tc>
      </w:tr>
      <w:tr>
        <w:trPr>
          <w:trHeight w:val="24"/>
        </w:trPr>
        <w:tc>
          <w:tcPr>
            <w:tcW w:w="5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Adjusted income tax benefit (expense)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8,372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16,286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 If-converted tax impact (11)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(15,502)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(27,656)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if-converted net income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9,975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31,238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70,253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4"/>
        </w:trPr>
        <w:tc>
          <w:tcPr>
            <w:tcW w:w="5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diluted shares of Class A common stock outstanding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87,442,255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94,293,814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89,755,632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39"/>
        </w:trPr>
        <w:tc>
          <w:tcPr>
            <w:tcW w:w="52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number of incremental shares from assumed vesting of RSUs and</w:t>
            </w:r>
          </w:p>
        </w:tc>
        <w:tc>
          <w:tcPr>
            <w:tcW w:w="32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1,011,068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369,413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PSUs (12)</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adjusted diluted shares of Class A common stock outstanding</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88,453,323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94,293,814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90,125,045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4"/>
        </w:trPr>
        <w:tc>
          <w:tcPr>
            <w:tcW w:w="5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(loss) per Class A share—diluted, if—converted (13)</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Key metrics: (a)</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 operating income (loss) margin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 (loss)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80" w:hanging="166"/>
        <w:spacing w:after="0"/>
        <w:tabs>
          <w:tab w:leader="none" w:pos="28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Reconciliations of key metrics from U.S. GAAP to Adjusted results are a derivative of the reconciliation of their components above.</w:t>
      </w:r>
    </w:p>
    <w:p>
      <w:pPr>
        <w:spacing w:after="0" w:line="200" w:lineRule="exact"/>
        <w:rPr>
          <w:rFonts w:ascii="Times New Roman" w:cs="Times New Roman" w:eastAsia="Times New Roman" w:hAnsi="Times New Roman"/>
          <w:sz w:val="13"/>
          <w:szCs w:val="13"/>
          <w:color w:val="auto"/>
        </w:rPr>
      </w:pPr>
    </w:p>
    <w:p>
      <w:pPr>
        <w:spacing w:after="0" w:line="231" w:lineRule="exact"/>
        <w:rPr>
          <w:rFonts w:ascii="Times New Roman" w:cs="Times New Roman" w:eastAsia="Times New Roman" w:hAnsi="Times New Roman"/>
          <w:sz w:val="13"/>
          <w:szCs w:val="13"/>
          <w:color w:val="auto"/>
        </w:rPr>
      </w:pPr>
    </w:p>
    <w:p>
      <w:pPr>
        <w:spacing w:after="0" w:line="2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-621030</wp:posOffset>
            </wp:positionV>
            <wp:extent cx="702056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0560" cy="111760"/>
                    </a:xfrm>
                    <a:prstGeom prst="rect">
                      <a:avLst/>
                    </a:prstGeom>
                    <a:noFill/>
                  </pic:spPr>
                </pic:pic>
              </a:graphicData>
            </a:graphic>
          </wp:anchor>
        </w:drawing>
      </w:r>
    </w:p>
    <w:p>
      <w:pPr>
        <w:sectPr>
          <w:pgSz w:w="11900" w:h="16838" w:orient="portrait"/>
          <w:cols w:equalWidth="0" w:num="1">
            <w:col w:w="11240"/>
          </w:cols>
          <w:pgMar w:left="320" w:top="1177" w:right="339" w:bottom="407"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7" w:right="339" w:bottom="407"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Notes to U.S. GAAP Reconciliation of Adjusted Results:</w:t>
      </w:r>
    </w:p>
    <w:p>
      <w:pPr>
        <w:spacing w:after="0" w:line="250" w:lineRule="exact"/>
        <w:rPr>
          <w:sz w:val="20"/>
          <w:szCs w:val="20"/>
          <w:color w:val="auto"/>
        </w:rPr>
      </w:pPr>
    </w:p>
    <w:p>
      <w:pPr>
        <w:jc w:val="both"/>
        <w:ind w:left="50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not dilutive to investors in PWP or PWP Holdings LP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19" w:lineRule="exact"/>
        <w:rPr>
          <w:rFonts w:ascii="Times New Roman" w:cs="Times New Roman" w:eastAsia="Times New Roman" w:hAnsi="Times New Roman"/>
          <w:sz w:val="16"/>
          <w:szCs w:val="16"/>
          <w:color w:val="auto"/>
        </w:rPr>
      </w:pPr>
    </w:p>
    <w:p>
      <w:pPr>
        <w:jc w:val="both"/>
        <w:ind w:left="500" w:right="12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company transaction related incentives includes discretionary bonus payments as well as equity-based compensation for transaction-related RSUs which are directly related to milestone events that were part of the Business Combination process and reorganization. These payments were outside of PWP’s normal and recurring bonus and compensation processes.</w:t>
      </w:r>
    </w:p>
    <w:p>
      <w:pPr>
        <w:spacing w:after="0" w:line="218"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205" w:lineRule="exact"/>
        <w:rPr>
          <w:rFonts w:ascii="Times New Roman" w:cs="Times New Roman" w:eastAsia="Times New Roman" w:hAnsi="Times New Roman"/>
          <w:sz w:val="16"/>
          <w:szCs w:val="16"/>
          <w:color w:val="auto"/>
        </w:rPr>
      </w:pPr>
    </w:p>
    <w:p>
      <w:pPr>
        <w:jc w:val="both"/>
        <w:ind w:left="500" w:right="12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Business Combination, including costs incurred in 2022 relating to a potential future partnership restructuring that had been contemplated during the implementation of the up-C structure at the time of the Business Combination. Transaction costs also include equity-based vesting for transaction-related RSUs issued to non-employees.</w:t>
      </w:r>
    </w:p>
    <w:p>
      <w:pPr>
        <w:spacing w:after="0" w:line="218"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exchange offer and solicitation (together, the “Warrant Exchange”) relating to the Company’s outstanding warrants, which the Company completed on August 23, 2022.</w:t>
      </w:r>
    </w:p>
    <w:p>
      <w:pPr>
        <w:spacing w:after="0" w:line="205"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below for the components of the consolidated statements of operations included in non-compensation expense—GAAP as well as Adjusted non-compensation expense.</w:t>
      </w:r>
    </w:p>
    <w:p>
      <w:pPr>
        <w:spacing w:after="0" w:line="19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warrant liabilities is non-cash and we believe not indicative of our core performance.</w:t>
      </w:r>
    </w:p>
    <w:p>
      <w:pPr>
        <w:spacing w:after="0" w:line="261" w:lineRule="exact"/>
        <w:rPr>
          <w:rFonts w:ascii="Times New Roman" w:cs="Times New Roman" w:eastAsia="Times New Roman" w:hAnsi="Times New Roman"/>
          <w:sz w:val="16"/>
          <w:szCs w:val="16"/>
          <w:color w:val="auto"/>
        </w:rPr>
      </w:pPr>
    </w:p>
    <w:p>
      <w:pPr>
        <w:ind w:left="500" w:right="10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debt extinguishment resulted from the payoff of the 7.0% Subordinated Unsecured Convertible Notes due 2026 in conjunction with the Business Combination.</w:t>
      </w:r>
    </w:p>
    <w:p>
      <w:pPr>
        <w:spacing w:after="0" w:line="19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debt costs is comprised of the amortization of debt discounts and issuance costs, which is included in interest expense.</w:t>
      </w:r>
    </w:p>
    <w:p>
      <w:pPr>
        <w:spacing w:after="0" w:line="261" w:lineRule="exact"/>
        <w:rPr>
          <w:rFonts w:ascii="Times New Roman" w:cs="Times New Roman" w:eastAsia="Times New Roman" w:hAnsi="Times New Roman"/>
          <w:sz w:val="16"/>
          <w:szCs w:val="16"/>
          <w:color w:val="auto"/>
        </w:rPr>
      </w:pPr>
    </w:p>
    <w:p>
      <w:pPr>
        <w:jc w:val="both"/>
        <w:ind w:left="500" w:right="120" w:hanging="492"/>
        <w:spacing w:after="0" w:line="272"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197" w:lineRule="exact"/>
        <w:rPr>
          <w:rFonts w:ascii="Times New Roman" w:cs="Times New Roman" w:eastAsia="Times New Roman" w:hAnsi="Times New Roman"/>
          <w:sz w:val="16"/>
          <w:szCs w:val="16"/>
          <w:color w:val="auto"/>
        </w:rPr>
      </w:pPr>
    </w:p>
    <w:p>
      <w:pPr>
        <w:ind w:left="500" w:hanging="492"/>
        <w:spacing w:after="0" w:line="280" w:lineRule="auto"/>
        <w:tabs>
          <w:tab w:leader="none" w:pos="4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178" w:lineRule="exact"/>
        <w:rPr>
          <w:rFonts w:ascii="Times New Roman" w:cs="Times New Roman" w:eastAsia="Times New Roman" w:hAnsi="Times New Roman"/>
          <w:sz w:val="16"/>
          <w:szCs w:val="16"/>
          <w:color w:val="auto"/>
        </w:rPr>
      </w:pPr>
    </w:p>
    <w:p>
      <w:pPr>
        <w:ind w:left="50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Assumed vesting of RSUs and performance restricted stock units (“PSUs”) as calculated using the treasury stock method and to the extent dilutive to Adjusted net income (loss) per Class A share—diluted, if-converted.</w:t>
      </w:r>
    </w:p>
    <w:p>
      <w:pPr>
        <w:spacing w:after="0" w:line="217" w:lineRule="exact"/>
        <w:rPr>
          <w:rFonts w:ascii="Times New Roman" w:cs="Times New Roman" w:eastAsia="Times New Roman" w:hAnsi="Times New Roman"/>
          <w:sz w:val="16"/>
          <w:szCs w:val="16"/>
          <w:color w:val="auto"/>
        </w:rPr>
      </w:pPr>
    </w:p>
    <w:p>
      <w:pPr>
        <w:ind w:left="500" w:right="120" w:hanging="492"/>
        <w:spacing w:after="0" w:line="298"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(loss) per Class A share—diluted, if-converted for the twelve month period ended December 31, 2021 is not meaningful or comparative to GAAP diluted earnings per share, as it excludes activity prior to the Business Combination on June 24, 2021.</w:t>
      </w:r>
    </w:p>
    <w:p>
      <w:pPr>
        <w:spacing w:after="0" w:line="390" w:lineRule="exact"/>
        <w:rPr>
          <w:sz w:val="20"/>
          <w:szCs w:val="20"/>
          <w:color w:val="auto"/>
        </w:rPr>
      </w:pPr>
    </w:p>
    <w:p>
      <w:pPr>
        <w:ind w:firstLine="8"/>
        <w:spacing w:after="0" w:line="298" w:lineRule="auto"/>
        <w:tabs>
          <w:tab w:leader="none" w:pos="1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0"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c>
          <w:tcPr>
            <w:tcW w:w="132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34,824</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30,771</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30,084</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24,898</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13,034</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20,215</w:t>
            </w: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(6,580) (2)</w:t>
            </w:r>
          </w:p>
        </w:tc>
        <w:tc>
          <w:tcPr>
            <w:tcW w:w="34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4,114</w:t>
            </w:r>
          </w:p>
        </w:tc>
      </w:tr>
      <w:tr>
        <w:trPr>
          <w:trHeight w:val="23"/>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1"/>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133,749</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123,116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2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Twelve Months Ended December 31, 2021</w:t>
            </w:r>
          </w:p>
        </w:tc>
        <w:tc>
          <w:tcPr>
            <w:tcW w:w="132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3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37,060</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28,355</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26,406</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6,261</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16,982</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(6,580) (2)</w:t>
            </w:r>
          </w:p>
        </w:tc>
        <w:tc>
          <w:tcPr>
            <w:tcW w:w="34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7,909</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122,973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3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3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7,090</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7,387</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4,187</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4,801</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3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35,608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32,131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December 31, 2021</w:t>
            </w:r>
          </w:p>
        </w:tc>
        <w:tc>
          <w:tcPr>
            <w:tcW w:w="134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3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12,937</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3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12,658</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6,890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6,338</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2,756</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4,977</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 (2)</w:t>
            </w:r>
          </w:p>
        </w:tc>
        <w:tc>
          <w:tcPr>
            <w:tcW w:w="3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1,763</w:t>
            </w:r>
          </w:p>
        </w:tc>
      </w:tr>
      <w:tr>
        <w:trPr>
          <w:trHeight w:val="228"/>
        </w:trPr>
        <w:tc>
          <w:tcPr>
            <w:tcW w:w="5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37,306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35,382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transaction costs associated with the Business Combination and the Warrant Exchange.</w:t>
      </w:r>
    </w:p>
    <w:p>
      <w:pPr>
        <w:spacing w:after="0" w:line="221" w:lineRule="exact"/>
        <w:rPr>
          <w:rFonts w:ascii="Times New Roman" w:cs="Times New Roman" w:eastAsia="Times New Roman" w:hAnsi="Times New Roman"/>
          <w:sz w:val="16"/>
          <w:szCs w:val="16"/>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the amortization of intangible assets related to the TPH business combination.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1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2023-02-09T06:34:23Z</dcterms:created>
  <dcterms:modified xsi:type="dcterms:W3CDTF">2023-02-09T06:34:23Z</dcterms:modified>
</cp:coreProperties>
</file>