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OLLILA JORMA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767 FIFTH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Perella Weinberg Partners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PWP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6,383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33,986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3,359</w:t>
            </w:r>
            <w:r>
              <w:rPr>
                <w:rFonts w:ascii="Times New Roman" w:cs="Times New Roman" w:eastAsia="Times New Roman" w:hAnsi="Times New Roman"/>
                <w:sz w:val="22"/>
                <w:szCs w:val="22"/>
                <w:color w:val="008000"/>
                <w:w w:val="97"/>
                <w:vertAlign w:val="superscript"/>
              </w:rPr>
              <w:t>(2)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30,627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6,383 unvested shares subject to awards of restricted stock units, which vest on the date of Perella Weinberg Partners' next general annual stockholder meeting following the grant date, subject to continued board service through such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Perella Weinberg Partners to satisfy tax withholding obligations in connection with the vesting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944"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2024-05-24T16:48:52Z</dcterms:created>
  <dcterms:modified xsi:type="dcterms:W3CDTF">2024-05-24T16:48:52Z</dcterms:modified>
</cp:coreProperties>
</file>