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19050</wp:posOffset>
            </wp:positionV>
            <wp:extent cx="7047230" cy="5054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5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PWP Professional Partners LP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4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Perella Weinberg Partners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PWP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B-1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898,000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898,000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40,915,971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898,000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LP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898,000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40,915,971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Units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3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 distribution of PWP OpCo Units and an equivalent number of Class B-1 Shares by the Reporting Person to one or more of its limited partners.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Solely for purposes of Section 16 of the Securities Exchange Act of 1934, as amended, the Reporting Person may be deemed a director by deputization with respect to the Issuer by virtue of the Reporting Person's right to designate a majority of the Issuer's board of directors, subject to certain conditions, pursuant to the Stockholder's Agreement, dated June 24, 2021, by and between the Issuer and the Reporting Person.</w:t>
      </w: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2200" w:type="dxa"/>
            <w:vAlign w:val="bottom"/>
            <w:gridSpan w:val="3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Authorized Person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786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2023-09-06T16:34:25Z</dcterms:created>
  <dcterms:modified xsi:type="dcterms:W3CDTF">2023-09-06T16:34:25Z</dcterms:modified>
</cp:coreProperties>
</file>