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78105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20, 2023</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93345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1"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0"/>
        <w:spacing w:after="0" w:line="207" w:lineRule="exact"/>
        <w:tabs>
          <w:tab w:leader="none" w:pos="30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5"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1980565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1393190</wp:posOffset>
            </wp:positionV>
            <wp:extent cx="69005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1427480</wp:posOffset>
            </wp:positionV>
            <wp:extent cx="69005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previously disclosed, on February 17, 2023, Perella Weinberg Partners (the “Company”) filed a petition in the Delaware Court of Chancery (“Court of Chancery”) pursuant to Section 205 of the Delaware General Corporation Law (“DGCL”) seeking validation of an amendment to the Company’s Amended and Restated Certificate of Incorporation to resolve any uncertainty with respect thereto (the “Section 205 Action”). The Section 205 Action filed by the Company in the Court of Chancery is captioned </w:t>
      </w:r>
      <w:r>
        <w:rPr>
          <w:rFonts w:ascii="Times New Roman" w:cs="Times New Roman" w:eastAsia="Times New Roman" w:hAnsi="Times New Roman"/>
          <w:sz w:val="18"/>
          <w:szCs w:val="18"/>
          <w:i w:val="1"/>
          <w:iCs w:val="1"/>
          <w:color w:val="auto"/>
        </w:rPr>
        <w:t>In re Perella Weinberg Partners,</w:t>
      </w:r>
      <w:r>
        <w:rPr>
          <w:rFonts w:ascii="Times New Roman" w:cs="Times New Roman" w:eastAsia="Times New Roman" w:hAnsi="Times New Roman"/>
          <w:sz w:val="18"/>
          <w:szCs w:val="18"/>
          <w:color w:val="auto"/>
        </w:rPr>
        <w:t xml:space="preserve"> C.A. No. 2023-0209-LWW (Del. Ch.). A copy of the Company’s petition filed in the Section 205 Action is attached as an exhibit to this Current Report on Form 8-K (this "Current Report"). The same day the Section 205 Action was filed, the Company also moved that the Court’s consideration of the Section 205 Action be expedited.</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20, 2023, the Court of Chancery granted the Company’s motion for expedited proceedings in the Section 205 Action. The Court of Chancery directed the Company to (i) file this Current Report, attaching the petition filed by the Company in the Section 205 Action; and (ii) notify its stockholders that the Court of Chancery will hold a final hearing to consider the merits of the petition filed by the Company in the Section 205 Action on March 6, 2023, at 10:20 a.m., Eastern Time, at the Leonard L. Williams Justice Center, 500 North King Street, Wilmington, Delaware 19801 (the “Section 205 Hearing”). This Current Report hereby constitutes notice of the Section 205 Hearing. If any stockholder of the Company wishes to express a position on the Section 205 Action, such stockholders of the Company may (i) appear at the hearing in the Section 205 Action or (ii) file a written submission with the Register in Chancery, Leonard L. Williams Justice Center, 500 North King Street, Wilmington, Delaware 19801, referring to the case caption, </w:t>
      </w:r>
      <w:r>
        <w:rPr>
          <w:rFonts w:ascii="Times New Roman" w:cs="Times New Roman" w:eastAsia="Times New Roman" w:hAnsi="Times New Roman"/>
          <w:sz w:val="18"/>
          <w:szCs w:val="18"/>
          <w:i w:val="1"/>
          <w:iCs w:val="1"/>
          <w:color w:val="auto"/>
        </w:rPr>
        <w:t>In re Perella Weinberg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Partners, </w:t>
      </w:r>
      <w:r>
        <w:rPr>
          <w:rFonts w:ascii="Times New Roman" w:cs="Times New Roman" w:eastAsia="Times New Roman" w:hAnsi="Times New Roman"/>
          <w:sz w:val="18"/>
          <w:szCs w:val="18"/>
          <w:color w:val="auto"/>
        </w:rPr>
        <w:t>C.A. No. 2023-0209-LWW (Del. Ch.), in advance of the Section 205 Hearing, and any such written submission should be emailed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counsel, Edward B. Micheletti, Skadden, Arps, Slate, Meagher &amp; Flom LLP, at Edward.Micheletti@skadden.com.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Current Report contains forward-looking statements within the meaning of the “safe harbor” provisions of the United States Private Securities Litigation Reform Act of 1995.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With respect to the matters addressed in this report, no assurances can be made regarding the outcome of our proceeding pursuant to Section 205 of the DGCL or any claims, proceedings or litigation regarding the authorization of our Class A common stock. Our Section 205 proceeding is, and any other litigation regarding the authorization of our stock would be, subject to uncertainties inherent in the litigation process, and may not result in timely resolution of the uncertainty regarding our capitalization, if at all. A further list and description of these risks, uncertainties and other factors can be found in the Company’s filings with the U.S. Securities and Exchange Commission. These filings and subsequent filings are or will be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on request from the Company.</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11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5"/>
                <w:szCs w:val="15"/>
                <w:color w:val="auto"/>
              </w:rPr>
            </w:pPr>
          </w:p>
        </w:tc>
        <w:tc>
          <w:tcPr>
            <w:tcW w:w="730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Petition filed by Perella Weinberg Partners in the Delaware Court of Chancery on February 17, 2023.</w:t>
            </w:r>
          </w:p>
        </w:tc>
        <w:tc>
          <w:tcPr>
            <w:tcW w:w="2560" w:type="dxa"/>
            <w:vAlign w:val="bottom"/>
            <w:tcBorders>
              <w:top w:val="single" w:sz="8" w:color="auto"/>
            </w:tcBorders>
          </w:tcPr>
          <w:p>
            <w:pPr>
              <w:spacing w:after="0"/>
              <w:rPr>
                <w:sz w:val="15"/>
                <w:szCs w:val="15"/>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1"/>
                <w:szCs w:val="21"/>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35"/>
        </w:trPr>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4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48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2023</w:t>
            </w:r>
          </w:p>
        </w:tc>
        <w:tc>
          <w:tcPr>
            <w:tcW w:w="2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Gary Barancik</w:t>
            </w:r>
          </w:p>
        </w:tc>
      </w:tr>
      <w:tr>
        <w:trPr>
          <w:trHeight w:val="218"/>
        </w:trPr>
        <w:tc>
          <w:tcPr>
            <w:tcW w:w="3820" w:type="dxa"/>
            <w:vAlign w:val="bottom"/>
          </w:tcPr>
          <w:p>
            <w:pPr>
              <w:spacing w:after="0"/>
              <w:rPr>
                <w:sz w:val="18"/>
                <w:szCs w:val="18"/>
                <w:color w:val="auto"/>
              </w:rPr>
            </w:pPr>
          </w:p>
        </w:tc>
        <w:tc>
          <w:tcPr>
            <w:tcW w:w="2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Gary Barancik</w:t>
            </w:r>
          </w:p>
        </w:tc>
      </w:tr>
      <w:tr>
        <w:trPr>
          <w:trHeight w:val="234"/>
        </w:trPr>
        <w:tc>
          <w:tcPr>
            <w:tcW w:w="3820" w:type="dxa"/>
            <w:vAlign w:val="bottom"/>
          </w:tcPr>
          <w:p>
            <w:pPr>
              <w:spacing w:after="0"/>
              <w:rPr>
                <w:sz w:val="20"/>
                <w:szCs w:val="20"/>
                <w:color w:val="auto"/>
              </w:rPr>
            </w:pPr>
          </w:p>
        </w:tc>
        <w:tc>
          <w:tcPr>
            <w:tcW w:w="2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5"/>
          <w:szCs w:val="25"/>
          <w:b w:val="1"/>
          <w:bCs w:val="1"/>
          <w:color w:val="auto"/>
        </w:rPr>
        <w:t>IN THE COURT OF CHANCERY OF THE STATE OF DELAWARE</w:t>
      </w:r>
    </w:p>
    <w:p>
      <w:pPr>
        <w:spacing w:after="0" w:line="25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5"/>
          <w:szCs w:val="25"/>
          <w:color w:val="auto"/>
        </w:rPr>
        <w:t>)</w:t>
      </w:r>
    </w:p>
    <w:p>
      <w:pPr>
        <w:ind w:left="5700"/>
        <w:spacing w:after="0" w:line="214" w:lineRule="auto"/>
        <w:rPr>
          <w:sz w:val="20"/>
          <w:szCs w:val="20"/>
          <w:color w:val="auto"/>
        </w:rPr>
      </w:pPr>
      <w:r>
        <w:rPr>
          <w:rFonts w:ascii="Times New Roman" w:cs="Times New Roman" w:eastAsia="Times New Roman" w:hAnsi="Times New Roman"/>
          <w:sz w:val="25"/>
          <w:szCs w:val="25"/>
          <w:color w:val="auto"/>
        </w:rPr>
        <w:t>)</w:t>
      </w:r>
    </w:p>
    <w:p>
      <w:pPr>
        <w:ind w:left="5700"/>
        <w:spacing w:after="0" w:line="214" w:lineRule="auto"/>
        <w:rPr>
          <w:sz w:val="20"/>
          <w:szCs w:val="20"/>
          <w:color w:val="auto"/>
        </w:rPr>
      </w:pPr>
      <w:r>
        <w:rPr>
          <w:rFonts w:ascii="Times New Roman" w:cs="Times New Roman" w:eastAsia="Times New Roman" w:hAnsi="Times New Roman"/>
          <w:sz w:val="25"/>
          <w:szCs w:val="25"/>
          <w:color w:val="auto"/>
        </w:rPr>
        <w:t>)</w:t>
      </w:r>
    </w:p>
    <w:p>
      <w:pPr>
        <w:ind w:left="80"/>
        <w:spacing w:after="0"/>
        <w:tabs>
          <w:tab w:leader="none" w:pos="5680" w:val="left"/>
          <w:tab w:leader="none" w:pos="6220" w:val="left"/>
        </w:tabs>
        <w:rPr>
          <w:sz w:val="20"/>
          <w:szCs w:val="20"/>
          <w:color w:val="auto"/>
        </w:rPr>
      </w:pPr>
      <w:r>
        <w:rPr>
          <w:rFonts w:ascii="Times New Roman" w:cs="Times New Roman" w:eastAsia="Times New Roman" w:hAnsi="Times New Roman"/>
          <w:sz w:val="25"/>
          <w:szCs w:val="25"/>
          <w:color w:val="auto"/>
        </w:rPr>
        <w:t>IN RE PERELLA WEINBERG PARTNERS</w:t>
      </w:r>
      <w:r>
        <w:rPr>
          <w:sz w:val="20"/>
          <w:szCs w:val="20"/>
          <w:color w:val="auto"/>
        </w:rPr>
        <w:tab/>
      </w:r>
      <w:r>
        <w:rPr>
          <w:rFonts w:ascii="Times New Roman" w:cs="Times New Roman" w:eastAsia="Times New Roman" w:hAnsi="Times New Roman"/>
          <w:sz w:val="25"/>
          <w:szCs w:val="25"/>
          <w:color w:val="auto"/>
        </w:rPr>
        <w:t>)</w:t>
      </w:r>
      <w:r>
        <w:rPr>
          <w:sz w:val="20"/>
          <w:szCs w:val="20"/>
          <w:color w:val="auto"/>
        </w:rPr>
        <w:tab/>
      </w:r>
      <w:r>
        <w:rPr>
          <w:rFonts w:ascii="Times New Roman" w:cs="Times New Roman" w:eastAsia="Times New Roman" w:hAnsi="Times New Roman"/>
          <w:sz w:val="25"/>
          <w:szCs w:val="25"/>
          <w:color w:val="auto"/>
        </w:rPr>
        <w:t>C.A. No. 2023-____-___</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 xml:space="preserve">VERIFIED APPLICATION PURSUANT TO 8 </w:t>
      </w:r>
      <w:r>
        <w:rPr>
          <w:rFonts w:ascii="Times New Roman" w:cs="Times New Roman" w:eastAsia="Times New Roman" w:hAnsi="Times New Roman"/>
          <w:sz w:val="25"/>
          <w:szCs w:val="25"/>
          <w:b w:val="1"/>
          <w:bCs w:val="1"/>
          <w:i w:val="1"/>
          <w:iCs w:val="1"/>
          <w:u w:val="single" w:color="auto"/>
          <w:color w:val="auto"/>
        </w:rPr>
        <w:t>DEL. C.</w:t>
      </w:r>
      <w:r>
        <w:rPr>
          <w:rFonts w:ascii="Times New Roman" w:cs="Times New Roman" w:eastAsia="Times New Roman" w:hAnsi="Times New Roman"/>
          <w:sz w:val="25"/>
          <w:szCs w:val="25"/>
          <w:b w:val="1"/>
          <w:bCs w:val="1"/>
          <w:u w:val="single" w:color="auto"/>
          <w:color w:val="auto"/>
        </w:rPr>
        <w:t xml:space="preserve"> § 205</w:t>
      </w:r>
    </w:p>
    <w:p>
      <w:pPr>
        <w:spacing w:after="0" w:line="394" w:lineRule="exact"/>
        <w:rPr>
          <w:sz w:val="20"/>
          <w:szCs w:val="20"/>
          <w:color w:val="auto"/>
        </w:rPr>
      </w:pPr>
    </w:p>
    <w:p>
      <w:pPr>
        <w:ind w:right="140" w:firstLine="1304"/>
        <w:spacing w:after="0" w:line="486" w:lineRule="auto"/>
        <w:tabs>
          <w:tab w:leader="none" w:pos="1944" w:val="left"/>
        </w:tabs>
        <w:numPr>
          <w:ilvl w:val="0"/>
          <w:numId w:val="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Perella Weinberg Partners (“PWP” or the “Company”), a Delaware corporation, by and through its undersigned counsel, hereby brings this Verified Application Pursuant to 8 </w:t>
      </w:r>
      <w:r>
        <w:rPr>
          <w:rFonts w:ascii="Times New Roman" w:cs="Times New Roman" w:eastAsia="Times New Roman" w:hAnsi="Times New Roman"/>
          <w:sz w:val="25"/>
          <w:szCs w:val="25"/>
          <w:i w:val="1"/>
          <w:iCs w:val="1"/>
          <w:color w:val="auto"/>
        </w:rPr>
        <w:t>Del. C.</w:t>
      </w:r>
      <w:r>
        <w:rPr>
          <w:rFonts w:ascii="Times New Roman" w:cs="Times New Roman" w:eastAsia="Times New Roman" w:hAnsi="Times New Roman"/>
          <w:sz w:val="25"/>
          <w:szCs w:val="25"/>
          <w:color w:val="auto"/>
        </w:rPr>
        <w:t xml:space="preserve"> § 205 (“Section 205”) for an Order validating an amendment to the Company’s certificate of incorporation increasing the authorized shares of Class A Common Stock from 100,000,000 to 1,500,000,000 (the “Authorized Share Amendment”).</w:t>
      </w:r>
    </w:p>
    <w:p>
      <w:pPr>
        <w:spacing w:after="0" w:line="5" w:lineRule="exact"/>
        <w:rPr>
          <w:rFonts w:ascii="Times New Roman" w:cs="Times New Roman" w:eastAsia="Times New Roman" w:hAnsi="Times New Roman"/>
          <w:sz w:val="25"/>
          <w:szCs w:val="25"/>
          <w:color w:val="auto"/>
        </w:rPr>
      </w:pPr>
    </w:p>
    <w:p>
      <w:pPr>
        <w:ind w:right="20" w:firstLine="1304"/>
        <w:spacing w:after="0" w:line="488" w:lineRule="auto"/>
        <w:tabs>
          <w:tab w:leader="none" w:pos="1944" w:val="left"/>
        </w:tabs>
        <w:numPr>
          <w:ilvl w:val="0"/>
          <w:numId w:val="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At all times, the Company had a good faith belief that the Authorized Share Amendment was properly approved and adopted in compliance with Delaware law and the governing certificate of incorporation. In light of a recent decision by the Delaware Court of Chancery captioned, </w:t>
      </w:r>
      <w:r>
        <w:rPr>
          <w:rFonts w:ascii="Times New Roman" w:cs="Times New Roman" w:eastAsia="Times New Roman" w:hAnsi="Times New Roman"/>
          <w:sz w:val="25"/>
          <w:szCs w:val="25"/>
          <w:i w:val="1"/>
          <w:iCs w:val="1"/>
          <w:color w:val="auto"/>
        </w:rPr>
        <w:t>Garfield v. Boxed,</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25"/>
          <w:szCs w:val="25"/>
          <w:i w:val="1"/>
          <w:iCs w:val="1"/>
          <w:color w:val="auto"/>
        </w:rPr>
        <w:t>Inc.</w:t>
      </w:r>
      <w:r>
        <w:rPr>
          <w:rFonts w:ascii="Times New Roman" w:cs="Times New Roman" w:eastAsia="Times New Roman" w:hAnsi="Times New Roman"/>
          <w:sz w:val="25"/>
          <w:szCs w:val="25"/>
          <w:color w:val="auto"/>
        </w:rPr>
        <w:t>, 2022 WL 17959766, at *1 (Del. Ch. Dec. 27, 2022), uncertainty has been created around the approval and</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adoption of the Authorized Share Amendment. Through this Application, the Company seeks to resolve this uncertainty.</w:t>
      </w:r>
    </w:p>
    <w:p>
      <w:pPr>
        <w:spacing w:after="0" w:line="2" w:lineRule="exact"/>
        <w:rPr>
          <w:rFonts w:ascii="Times New Roman" w:cs="Times New Roman" w:eastAsia="Times New Roman" w:hAnsi="Times New Roman"/>
          <w:sz w:val="25"/>
          <w:szCs w:val="25"/>
          <w:color w:val="auto"/>
        </w:rPr>
      </w:pPr>
    </w:p>
    <w:p>
      <w:pPr>
        <w:ind w:right="120" w:firstLine="1304"/>
        <w:spacing w:after="0" w:line="507" w:lineRule="auto"/>
        <w:tabs>
          <w:tab w:leader="none" w:pos="1944" w:val="left"/>
        </w:tabs>
        <w:numPr>
          <w:ilvl w:val="0"/>
          <w:numId w:val="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As explained further herein, the Company has been treating the approval of the Authorized Share Amendment as valid and has taken significant actions in reliance on its validity, including the filing of an amended certificate of</w:t>
      </w:r>
    </w:p>
    <w:p>
      <w:pPr>
        <w:sectPr>
          <w:pgSz w:w="11900" w:h="16838" w:orient="portrait"/>
          <w:cols w:equalWidth="0" w:num="1">
            <w:col w:w="11240"/>
          </w:cols>
          <w:pgMar w:left="320" w:top="94" w:right="339" w:bottom="1440" w:gutter="0" w:footer="0" w:header="0"/>
        </w:sectPr>
      </w:pPr>
    </w:p>
    <w:bookmarkStart w:id="4" w:name="page5"/>
    <w:bookmarkEnd w:id="4"/>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incorporation reflecting the increase in authorized shares contemplated by the Authorized Share Amendment,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the closing of the Transaction (as defined below) and the Company’s listing and public trading of its stock 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the Nasdaq Stock Market.</w:t>
      </w:r>
    </w:p>
    <w:p>
      <w:pPr>
        <w:spacing w:after="0" w:line="293" w:lineRule="exact"/>
        <w:rPr>
          <w:sz w:val="20"/>
          <w:szCs w:val="20"/>
          <w:color w:val="auto"/>
        </w:rPr>
      </w:pPr>
    </w:p>
    <w:p>
      <w:pPr>
        <w:ind w:right="200" w:firstLine="1304"/>
        <w:spacing w:after="0" w:line="488" w:lineRule="auto"/>
        <w:tabs>
          <w:tab w:leader="none" w:pos="1944" w:val="left"/>
        </w:tabs>
        <w:numPr>
          <w:ilvl w:val="0"/>
          <w:numId w:val="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addition, as explained further herein, the Company’s stockholders would not be harmed by validation of the Authorized Share Amendment. However, the Company and all of the Company’s stockholders would be irreparably harmed if the Authorized Share Amendment is not validated.</w:t>
      </w:r>
    </w:p>
    <w:p>
      <w:pPr>
        <w:spacing w:after="0" w:line="1" w:lineRule="exact"/>
        <w:rPr>
          <w:rFonts w:ascii="Times New Roman" w:cs="Times New Roman" w:eastAsia="Times New Roman" w:hAnsi="Times New Roman"/>
          <w:sz w:val="25"/>
          <w:szCs w:val="25"/>
          <w:color w:val="auto"/>
        </w:rPr>
      </w:pPr>
    </w:p>
    <w:p>
      <w:pPr>
        <w:ind w:right="580" w:firstLine="1304"/>
        <w:spacing w:after="0" w:line="422" w:lineRule="auto"/>
        <w:tabs>
          <w:tab w:leader="none" w:pos="1944" w:val="left"/>
        </w:tabs>
        <w:numPr>
          <w:ilvl w:val="0"/>
          <w:numId w:val="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Accordingly, and for the reasons set forth more fully below, the Court should grant the Application and issue an Order validating the Authorized Share Amendment.</w:t>
      </w:r>
      <w:r>
        <w:rPr>
          <w:rFonts w:ascii="Times New Roman" w:cs="Times New Roman" w:eastAsia="Times New Roman" w:hAnsi="Times New Roman"/>
          <w:sz w:val="32"/>
          <w:szCs w:val="32"/>
          <w:color w:val="auto"/>
          <w:vertAlign w:val="superscript"/>
        </w:rPr>
        <w:t>1</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NATURE OF THE ACTION</w:t>
      </w:r>
    </w:p>
    <w:p>
      <w:pPr>
        <w:spacing w:after="0" w:line="313" w:lineRule="exact"/>
        <w:rPr>
          <w:sz w:val="20"/>
          <w:szCs w:val="20"/>
          <w:color w:val="auto"/>
        </w:rPr>
      </w:pPr>
    </w:p>
    <w:p>
      <w:pPr>
        <w:ind w:right="60" w:firstLine="1304"/>
        <w:spacing w:after="0" w:line="501" w:lineRule="auto"/>
        <w:tabs>
          <w:tab w:leader="none" w:pos="1944" w:val="left"/>
        </w:tabs>
        <w:numPr>
          <w:ilvl w:val="0"/>
          <w:numId w:val="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This action arises out of a de-SPAC transaction completed on June 24, 2021, pursuant to which the Company, a special purpose acquisition company (“SPAC”) formerly known as FinTech Acquisition Corp. IV (“FinTech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43" w:lineRule="exact"/>
        <w:rPr>
          <w:sz w:val="20"/>
          <w:szCs w:val="20"/>
          <w:color w:val="auto"/>
        </w:rPr>
      </w:pPr>
    </w:p>
    <w:p>
      <w:pPr>
        <w:ind w:firstLine="8"/>
        <w:spacing w:after="0" w:line="209" w:lineRule="auto"/>
        <w:tabs>
          <w:tab w:leader="none" w:pos="145" w:val="left"/>
        </w:tabs>
        <w:numPr>
          <w:ilvl w:val="0"/>
          <w:numId w:val="5"/>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5"/>
          <w:szCs w:val="25"/>
          <w:color w:val="auto"/>
        </w:rPr>
        <w:t xml:space="preserve">As set forth in the proposed order to the Motion to Expedite, filed contemporaneously herewith, the Company intends to issue an 8-K providing notice of the Application in advance of any hearing on the Application, in accordance with the notice procedures set forth in </w:t>
      </w:r>
      <w:r>
        <w:rPr>
          <w:rFonts w:ascii="Times New Roman" w:cs="Times New Roman" w:eastAsia="Times New Roman" w:hAnsi="Times New Roman"/>
          <w:sz w:val="25"/>
          <w:szCs w:val="25"/>
          <w:i w:val="1"/>
          <w:iCs w:val="1"/>
          <w:color w:val="auto"/>
        </w:rPr>
        <w:t>In re Lordstown Motors Corp.</w:t>
      </w:r>
      <w:r>
        <w:rPr>
          <w:rFonts w:ascii="Times New Roman" w:cs="Times New Roman" w:eastAsia="Times New Roman" w:hAnsi="Times New Roman"/>
          <w:sz w:val="25"/>
          <w:szCs w:val="25"/>
          <w:color w:val="auto"/>
        </w:rPr>
        <w:t xml:space="preserve">, C.A. No. 2023-0083-LWW, at 10 (Del. Ch. Feb. 3, 2023) (Order), </w:t>
      </w:r>
      <w:r>
        <w:rPr>
          <w:rFonts w:ascii="Times New Roman" w:cs="Times New Roman" w:eastAsia="Times New Roman" w:hAnsi="Times New Roman"/>
          <w:sz w:val="25"/>
          <w:szCs w:val="25"/>
          <w:i w:val="1"/>
          <w:iCs w:val="1"/>
          <w:color w:val="auto"/>
        </w:rPr>
        <w:t>In re Chargepoint Holdings, Inc.</w:t>
      </w:r>
      <w:r>
        <w:rPr>
          <w:rFonts w:ascii="Times New Roman" w:cs="Times New Roman" w:eastAsia="Times New Roman" w:hAnsi="Times New Roman"/>
          <w:sz w:val="25"/>
          <w:szCs w:val="25"/>
          <w:color w:val="auto"/>
        </w:rPr>
        <w:t xml:space="preserve">, C.A. No. 2023-0113-LWW (Del. Ch. Feb. 3, 2023) (Order), </w:t>
      </w:r>
      <w:r>
        <w:rPr>
          <w:rFonts w:ascii="Times New Roman" w:cs="Times New Roman" w:eastAsia="Times New Roman" w:hAnsi="Times New Roman"/>
          <w:sz w:val="25"/>
          <w:szCs w:val="25"/>
          <w:i w:val="1"/>
          <w:iCs w:val="1"/>
          <w:color w:val="auto"/>
        </w:rPr>
        <w:t>In re Lucid Group, Inc.</w:t>
      </w:r>
      <w:r>
        <w:rPr>
          <w:rFonts w:ascii="Times New Roman" w:cs="Times New Roman" w:eastAsia="Times New Roman" w:hAnsi="Times New Roman"/>
          <w:sz w:val="25"/>
          <w:szCs w:val="25"/>
          <w:color w:val="auto"/>
        </w:rPr>
        <w:t xml:space="preserve">, C.A. No. 2023-0116-LWW (Del. Ch. Feb. 3, 2023) (Order) and </w:t>
      </w:r>
      <w:r>
        <w:rPr>
          <w:rFonts w:ascii="Times New Roman" w:cs="Times New Roman" w:eastAsia="Times New Roman" w:hAnsi="Times New Roman"/>
          <w:sz w:val="25"/>
          <w:szCs w:val="25"/>
          <w:i w:val="1"/>
          <w:iCs w:val="1"/>
          <w:color w:val="auto"/>
        </w:rPr>
        <w:t>In re Fisker Inc.</w:t>
      </w:r>
      <w:r>
        <w:rPr>
          <w:rFonts w:ascii="Times New Roman" w:cs="Times New Roman" w:eastAsia="Times New Roman" w:hAnsi="Times New Roman"/>
          <w:sz w:val="25"/>
          <w:szCs w:val="25"/>
          <w:color w:val="auto"/>
        </w:rPr>
        <w:t>, C.A. No. 2023-0119-LWW (Del. Ch. Feb. 3, 2023)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IV”), acquired a portion of PWP Holdings LP, a Delaware limited partnership (the “Transaction”).</w:t>
      </w:r>
      <w:r>
        <w:rPr>
          <w:rFonts w:ascii="Times New Roman" w:cs="Times New Roman" w:eastAsia="Times New Roman" w:hAnsi="Times New Roman"/>
          <w:sz w:val="32"/>
          <w:szCs w:val="32"/>
          <w:color w:val="auto"/>
          <w:vertAlign w:val="superscript"/>
        </w:rPr>
        <w:t>2</w:t>
      </w:r>
    </w:p>
    <w:p>
      <w:pPr>
        <w:spacing w:after="0" w:line="218" w:lineRule="exact"/>
        <w:rPr>
          <w:sz w:val="20"/>
          <w:szCs w:val="20"/>
          <w:color w:val="auto"/>
        </w:rPr>
      </w:pPr>
    </w:p>
    <w:p>
      <w:pPr>
        <w:ind w:firstLine="1304"/>
        <w:spacing w:after="0" w:line="488" w:lineRule="auto"/>
        <w:tabs>
          <w:tab w:leader="none" w:pos="1944" w:val="left"/>
        </w:tabs>
        <w:numPr>
          <w:ilvl w:val="0"/>
          <w:numId w:val="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At the time of the Transaction, the Company’s Amended and Restated Certificate of Incorporation (Exhibit A, the “Pre-Transaction Charter”) stated that “[t]he total number of shares of all classes of capital stock, each with a par value of $0.0001 per share, which the Corporation shall have authority to issue is 111,000,000, of which (a) 110,000,000 shares shall be Common Stock, including (i) 100,000,000 shares of Class A Common Stock and (ii) 10,000,000 shares of Class B Common Stock, and (b) 1,000,000 shares shall be Preferred Stock.” (Pre-Transaction Charter § 4.01)</w:t>
      </w:r>
    </w:p>
    <w:p>
      <w:pPr>
        <w:spacing w:after="0" w:line="2" w:lineRule="exact"/>
        <w:rPr>
          <w:rFonts w:ascii="Times New Roman" w:cs="Times New Roman" w:eastAsia="Times New Roman" w:hAnsi="Times New Roman"/>
          <w:sz w:val="25"/>
          <w:szCs w:val="25"/>
          <w:color w:val="auto"/>
        </w:rPr>
      </w:pPr>
    </w:p>
    <w:p>
      <w:pPr>
        <w:jc w:val="both"/>
        <w:ind w:right="60" w:firstLine="1304"/>
        <w:spacing w:after="0" w:line="487" w:lineRule="auto"/>
        <w:tabs>
          <w:tab w:leader="none" w:pos="1944" w:val="left"/>
        </w:tabs>
        <w:numPr>
          <w:ilvl w:val="0"/>
          <w:numId w:val="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connection with the Transaction, on May 27, 2021, the Company filed a proxy statement (Exhibit B, the “Proxy”) informing the Company’s stockholders of a special meeting of the stockholders to be held on June 22, 2021 (the “Special Meeting”) and soliciting stockholder approval of certain proposals to be voted upon at the Special Meeting.</w:t>
      </w:r>
    </w:p>
    <w:p>
      <w:pPr>
        <w:spacing w:after="0" w:line="2" w:lineRule="exact"/>
        <w:rPr>
          <w:rFonts w:ascii="Times New Roman" w:cs="Times New Roman" w:eastAsia="Times New Roman" w:hAnsi="Times New Roman"/>
          <w:sz w:val="25"/>
          <w:szCs w:val="25"/>
          <w:color w:val="auto"/>
        </w:rPr>
      </w:pPr>
    </w:p>
    <w:p>
      <w:pPr>
        <w:ind w:right="640" w:firstLine="1304"/>
        <w:spacing w:after="0" w:line="507" w:lineRule="auto"/>
        <w:tabs>
          <w:tab w:leader="none" w:pos="1944" w:val="left"/>
        </w:tabs>
        <w:numPr>
          <w:ilvl w:val="0"/>
          <w:numId w:val="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addition to approval of the Transaction, among other proposals, the Proxy solicited stockholders to vote to approve an amendment to the Pre-Transaction Charter to increase the number of authorized shares of the Company’s Common Stock and Preferred Stock (the “Authorized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714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 w:lineRule="exact"/>
        <w:rPr>
          <w:sz w:val="20"/>
          <w:szCs w:val="20"/>
          <w:color w:val="auto"/>
        </w:rPr>
      </w:pPr>
    </w:p>
    <w:p>
      <w:pPr>
        <w:ind w:left="5560" w:right="1980" w:hanging="5552"/>
        <w:spacing w:after="0" w:line="994" w:lineRule="auto"/>
        <w:tabs>
          <w:tab w:leader="none" w:pos="152" w:val="left"/>
        </w:tabs>
        <w:numPr>
          <w:ilvl w:val="0"/>
          <w:numId w:val="7"/>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5"/>
          <w:szCs w:val="25"/>
          <w:color w:val="auto"/>
        </w:rPr>
        <w:t>After the Transaction, the combined entity changed its name to Perella Weinberg Partners. 3</w:t>
      </w:r>
    </w:p>
    <w:p>
      <w:pPr>
        <w:sectPr>
          <w:pgSz w:w="11900" w:h="16838" w:orient="portrait"/>
          <w:cols w:equalWidth="0" w:num="1">
            <w:col w:w="11220"/>
          </w:cols>
          <w:pgMar w:left="320" w:top="1440" w:right="359" w:bottom="1440" w:gutter="0" w:footer="0" w:header="0"/>
        </w:sectPr>
      </w:pPr>
    </w:p>
    <w:bookmarkStart w:id="6" w:name="page7"/>
    <w:bookmarkEnd w:id="6"/>
    <w:p>
      <w:pPr>
        <w:spacing w:after="0" w:line="122" w:lineRule="exact"/>
        <w:rPr>
          <w:sz w:val="20"/>
          <w:szCs w:val="20"/>
          <w:color w:val="auto"/>
        </w:rPr>
      </w:pPr>
    </w:p>
    <w:p>
      <w:pPr>
        <w:spacing w:after="0" w:line="487" w:lineRule="auto"/>
        <w:rPr>
          <w:sz w:val="20"/>
          <w:szCs w:val="20"/>
          <w:color w:val="auto"/>
        </w:rPr>
      </w:pPr>
      <w:r>
        <w:rPr>
          <w:rFonts w:ascii="Times New Roman" w:cs="Times New Roman" w:eastAsia="Times New Roman" w:hAnsi="Times New Roman"/>
          <w:sz w:val="25"/>
          <w:szCs w:val="25"/>
          <w:color w:val="auto"/>
        </w:rPr>
        <w:t>Amendment Proposal”). Specifically, the Authorized Share Amendment Proposal contemplated increasing the number of authorized shares of the Company’s Common Stock from 111,000,000 to 2,110,000,000 shares, including increasing the number of authorized shares of Class A Common Stock from 100,000,000 to 1,500,000,000 shares, authorizing 300,000,000 shares of a newly created Class B-1 Common Stock and 300,000,000 shares of a newly created Class B-2 Common Stock and increasing the number of authorized shares of Preferred Stock from 1,000,000 to 100,000,000. (Proxy at 185-186) The Proxy stated that the increase in authorized stock was “[i]n order to ensure that [the Company has] sufficient authorized capital to complete the [Transaction], and for future issuances.” (Proxy at 185)</w:t>
      </w:r>
    </w:p>
    <w:p>
      <w:pPr>
        <w:spacing w:after="0" w:line="4" w:lineRule="exact"/>
        <w:rPr>
          <w:sz w:val="20"/>
          <w:szCs w:val="20"/>
          <w:color w:val="auto"/>
        </w:rPr>
      </w:pPr>
    </w:p>
    <w:p>
      <w:pPr>
        <w:ind w:right="20" w:firstLine="1304"/>
        <w:spacing w:after="0" w:line="489" w:lineRule="auto"/>
        <w:tabs>
          <w:tab w:leader="none" w:pos="1935" w:val="left"/>
        </w:tabs>
        <w:numPr>
          <w:ilvl w:val="0"/>
          <w:numId w:val="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connection with the approval of the Authorized Share Amendment Proposal, the Proxy also solicited stockholders to approve the creation of additional classes of the Company’s common stock to be designated as Class B-1 Common Stock, having 10 votes per share, and Class B-2 Common Stock, having 1 vote per share, with each having 300,000,000 of authorized shares, as contemplated by the Authorized Share Amendment Proposal (the “Class B Proposal”).</w:t>
      </w:r>
    </w:p>
    <w:p>
      <w:pPr>
        <w:ind w:right="200" w:firstLine="1304"/>
        <w:spacing w:after="0" w:line="518" w:lineRule="auto"/>
        <w:tabs>
          <w:tab w:leader="none" w:pos="1925" w:val="left"/>
        </w:tabs>
        <w:numPr>
          <w:ilvl w:val="0"/>
          <w:numId w:val="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Proxy stated that the approval of the Authorized Share Amendment Proposal and the Class B Proposal required “the affirmative vote of</w:t>
      </w: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color w:val="auto"/>
        </w:rPr>
        <w:t>4</w:t>
      </w:r>
    </w:p>
    <w:p>
      <w:pPr>
        <w:sectPr>
          <w:pgSz w:w="11900" w:h="16838" w:orient="portrait"/>
          <w:cols w:equalWidth="0" w:num="1">
            <w:col w:w="11120"/>
          </w:cols>
          <w:pgMar w:left="320" w:top="1440" w:right="459" w:bottom="1440" w:gutter="0" w:footer="0" w:header="0"/>
        </w:sectPr>
      </w:pPr>
    </w:p>
    <w:bookmarkStart w:id="7" w:name="page8"/>
    <w:bookmarkEnd w:id="7"/>
    <w:p>
      <w:pPr>
        <w:spacing w:after="0" w:line="122" w:lineRule="exact"/>
        <w:rPr>
          <w:sz w:val="20"/>
          <w:szCs w:val="20"/>
          <w:color w:val="auto"/>
        </w:rPr>
      </w:pPr>
    </w:p>
    <w:p>
      <w:pPr>
        <w:ind w:right="520"/>
        <w:spacing w:after="0" w:line="430" w:lineRule="auto"/>
        <w:rPr>
          <w:sz w:val="20"/>
          <w:szCs w:val="20"/>
          <w:color w:val="auto"/>
        </w:rPr>
      </w:pPr>
      <w:r>
        <w:rPr>
          <w:rFonts w:ascii="Times New Roman" w:cs="Times New Roman" w:eastAsia="Times New Roman" w:hAnsi="Times New Roman"/>
          <w:sz w:val="25"/>
          <w:szCs w:val="25"/>
          <w:color w:val="auto"/>
        </w:rPr>
        <w:t>holders of a majority of the outstanding shares of [the Company’s] common stock entitled to vote on such proposal[s].” (Proxy at 185, 189)</w:t>
      </w:r>
      <w:r>
        <w:rPr>
          <w:rFonts w:ascii="Times New Roman" w:cs="Times New Roman" w:eastAsia="Times New Roman" w:hAnsi="Times New Roman"/>
          <w:sz w:val="32"/>
          <w:szCs w:val="32"/>
          <w:color w:val="auto"/>
          <w:vertAlign w:val="superscript"/>
        </w:rPr>
        <w:t>3</w:t>
      </w:r>
    </w:p>
    <w:p>
      <w:pPr>
        <w:ind w:firstLine="1304"/>
        <w:spacing w:after="0" w:line="487" w:lineRule="auto"/>
        <w:tabs>
          <w:tab w:leader="none" w:pos="1935"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Because the completion of the Transaction required the issuance of a number of shares of Common Stock constituting more than 20% of the Company’s shares of Common Stock then outstanding, the stockholders were also asked to vote on a proposal to authorize the issuance of a combination of shares of the Company’s Class A Common Stock and the newly created Class B-1 Common Stock and Class B-2 Common Stock for purposes of complying with the Nasdaq Stock Market Listing Rule 5635. (Proxy at 176-177) The Proxy stated that the Company anticipated the issuance of an aggregate of up to 61,100,000 shares of Class B-1 Common Stock and Class B-2 Common Stock in connection with the Transaction, and additional issuances of Class A Common Stock, including the issuance of between 12,500,000 and 14,850,000 shares in connection with a related private placement.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w:t>
      </w:r>
    </w:p>
    <w:p>
      <w:pPr>
        <w:spacing w:after="0" w:line="1" w:lineRule="exact"/>
        <w:rPr>
          <w:rFonts w:ascii="Times New Roman" w:cs="Times New Roman" w:eastAsia="Times New Roman" w:hAnsi="Times New Roman"/>
          <w:sz w:val="25"/>
          <w:szCs w:val="25"/>
          <w:color w:val="auto"/>
        </w:rPr>
      </w:pPr>
    </w:p>
    <w:p>
      <w:pPr>
        <w:ind w:right="140" w:firstLine="1304"/>
        <w:spacing w:after="0" w:line="507" w:lineRule="auto"/>
        <w:tabs>
          <w:tab w:leader="none" w:pos="1935"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June 22, 2021, the Company held the Special Meeting. At the Special Meeting, a majority of the Company’s stockholders voted in favor of all of the proposals set forth in the Proxy, including the Authorized Share Amendment Proposal. As of the May 14, 2021 record date set for the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714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 w:lineRule="exact"/>
        <w:rPr>
          <w:sz w:val="20"/>
          <w:szCs w:val="20"/>
          <w:color w:val="auto"/>
        </w:rPr>
      </w:pPr>
    </w:p>
    <w:p>
      <w:pPr>
        <w:ind w:right="120" w:firstLine="8"/>
        <w:spacing w:after="0" w:line="211" w:lineRule="auto"/>
        <w:tabs>
          <w:tab w:leader="none" w:pos="145" w:val="left"/>
        </w:tabs>
        <w:numPr>
          <w:ilvl w:val="0"/>
          <w:numId w:val="10"/>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5"/>
          <w:szCs w:val="25"/>
          <w:color w:val="auto"/>
        </w:rPr>
        <w:t>As of the Record Date (defined below), there were no shares of Preferred Stock outstanding. Accordingly, there were no holders of Preferred Stock entitled to vote on the increase in the number of authorized shares of Preferred Stock contemplated by the Authorized Share Amendment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5</w:t>
      </w:r>
    </w:p>
    <w:p>
      <w:pPr>
        <w:sectPr>
          <w:pgSz w:w="11900" w:h="16838" w:orient="portrait"/>
          <w:cols w:equalWidth="0" w:num="1">
            <w:col w:w="11180"/>
          </w:cols>
          <w:pgMar w:left="320" w:top="1440" w:right="399" w:bottom="1440" w:gutter="0" w:footer="0" w:header="0"/>
        </w:sectPr>
      </w:pPr>
    </w:p>
    <w:bookmarkStart w:id="8" w:name="page9"/>
    <w:bookmarkEnd w:id="8"/>
    <w:p>
      <w:pPr>
        <w:spacing w:after="0" w:line="122" w:lineRule="exact"/>
        <w:rPr>
          <w:sz w:val="20"/>
          <w:szCs w:val="20"/>
          <w:color w:val="auto"/>
        </w:rPr>
      </w:pPr>
    </w:p>
    <w:p>
      <w:pPr>
        <w:spacing w:after="0" w:line="476" w:lineRule="auto"/>
        <w:rPr>
          <w:sz w:val="20"/>
          <w:szCs w:val="20"/>
          <w:color w:val="auto"/>
        </w:rPr>
      </w:pPr>
      <w:r>
        <w:rPr>
          <w:rFonts w:ascii="Times New Roman" w:cs="Times New Roman" w:eastAsia="Times New Roman" w:hAnsi="Times New Roman"/>
          <w:sz w:val="25"/>
          <w:szCs w:val="25"/>
          <w:color w:val="auto"/>
        </w:rPr>
        <w:t>Meeting (the “Record Date”), there were 31,480,000 shares of the Company’s Common Stock outstanding. (Proxy at 25) At the Special Meeting, 23,039,335</w:t>
      </w:r>
      <w:r>
        <w:rPr>
          <w:sz w:val="1"/>
          <w:szCs w:val="1"/>
          <w:color w:val="auto"/>
        </w:rPr>
        <w:drawing>
          <wp:inline distT="0" distB="0" distL="0" distR="0">
            <wp:extent cx="43180" cy="1803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180340"/>
                    </a:xfrm>
                    <a:prstGeom prst="rect">
                      <a:avLst/>
                    </a:prstGeom>
                    <a:noFill/>
                    <a:ln>
                      <a:noFill/>
                    </a:ln>
                  </pic:spPr>
                </pic:pic>
              </a:graphicData>
            </a:graphic>
          </wp:inline>
        </w:drawing>
      </w:r>
      <w:r>
        <w:rPr>
          <w:rFonts w:ascii="Times New Roman" w:cs="Times New Roman" w:eastAsia="Times New Roman" w:hAnsi="Times New Roman"/>
          <w:sz w:val="25"/>
          <w:szCs w:val="25"/>
          <w:color w:val="auto"/>
        </w:rPr>
        <w:t>shares of the Company’s Common Stock were voted in favor of the Authorized Share Amendment Proposal, representing 73.19% of the total shares outstanding of the Company’s Common Stock. (Exhibit C at 3)</w:t>
      </w:r>
    </w:p>
    <w:p>
      <w:pPr>
        <w:spacing w:after="0" w:line="5" w:lineRule="exact"/>
        <w:rPr>
          <w:sz w:val="20"/>
          <w:szCs w:val="20"/>
          <w:color w:val="auto"/>
        </w:rPr>
      </w:pPr>
    </w:p>
    <w:p>
      <w:pPr>
        <w:ind w:right="20" w:firstLine="1304"/>
        <w:spacing w:after="0" w:line="488" w:lineRule="auto"/>
        <w:tabs>
          <w:tab w:leader="none" w:pos="1935" w:val="left"/>
        </w:tabs>
        <w:numPr>
          <w:ilvl w:val="0"/>
          <w:numId w:val="1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Although the vote on the Authorized Share Amendment Proposal was not structured as a separate class vote by the Class A stockholders, the Authorized Share Amendment Proposal received the approval of the votes of a majority of shares of Class A Common Stock. As of the Record Date, there were 23,610,000 shares of Class A Common Stock outstanding and 7,870,000 shares of Class B Common Stock outstanding. (Proxy at 124) A total of 23,039,335 shares of Common Stock approved the Authorized Share Amendment Proposal. (Exhibit C at 3) Even assuming that all 7,870,000 shares of Class B Common Stock voted in favor of the proposals, a minimum of 15,169,335 of the affirmative votes would have been from Class A Common Stock, representing a 64.25% majority of the total shares of Class A Common Stock for the voting in favor of the Authorized Share Amendment Proposal.</w:t>
      </w:r>
    </w:p>
    <w:p>
      <w:pPr>
        <w:spacing w:after="0" w:line="4" w:lineRule="exact"/>
        <w:rPr>
          <w:rFonts w:ascii="Times New Roman" w:cs="Times New Roman" w:eastAsia="Times New Roman" w:hAnsi="Times New Roman"/>
          <w:sz w:val="25"/>
          <w:szCs w:val="25"/>
          <w:color w:val="auto"/>
        </w:rPr>
      </w:pPr>
    </w:p>
    <w:p>
      <w:pPr>
        <w:ind w:right="140" w:firstLine="1304"/>
        <w:spacing w:after="0" w:line="518" w:lineRule="auto"/>
        <w:tabs>
          <w:tab w:leader="none" w:pos="1935" w:val="left"/>
        </w:tabs>
        <w:numPr>
          <w:ilvl w:val="0"/>
          <w:numId w:val="1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June 22, 2021, the Company announced the results of the votes at the Special Meeting, including the approval of the Transaction and the</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6</w:t>
      </w:r>
    </w:p>
    <w:p>
      <w:pPr>
        <w:sectPr>
          <w:pgSz w:w="11900" w:h="16838" w:orient="portrait"/>
          <w:cols w:equalWidth="0" w:num="1">
            <w:col w:w="11200"/>
          </w:cols>
          <w:pgMar w:left="320" w:top="1440" w:right="379" w:bottom="1440" w:gutter="0" w:footer="0" w:header="0"/>
        </w:sectPr>
      </w:pPr>
    </w:p>
    <w:bookmarkStart w:id="9" w:name="page10"/>
    <w:bookmarkEnd w:id="9"/>
    <w:p>
      <w:pPr>
        <w:spacing w:after="0" w:line="122" w:lineRule="exact"/>
        <w:rPr>
          <w:sz w:val="20"/>
          <w:szCs w:val="20"/>
          <w:color w:val="auto"/>
        </w:rPr>
      </w:pPr>
    </w:p>
    <w:p>
      <w:pPr>
        <w:ind w:right="20"/>
        <w:spacing w:after="0" w:line="490" w:lineRule="auto"/>
        <w:rPr>
          <w:sz w:val="20"/>
          <w:szCs w:val="20"/>
          <w:color w:val="auto"/>
        </w:rPr>
      </w:pPr>
      <w:r>
        <w:rPr>
          <w:rFonts w:ascii="Times New Roman" w:cs="Times New Roman" w:eastAsia="Times New Roman" w:hAnsi="Times New Roman"/>
          <w:sz w:val="25"/>
          <w:szCs w:val="25"/>
          <w:color w:val="auto"/>
        </w:rPr>
        <w:t>Authorized Share Amendment Proposal (Exhibit C), and on June 24, 2021, the Company announced that it had completed and closed the Transaction.</w:t>
      </w:r>
    </w:p>
    <w:p>
      <w:pPr>
        <w:spacing w:after="0" w:line="1" w:lineRule="exact"/>
        <w:rPr>
          <w:sz w:val="20"/>
          <w:szCs w:val="20"/>
          <w:color w:val="auto"/>
        </w:rPr>
      </w:pPr>
    </w:p>
    <w:p>
      <w:pPr>
        <w:ind w:right="60" w:firstLine="1304"/>
        <w:spacing w:after="0" w:line="484" w:lineRule="auto"/>
        <w:tabs>
          <w:tab w:leader="none" w:pos="1935" w:val="left"/>
        </w:tabs>
        <w:numPr>
          <w:ilvl w:val="0"/>
          <w:numId w:val="1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June 24, 2021, in reliance on the validity of the approval of Authorized Share Amendment Proposal, the Company filed a Second Amended and Restated Certificate of Amendment with the Secretary of State of the State of Delaware (Exhibit D, the “Post-Transaction Charter”).</w:t>
      </w:r>
    </w:p>
    <w:p>
      <w:pPr>
        <w:spacing w:after="0" w:line="2" w:lineRule="exact"/>
        <w:rPr>
          <w:rFonts w:ascii="Times New Roman" w:cs="Times New Roman" w:eastAsia="Times New Roman" w:hAnsi="Times New Roman"/>
          <w:sz w:val="25"/>
          <w:szCs w:val="25"/>
          <w:color w:val="auto"/>
        </w:rPr>
      </w:pPr>
    </w:p>
    <w:p>
      <w:pPr>
        <w:ind w:firstLine="1304"/>
        <w:spacing w:after="0" w:line="488" w:lineRule="auto"/>
        <w:tabs>
          <w:tab w:leader="none" w:pos="1935" w:val="left"/>
        </w:tabs>
        <w:numPr>
          <w:ilvl w:val="0"/>
          <w:numId w:val="1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connection with the closing of the Transaction, the Company issued 19,346,667 shares of Class A Common Stock (such that 42,956,667 shares of Class A Common Stock were issued and outstanding at such time), 45,608,840 shares of newly authorized Class B-1 Common Stock and 4,545,359 shares of newly authorized Class B-2 Common Stock, and on June 25, 2021, the Company’s Class A Common Stock was listed on the Nasdaq Stock Market, and has been actively traded on that exchange since.</w:t>
      </w:r>
    </w:p>
    <w:p>
      <w:pPr>
        <w:spacing w:after="0" w:line="2" w:lineRule="exact"/>
        <w:rPr>
          <w:rFonts w:ascii="Times New Roman" w:cs="Times New Roman" w:eastAsia="Times New Roman" w:hAnsi="Times New Roman"/>
          <w:sz w:val="25"/>
          <w:szCs w:val="25"/>
          <w:color w:val="auto"/>
        </w:rPr>
      </w:pPr>
    </w:p>
    <w:p>
      <w:pPr>
        <w:ind w:right="180" w:firstLine="1304"/>
        <w:spacing w:after="0" w:line="494" w:lineRule="auto"/>
        <w:tabs>
          <w:tab w:leader="none" w:pos="1935" w:val="left"/>
        </w:tabs>
        <w:numPr>
          <w:ilvl w:val="0"/>
          <w:numId w:val="1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On December 27, 2022, this Court issued an opinion in </w:t>
      </w:r>
      <w:r>
        <w:rPr>
          <w:rFonts w:ascii="Times New Roman" w:cs="Times New Roman" w:eastAsia="Times New Roman" w:hAnsi="Times New Roman"/>
          <w:sz w:val="25"/>
          <w:szCs w:val="25"/>
          <w:i w:val="1"/>
          <w:iCs w:val="1"/>
          <w:color w:val="auto"/>
        </w:rPr>
        <w:t>Garfield v. Boxed, Inc.</w:t>
      </w:r>
      <w:r>
        <w:rPr>
          <w:rFonts w:ascii="Times New Roman" w:cs="Times New Roman" w:eastAsia="Times New Roman" w:hAnsi="Times New Roman"/>
          <w:sz w:val="25"/>
          <w:szCs w:val="25"/>
          <w:color w:val="auto"/>
        </w:rPr>
        <w:t xml:space="preserve"> that potentially calls into question the effectiveness of the stockholder approval of the Authorized Share Amendment. 2022 WL 17959766, at *1 (Del. Ch. Dec. 27, 2022). The SPAC in </w:t>
      </w:r>
      <w:r>
        <w:rPr>
          <w:rFonts w:ascii="Times New Roman" w:cs="Times New Roman" w:eastAsia="Times New Roman" w:hAnsi="Times New Roman"/>
          <w:sz w:val="25"/>
          <w:szCs w:val="25"/>
          <w:i w:val="1"/>
          <w:iCs w:val="1"/>
          <w:color w:val="auto"/>
        </w:rPr>
        <w:t>Boxed</w:t>
      </w:r>
      <w:r>
        <w:rPr>
          <w:rFonts w:ascii="Times New Roman" w:cs="Times New Roman" w:eastAsia="Times New Roman" w:hAnsi="Times New Roman"/>
          <w:sz w:val="25"/>
          <w:szCs w:val="25"/>
          <w:color w:val="auto"/>
        </w:rPr>
        <w:t xml:space="preserve"> previously sought stockholder approval to amend its charter to increase the number of authorized shares of Class A common stock in connection with a de-SPAC transaction.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 xml:space="preserve"> The vote was scheduled to be taken as a single vote of all common stockholders voting as a</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7</w:t>
      </w:r>
    </w:p>
    <w:p>
      <w:pPr>
        <w:sectPr>
          <w:pgSz w:w="11900" w:h="16838" w:orient="portrait"/>
          <w:cols w:equalWidth="0" w:num="1">
            <w:col w:w="11220"/>
          </w:cols>
          <w:pgMar w:left="320" w:top="1440" w:right="359" w:bottom="1440" w:gutter="0" w:footer="0" w:header="0"/>
        </w:sectPr>
      </w:pPr>
    </w:p>
    <w:bookmarkStart w:id="10" w:name="page11"/>
    <w:bookmarkEnd w:id="10"/>
    <w:p>
      <w:pPr>
        <w:spacing w:after="0" w:line="118" w:lineRule="exact"/>
        <w:rPr>
          <w:sz w:val="20"/>
          <w:szCs w:val="20"/>
          <w:color w:val="auto"/>
        </w:rPr>
      </w:pPr>
    </w:p>
    <w:p>
      <w:pPr>
        <w:spacing w:after="0" w:line="487" w:lineRule="auto"/>
        <w:rPr>
          <w:sz w:val="20"/>
          <w:szCs w:val="20"/>
          <w:color w:val="auto"/>
        </w:rPr>
      </w:pPr>
      <w:r>
        <w:rPr>
          <w:rFonts w:ascii="Times New Roman" w:cs="Times New Roman" w:eastAsia="Times New Roman" w:hAnsi="Times New Roman"/>
          <w:sz w:val="25"/>
          <w:szCs w:val="25"/>
          <w:color w:val="auto"/>
        </w:rPr>
        <w:t xml:space="preserve">single class.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 xml:space="preserve"> Prior to the stockholder vote, the stockholder plaintiff sent a letter to the SPAC’s board asserting that the proposed voting structure for the vote on the amendment violated the Class A common stockholders’ voting rights pursuant to Section 242(b) of the DGCL and demanded that the company provide a separate class vote for the Class A common stockholders.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 xml:space="preserve"> After receiving the letter, the company amended its merger agreement and supplemented its proxy statement to require a separate vote of the Class A common stockholders to approve the amendment.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 xml:space="preserve"> The stockholder plaintiff then brought an action in this Court seeking attorneys’ fees and expenses for the benefits he purportedly conferred on the company and its stockholders by causing the separate class vote. </w:t>
      </w:r>
      <w:r>
        <w:rPr>
          <w:rFonts w:ascii="Times New Roman" w:cs="Times New Roman" w:eastAsia="Times New Roman" w:hAnsi="Times New Roman"/>
          <w:sz w:val="25"/>
          <w:szCs w:val="25"/>
          <w:i w:val="1"/>
          <w:iCs w:val="1"/>
          <w:color w:val="auto"/>
        </w:rPr>
        <w:t>Id.</w:t>
      </w:r>
    </w:p>
    <w:p>
      <w:pPr>
        <w:spacing w:after="0" w:line="8" w:lineRule="exact"/>
        <w:rPr>
          <w:sz w:val="20"/>
          <w:szCs w:val="20"/>
          <w:color w:val="auto"/>
        </w:rPr>
      </w:pPr>
    </w:p>
    <w:p>
      <w:pPr>
        <w:ind w:right="160" w:firstLine="1304"/>
        <w:spacing w:after="0" w:line="492" w:lineRule="auto"/>
        <w:tabs>
          <w:tab w:leader="none" w:pos="1935" w:val="left"/>
        </w:tabs>
        <w:numPr>
          <w:ilvl w:val="0"/>
          <w:numId w:val="1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In determining whether the stockholder plaintiff had conferred a corporate benefit worthy of an award of fees and expenses, the Court considered whether the plaintiff’s demand was meritorious – </w:t>
      </w:r>
      <w:r>
        <w:rPr>
          <w:rFonts w:ascii="Times New Roman" w:cs="Times New Roman" w:eastAsia="Times New Roman" w:hAnsi="Times New Roman"/>
          <w:sz w:val="25"/>
          <w:szCs w:val="25"/>
          <w:i w:val="1"/>
          <w:iCs w:val="1"/>
          <w:color w:val="auto"/>
        </w:rPr>
        <w:t>i.e.</w:t>
      </w:r>
      <w:r>
        <w:rPr>
          <w:rFonts w:ascii="Times New Roman" w:cs="Times New Roman" w:eastAsia="Times New Roman" w:hAnsi="Times New Roman"/>
          <w:sz w:val="25"/>
          <w:szCs w:val="25"/>
          <w:color w:val="auto"/>
        </w:rPr>
        <w:t xml:space="preserve">, whether the plaintiff could “demonstrate that a combined vote of both Class A and Class B common stock … would have violated Section 242(b)(2).”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 xml:space="preserve"> at *4. The Court’s analysis “hinge[d] on whether the [SPAC’s] Charter authorized Class A and Class B as two classes of common stock” – which would require a separate class vote of Class A stockholders – “or as series within a single class” – which would have allowed a combined vote by all common stockholders voting as a single class.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 xml:space="preserve"> at *6. The Court explained that the SPAC’s charter only used the word “class” and not</w:t>
      </w: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color w:val="auto"/>
        </w:rPr>
        <w:t>8</w:t>
      </w:r>
    </w:p>
    <w:p>
      <w:pPr>
        <w:sectPr>
          <w:pgSz w:w="11900" w:h="16838" w:orient="portrait"/>
          <w:cols w:equalWidth="0" w:num="1">
            <w:col w:w="11180"/>
          </w:cols>
          <w:pgMar w:left="320" w:top="1440" w:right="399" w:bottom="1440" w:gutter="0" w:footer="0" w:header="0"/>
        </w:sectPr>
      </w:pPr>
    </w:p>
    <w:bookmarkStart w:id="11" w:name="page12"/>
    <w:bookmarkEnd w:id="11"/>
    <w:p>
      <w:pPr>
        <w:spacing w:after="0" w:line="122" w:lineRule="exact"/>
        <w:rPr>
          <w:sz w:val="20"/>
          <w:szCs w:val="20"/>
          <w:color w:val="auto"/>
        </w:rPr>
      </w:pPr>
    </w:p>
    <w:p>
      <w:pPr>
        <w:spacing w:after="0" w:line="490" w:lineRule="auto"/>
        <w:rPr>
          <w:sz w:val="20"/>
          <w:szCs w:val="20"/>
          <w:color w:val="auto"/>
        </w:rPr>
      </w:pPr>
      <w:r>
        <w:rPr>
          <w:rFonts w:ascii="Times New Roman" w:cs="Times New Roman" w:eastAsia="Times New Roman" w:hAnsi="Times New Roman"/>
          <w:sz w:val="25"/>
          <w:szCs w:val="25"/>
          <w:color w:val="auto"/>
        </w:rPr>
        <w:t xml:space="preserve">“series” to describe the authorized shares of common stock, and interpreted the charter as designating the Class A and Class B shares each as a class, as opposed to a series, of common stock.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 xml:space="preserve"> at *7, *9.</w:t>
      </w:r>
    </w:p>
    <w:p>
      <w:pPr>
        <w:spacing w:after="0" w:line="1" w:lineRule="exact"/>
        <w:rPr>
          <w:sz w:val="20"/>
          <w:szCs w:val="20"/>
          <w:color w:val="auto"/>
        </w:rPr>
      </w:pPr>
    </w:p>
    <w:p>
      <w:pPr>
        <w:jc w:val="both"/>
        <w:ind w:right="100" w:firstLine="1304"/>
        <w:spacing w:after="0" w:line="484" w:lineRule="auto"/>
        <w:tabs>
          <w:tab w:leader="none" w:pos="1935" w:val="left"/>
        </w:tabs>
        <w:numPr>
          <w:ilvl w:val="0"/>
          <w:numId w:val="1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The Court also explained that Section 102(a)(4) requires a corporation’s charter to set forth the number of shares of all classes combined, as well as each separate class, and whether the shares are par or no-par, whereas no such description is required for series of stock.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 xml:space="preserve"> at *8. Because the charter in </w:t>
      </w:r>
      <w:r>
        <w:rPr>
          <w:rFonts w:ascii="Times New Roman" w:cs="Times New Roman" w:eastAsia="Times New Roman" w:hAnsi="Times New Roman"/>
          <w:sz w:val="25"/>
          <w:szCs w:val="25"/>
          <w:i w:val="1"/>
          <w:iCs w:val="1"/>
          <w:color w:val="auto"/>
        </w:rPr>
        <w:t>Boxed</w:t>
      </w:r>
    </w:p>
    <w:p>
      <w:pPr>
        <w:spacing w:after="0" w:line="2" w:lineRule="exact"/>
        <w:rPr>
          <w:sz w:val="20"/>
          <w:szCs w:val="20"/>
          <w:color w:val="auto"/>
        </w:rPr>
      </w:pPr>
    </w:p>
    <w:p>
      <w:pPr>
        <w:ind w:right="60"/>
        <w:spacing w:after="0" w:line="492" w:lineRule="auto"/>
        <w:rPr>
          <w:sz w:val="20"/>
          <w:szCs w:val="20"/>
          <w:color w:val="auto"/>
        </w:rPr>
      </w:pPr>
      <w:r>
        <w:rPr>
          <w:rFonts w:ascii="Times New Roman" w:cs="Times New Roman" w:eastAsia="Times New Roman" w:hAnsi="Times New Roman"/>
          <w:sz w:val="25"/>
          <w:szCs w:val="25"/>
          <w:color w:val="auto"/>
        </w:rPr>
        <w:t xml:space="preserve">separately listed the number of shares of Class A common stock, Class B common stock and preferred stock, and also set forth the par value of the shares of each class of stock, the Court interpreted the charter as authorizing three classes of stock (Class A, Class B and preferred) pursuant to DGCL Section 102(a)(4).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 xml:space="preserve"> at *9. The Court observed that the charter’s provision on preferred stock vested the board with authority to provide for “one or more series of Preferred Stock” and to establish “the number of shares to be included in each such series” by resolution, in accordance with Section 102(a)(4)’s grant of authority to the board to fix by resolution the number and terms of series of stock that are not provided in the charter.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 xml:space="preserve"> The Court explained that the charter did not include a similar provision fixing or authorizing the board to fix any series of common stock, and that “[w]hile that omission may have been accidental, given the requirements of Delaware law this Court cannot presume so and thereafter supply the missing</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9</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18" w:lineRule="exact"/>
        <w:rPr>
          <w:sz w:val="20"/>
          <w:szCs w:val="20"/>
          <w:color w:val="auto"/>
        </w:rPr>
      </w:pPr>
    </w:p>
    <w:p>
      <w:pPr>
        <w:ind w:right="60"/>
        <w:spacing w:after="0" w:line="487" w:lineRule="auto"/>
        <w:rPr>
          <w:sz w:val="20"/>
          <w:szCs w:val="20"/>
          <w:color w:val="auto"/>
        </w:rPr>
      </w:pPr>
      <w:r>
        <w:rPr>
          <w:rFonts w:ascii="Times New Roman" w:cs="Times New Roman" w:eastAsia="Times New Roman" w:hAnsi="Times New Roman"/>
          <w:sz w:val="25"/>
          <w:szCs w:val="25"/>
          <w:color w:val="auto"/>
        </w:rPr>
        <w:t xml:space="preserve">provisions.”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 xml:space="preserve"> (citation omitted). The Court ultimately concluded that the Class A and Class B shares were “each a class of common stock, not series,” and thus the amendment to increase the authorized number of shares of Class A common stock required a separate Class A vote pursuant to DGCL Section 242(b)(2).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 xml:space="preserve"> Accordingly, the Court held, in the context of the plaintiff stockholder’s fee application, that the demand for the separate Class A vote was meritorious when filed.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 xml:space="preserve"> The Court also held that the demand conferred a substantial benefit on the SPAC and its stockholders because, among other things, “[t]he separate vote on the Share Increase Amendment … prevented a cloud from hanging over the Company’s capital structure by ensuring ‘scrupulous adherence to statutory formalities.’”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 xml:space="preserve"> at *11 (citation omitted).</w:t>
      </w:r>
    </w:p>
    <w:p>
      <w:pPr>
        <w:spacing w:after="0" w:line="4" w:lineRule="exact"/>
        <w:rPr>
          <w:sz w:val="20"/>
          <w:szCs w:val="20"/>
          <w:color w:val="auto"/>
        </w:rPr>
      </w:pPr>
    </w:p>
    <w:p>
      <w:pPr>
        <w:ind w:firstLine="1304"/>
        <w:spacing w:after="0" w:line="490" w:lineRule="auto"/>
        <w:tabs>
          <w:tab w:leader="none" w:pos="1935" w:val="left"/>
        </w:tabs>
        <w:numPr>
          <w:ilvl w:val="0"/>
          <w:numId w:val="1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Here, like the charter at issue in </w:t>
      </w:r>
      <w:r>
        <w:rPr>
          <w:rFonts w:ascii="Times New Roman" w:cs="Times New Roman" w:eastAsia="Times New Roman" w:hAnsi="Times New Roman"/>
          <w:sz w:val="25"/>
          <w:szCs w:val="25"/>
          <w:i w:val="1"/>
          <w:iCs w:val="1"/>
          <w:color w:val="auto"/>
        </w:rPr>
        <w:t>Boxed</w:t>
      </w:r>
      <w:r>
        <w:rPr>
          <w:rFonts w:ascii="Times New Roman" w:cs="Times New Roman" w:eastAsia="Times New Roman" w:hAnsi="Times New Roman"/>
          <w:sz w:val="25"/>
          <w:szCs w:val="25"/>
          <w:color w:val="auto"/>
        </w:rPr>
        <w:t xml:space="preserve">, Section 4.01 of the Pre- Transaction Charter refers to the shares of common stock existing at the time as “Class A Common Stock” and “Class B Common Stock.” Also like the charter in </w:t>
      </w:r>
      <w:r>
        <w:rPr>
          <w:rFonts w:ascii="Times New Roman" w:cs="Times New Roman" w:eastAsia="Times New Roman" w:hAnsi="Times New Roman"/>
          <w:sz w:val="25"/>
          <w:szCs w:val="25"/>
          <w:i w:val="1"/>
          <w:iCs w:val="1"/>
          <w:color w:val="auto"/>
        </w:rPr>
        <w:t>Boxed</w:t>
      </w:r>
      <w:r>
        <w:rPr>
          <w:rFonts w:ascii="Times New Roman" w:cs="Times New Roman" w:eastAsia="Times New Roman" w:hAnsi="Times New Roman"/>
          <w:sz w:val="25"/>
          <w:szCs w:val="25"/>
          <w:color w:val="auto"/>
        </w:rPr>
        <w:t>, Section 4.01 of the Pre-Transaction Charter sets forth the number of shares and par value of Class A Common Stock, Class B Common Stock and Preferred Stock. Finally, as in</w:t>
      </w:r>
    </w:p>
    <w:p>
      <w:pPr>
        <w:spacing w:after="0" w:line="1" w:lineRule="exact"/>
        <w:rPr>
          <w:sz w:val="20"/>
          <w:szCs w:val="20"/>
          <w:color w:val="auto"/>
        </w:rPr>
      </w:pPr>
    </w:p>
    <w:p>
      <w:pPr>
        <w:spacing w:after="0" w:line="503" w:lineRule="auto"/>
        <w:rPr>
          <w:sz w:val="20"/>
          <w:szCs w:val="20"/>
          <w:color w:val="auto"/>
        </w:rPr>
      </w:pPr>
      <w:r>
        <w:rPr>
          <w:rFonts w:ascii="Times New Roman" w:cs="Times New Roman" w:eastAsia="Times New Roman" w:hAnsi="Times New Roman"/>
          <w:sz w:val="25"/>
          <w:szCs w:val="25"/>
          <w:i w:val="1"/>
          <w:iCs w:val="1"/>
          <w:color w:val="auto"/>
        </w:rPr>
        <w:t>Boxed</w:t>
      </w:r>
      <w:r>
        <w:rPr>
          <w:rFonts w:ascii="Times New Roman" w:cs="Times New Roman" w:eastAsia="Times New Roman" w:hAnsi="Times New Roman"/>
          <w:sz w:val="25"/>
          <w:szCs w:val="25"/>
          <w:color w:val="auto"/>
        </w:rPr>
        <w:t>, Section 4.02 of the Pre-Transaction Charter vests the board with authority to provide for “one or more</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 xml:space="preserve">series” of Preferred Stock and to establish by resolution the terms of such series, whereas no such “series”-related language exists for common stock. Accordingly, while the Opinion in </w:t>
      </w:r>
      <w:r>
        <w:rPr>
          <w:rFonts w:ascii="Times New Roman" w:cs="Times New Roman" w:eastAsia="Times New Roman" w:hAnsi="Times New Roman"/>
          <w:sz w:val="25"/>
          <w:szCs w:val="25"/>
          <w:i w:val="1"/>
          <w:iCs w:val="1"/>
          <w:color w:val="auto"/>
        </w:rPr>
        <w:t>Boxed</w:t>
      </w:r>
      <w:r>
        <w:rPr>
          <w:rFonts w:ascii="Times New Roman" w:cs="Times New Roman" w:eastAsia="Times New Roman" w:hAnsi="Times New Roman"/>
          <w:sz w:val="25"/>
          <w:szCs w:val="25"/>
          <w:color w:val="auto"/>
        </w:rPr>
        <w:t xml:space="preserve"> was</w:t>
      </w: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color w:val="auto"/>
        </w:rPr>
        <w:t>10</w:t>
      </w:r>
    </w:p>
    <w:p>
      <w:pPr>
        <w:sectPr>
          <w:pgSz w:w="11900" w:h="16838" w:orient="portrait"/>
          <w:cols w:equalWidth="0" w:num="1">
            <w:col w:w="11040"/>
          </w:cols>
          <w:pgMar w:left="320" w:top="1440" w:right="539" w:bottom="1440" w:gutter="0" w:footer="0" w:header="0"/>
        </w:sectPr>
      </w:pPr>
    </w:p>
    <w:bookmarkStart w:id="13" w:name="page14"/>
    <w:bookmarkEnd w:id="13"/>
    <w:p>
      <w:pPr>
        <w:spacing w:after="0" w:line="122" w:lineRule="exact"/>
        <w:rPr>
          <w:sz w:val="20"/>
          <w:szCs w:val="20"/>
          <w:color w:val="auto"/>
        </w:rPr>
      </w:pPr>
    </w:p>
    <w:p>
      <w:pPr>
        <w:spacing w:after="0" w:line="486" w:lineRule="auto"/>
        <w:rPr>
          <w:sz w:val="20"/>
          <w:szCs w:val="20"/>
          <w:color w:val="auto"/>
        </w:rPr>
      </w:pPr>
      <w:r>
        <w:rPr>
          <w:rFonts w:ascii="Times New Roman" w:cs="Times New Roman" w:eastAsia="Times New Roman" w:hAnsi="Times New Roman"/>
          <w:sz w:val="25"/>
          <w:szCs w:val="25"/>
          <w:color w:val="auto"/>
        </w:rPr>
        <w:t xml:space="preserve">in the context of a fee application and is not a final ruling on the merits, in light of the similarities between the charter at issue in </w:t>
      </w:r>
      <w:r>
        <w:rPr>
          <w:rFonts w:ascii="Times New Roman" w:cs="Times New Roman" w:eastAsia="Times New Roman" w:hAnsi="Times New Roman"/>
          <w:sz w:val="25"/>
          <w:szCs w:val="25"/>
          <w:i w:val="1"/>
          <w:iCs w:val="1"/>
          <w:color w:val="auto"/>
        </w:rPr>
        <w:t>Boxed</w:t>
      </w:r>
      <w:r>
        <w:rPr>
          <w:rFonts w:ascii="Times New Roman" w:cs="Times New Roman" w:eastAsia="Times New Roman" w:hAnsi="Times New Roman"/>
          <w:sz w:val="25"/>
          <w:szCs w:val="25"/>
          <w:color w:val="auto"/>
        </w:rPr>
        <w:t xml:space="preserve"> and the Pre-Transaction Charter, the decision suggests that the Court could interpret the Company’s Class A Common Stock as a separate class of stock under the Pre-Transaction Charter. Under that interpretation, the Authorized Share Amendment Proposal would have required a separate class vote of the holders of the Company’s Class A Common Stock, which did not occur.</w:t>
      </w:r>
    </w:p>
    <w:p>
      <w:pPr>
        <w:spacing w:after="0" w:line="1" w:lineRule="exact"/>
        <w:rPr>
          <w:sz w:val="20"/>
          <w:szCs w:val="20"/>
          <w:color w:val="auto"/>
        </w:rPr>
      </w:pPr>
    </w:p>
    <w:p>
      <w:pPr>
        <w:ind w:right="1120" w:firstLine="1304"/>
        <w:spacing w:after="0" w:line="489" w:lineRule="auto"/>
        <w:tabs>
          <w:tab w:leader="none" w:pos="1935" w:val="left"/>
        </w:tabs>
        <w:numPr>
          <w:ilvl w:val="0"/>
          <w:numId w:val="1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Thus, in light of the </w:t>
      </w:r>
      <w:r>
        <w:rPr>
          <w:rFonts w:ascii="Times New Roman" w:cs="Times New Roman" w:eastAsia="Times New Roman" w:hAnsi="Times New Roman"/>
          <w:sz w:val="25"/>
          <w:szCs w:val="25"/>
          <w:i w:val="1"/>
          <w:iCs w:val="1"/>
          <w:color w:val="auto"/>
        </w:rPr>
        <w:t>Boxed</w:t>
      </w:r>
      <w:r>
        <w:rPr>
          <w:rFonts w:ascii="Times New Roman" w:cs="Times New Roman" w:eastAsia="Times New Roman" w:hAnsi="Times New Roman"/>
          <w:sz w:val="25"/>
          <w:szCs w:val="25"/>
          <w:color w:val="auto"/>
        </w:rPr>
        <w:t xml:space="preserve"> opinion, there is a potential uncertainty relating to the Company’s authorized capital structure resulting from the voting structure of the Authorized Share Amendment Proposal.</w:t>
      </w:r>
    </w:p>
    <w:p>
      <w:pPr>
        <w:spacing w:after="0" w:line="1" w:lineRule="exact"/>
        <w:rPr>
          <w:rFonts w:ascii="Times New Roman" w:cs="Times New Roman" w:eastAsia="Times New Roman" w:hAnsi="Times New Roman"/>
          <w:sz w:val="25"/>
          <w:szCs w:val="25"/>
          <w:color w:val="auto"/>
        </w:rPr>
      </w:pPr>
    </w:p>
    <w:p>
      <w:pPr>
        <w:ind w:firstLine="1304"/>
        <w:spacing w:after="0" w:line="494" w:lineRule="auto"/>
        <w:tabs>
          <w:tab w:leader="none" w:pos="1935" w:val="left"/>
        </w:tabs>
        <w:numPr>
          <w:ilvl w:val="0"/>
          <w:numId w:val="1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At all times, the Company believed in good faith that the Authorized Share Amendment complied with the DGCL and the Pre-Transaction Charter, and has treated the approval of the Authorized Share Amendment Proposal as a valid corporate act in the time since, which is evidenced by the Company’s subsequent actions. Acting in good faith reliance on the effectiveness of the approval of the Authorized Share Amendment Proposal, the Company announced that the vote was successful, filed the Post-Transaction Charter with the Secretary of State for the State of Delaware, closed the Transaction and listed its stock on the Nasdaq Stock Market, where it has been actively traded since it was listed.</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11</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22" w:lineRule="exact"/>
        <w:rPr>
          <w:sz w:val="20"/>
          <w:szCs w:val="20"/>
          <w:color w:val="auto"/>
        </w:rPr>
      </w:pPr>
    </w:p>
    <w:p>
      <w:pPr>
        <w:ind w:left="-40" w:right="20" w:firstLine="1304"/>
        <w:spacing w:after="0" w:line="486" w:lineRule="auto"/>
        <w:tabs>
          <w:tab w:leader="none" w:pos="1895" w:val="left"/>
        </w:tabs>
        <w:numPr>
          <w:ilvl w:val="0"/>
          <w:numId w:val="1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Company and all of its stockholders will be harmed if the cloud of uncertainty surrounding the Authorized Share Amendment is not resolved. Among other things, the Company will not be able to certify the amount of shares outstanding or available for issuance. The uncertainty also risks the Company’s ability to timely meet applicable reporting obligations and obtain financing, and harms the ongoing operations of the Company.</w:t>
      </w:r>
    </w:p>
    <w:p>
      <w:pPr>
        <w:spacing w:after="0" w:line="5" w:lineRule="exact"/>
        <w:rPr>
          <w:rFonts w:ascii="Times New Roman" w:cs="Times New Roman" w:eastAsia="Times New Roman" w:hAnsi="Times New Roman"/>
          <w:sz w:val="25"/>
          <w:szCs w:val="25"/>
          <w:color w:val="auto"/>
        </w:rPr>
      </w:pPr>
    </w:p>
    <w:p>
      <w:pPr>
        <w:ind w:left="-40" w:right="80" w:firstLine="1304"/>
        <w:spacing w:after="0" w:line="490" w:lineRule="auto"/>
        <w:tabs>
          <w:tab w:leader="none" w:pos="1895" w:val="left"/>
        </w:tabs>
        <w:numPr>
          <w:ilvl w:val="0"/>
          <w:numId w:val="1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Further, entering an order validating the Authorized Share Amendment will not cause harm to any of the Company’s stockholders because a majority of shares of Class A Common Stock were already voted in favor of the Authorized Share Amendment Proposal (in addition to the Transaction itself) at the Special Meeting.</w:t>
      </w:r>
    </w:p>
    <w:p>
      <w:pPr>
        <w:spacing w:after="0" w:line="1" w:lineRule="exact"/>
        <w:rPr>
          <w:rFonts w:ascii="Times New Roman" w:cs="Times New Roman" w:eastAsia="Times New Roman" w:hAnsi="Times New Roman"/>
          <w:sz w:val="25"/>
          <w:szCs w:val="25"/>
          <w:color w:val="auto"/>
        </w:rPr>
      </w:pPr>
    </w:p>
    <w:p>
      <w:pPr>
        <w:ind w:left="-40" w:right="520" w:firstLine="1304"/>
        <w:spacing w:after="0" w:line="482" w:lineRule="auto"/>
        <w:tabs>
          <w:tab w:leader="none" w:pos="1895" w:val="left"/>
        </w:tabs>
        <w:numPr>
          <w:ilvl w:val="0"/>
          <w:numId w:val="1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For these reasons, and those discussed below, the Court should validate the Authorized Share Amendment under Section 205(a)(4).</w:t>
      </w: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APPLICANT</w:t>
      </w:r>
    </w:p>
    <w:p>
      <w:pPr>
        <w:spacing w:after="0" w:line="313" w:lineRule="exact"/>
        <w:rPr>
          <w:sz w:val="20"/>
          <w:szCs w:val="20"/>
          <w:color w:val="auto"/>
        </w:rPr>
      </w:pPr>
    </w:p>
    <w:p>
      <w:pPr>
        <w:ind w:left="-40" w:firstLine="1304"/>
        <w:spacing w:after="0" w:line="495" w:lineRule="auto"/>
        <w:tabs>
          <w:tab w:leader="none" w:pos="1895" w:val="left"/>
        </w:tabs>
        <w:numPr>
          <w:ilvl w:val="0"/>
          <w:numId w:val="1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Company is a Delaware corporation originally formed as a SPAC under the name of FinTech Acquisition Corp. IV on November 20, 2018. Following the completion and closing of the Company’s de-SPAC acquisition on June 24, 2021, the Company renamed itself Perella Weinberg Partners, and describes itself as a leading global independent advisory firm, providing strategic and financial advice to a broad client base, including governments, sovereign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12</w:t>
      </w:r>
    </w:p>
    <w:p>
      <w:pPr>
        <w:sectPr>
          <w:pgSz w:w="11900" w:h="16838" w:orient="portrait"/>
          <w:cols w:equalWidth="0" w:num="1">
            <w:col w:w="11180"/>
          </w:cols>
          <w:pgMar w:left="360" w:top="1440" w:right="359" w:bottom="1440" w:gutter="0" w:footer="0" w:header="0"/>
        </w:sectPr>
      </w:pPr>
    </w:p>
    <w:bookmarkStart w:id="15" w:name="page16"/>
    <w:bookmarkEnd w:id="15"/>
    <w:p>
      <w:pPr>
        <w:spacing w:after="0" w:line="122" w:lineRule="exact"/>
        <w:rPr>
          <w:sz w:val="20"/>
          <w:szCs w:val="20"/>
          <w:color w:val="auto"/>
        </w:rPr>
      </w:pPr>
    </w:p>
    <w:p>
      <w:pPr>
        <w:ind w:right="100"/>
        <w:spacing w:after="0" w:line="487" w:lineRule="auto"/>
        <w:rPr>
          <w:sz w:val="20"/>
          <w:szCs w:val="20"/>
          <w:color w:val="auto"/>
        </w:rPr>
      </w:pPr>
      <w:r>
        <w:rPr>
          <w:rFonts w:ascii="Times New Roman" w:cs="Times New Roman" w:eastAsia="Times New Roman" w:hAnsi="Times New Roman"/>
          <w:sz w:val="25"/>
          <w:szCs w:val="25"/>
          <w:color w:val="auto"/>
        </w:rPr>
        <w:t>wealth funds and the financial sponsor community. The Company’s stock trades on the Nasdaq Stock Market under the ticker symbol “PWP.”</w:t>
      </w:r>
    </w:p>
    <w:p>
      <w:pPr>
        <w:spacing w:after="0" w:line="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u w:val="single" w:color="auto"/>
          <w:color w:val="auto"/>
        </w:rPr>
        <w:t>THE PROXY, SPECIAL MEETING AND TRANSACTION</w:t>
      </w:r>
    </w:p>
    <w:p>
      <w:pPr>
        <w:spacing w:after="0" w:line="299" w:lineRule="exact"/>
        <w:rPr>
          <w:sz w:val="20"/>
          <w:szCs w:val="20"/>
          <w:color w:val="auto"/>
        </w:rPr>
      </w:pPr>
    </w:p>
    <w:p>
      <w:pPr>
        <w:ind w:right="120" w:firstLine="1304"/>
        <w:spacing w:after="0" w:line="487" w:lineRule="auto"/>
        <w:tabs>
          <w:tab w:leader="none" w:pos="1935" w:val="left"/>
        </w:tabs>
        <w:numPr>
          <w:ilvl w:val="0"/>
          <w:numId w:val="1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May 27, 2021, the Company filed the Proxy, setting forth 12 proposals for the Company’s stockholders to vote upon at the Special Meeting to be held on June 22, 2021. Among the 12 proposals as the Authorized Share Amendment Proposal, which contemplated increasing the number of the authorized shares of the Company’s Common Stock from 111,000,000 to 2,110,000,000 shares, including increasing the number of authorized shares of Class A Common Stock from 100,000,000 to 1,500,000,000 shares, authorizing 300,000,000 shares of a newly-created Class B-1 Common Stock and 300,000,000 shares of a newly-created Class B-2 Common Stock and increasing the number of authorized shares of Preferred Stock from 1,000,000 to 100,000,000). (Proxy at 185-186) The Proxy stated that the increase in authorized stock was “[i]n order to ensure that [the Company has] sufficient authorized capital to complete the [Transaction], and for future issuances.” (Proxy at 185)</w:t>
      </w:r>
    </w:p>
    <w:p>
      <w:pPr>
        <w:spacing w:after="0" w:line="11" w:lineRule="exact"/>
        <w:rPr>
          <w:rFonts w:ascii="Times New Roman" w:cs="Times New Roman" w:eastAsia="Times New Roman" w:hAnsi="Times New Roman"/>
          <w:sz w:val="25"/>
          <w:szCs w:val="25"/>
          <w:color w:val="auto"/>
        </w:rPr>
      </w:pPr>
    </w:p>
    <w:p>
      <w:pPr>
        <w:ind w:firstLine="1304"/>
        <w:spacing w:after="0" w:line="501" w:lineRule="auto"/>
        <w:tabs>
          <w:tab w:leader="none" w:pos="1935" w:val="left"/>
        </w:tabs>
        <w:numPr>
          <w:ilvl w:val="0"/>
          <w:numId w:val="1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connection with the approval of the Authorized Share Amendment Proposal, the Proxy also solicited stockholders to approve the creation of additional classes of the Company’s common stock to be designated as Class B-1 Common Stock, having 10 votes per share, and Class B-2 Common Stock,</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color w:val="auto"/>
        </w:rPr>
        <w:t>13</w:t>
      </w:r>
    </w:p>
    <w:p>
      <w:pPr>
        <w:sectPr>
          <w:pgSz w:w="11900" w:h="16838" w:orient="portrait"/>
          <w:cols w:equalWidth="0" w:num="1">
            <w:col w:w="11100"/>
          </w:cols>
          <w:pgMar w:left="320" w:top="1440" w:right="479" w:bottom="1440" w:gutter="0" w:footer="0" w:header="0"/>
        </w:sectPr>
      </w:pPr>
    </w:p>
    <w:bookmarkStart w:id="16" w:name="page17"/>
    <w:bookmarkEnd w:id="16"/>
    <w:p>
      <w:pPr>
        <w:spacing w:after="0" w:line="122" w:lineRule="exact"/>
        <w:rPr>
          <w:sz w:val="20"/>
          <w:szCs w:val="20"/>
          <w:color w:val="auto"/>
        </w:rPr>
      </w:pPr>
    </w:p>
    <w:p>
      <w:pPr>
        <w:ind w:right="1020"/>
        <w:spacing w:after="0" w:line="490" w:lineRule="auto"/>
        <w:rPr>
          <w:sz w:val="20"/>
          <w:szCs w:val="20"/>
          <w:color w:val="auto"/>
        </w:rPr>
      </w:pPr>
      <w:r>
        <w:rPr>
          <w:rFonts w:ascii="Times New Roman" w:cs="Times New Roman" w:eastAsia="Times New Roman" w:hAnsi="Times New Roman"/>
          <w:sz w:val="25"/>
          <w:szCs w:val="25"/>
          <w:color w:val="auto"/>
        </w:rPr>
        <w:t>having 1 vote per share, with each having 300,000,000 of authorized shares, as contemplated by the Authorized Share Amendment Proposal (the “Class B Proposal”).</w:t>
      </w:r>
    </w:p>
    <w:p>
      <w:pPr>
        <w:spacing w:after="0" w:line="1" w:lineRule="exact"/>
        <w:rPr>
          <w:sz w:val="20"/>
          <w:szCs w:val="20"/>
          <w:color w:val="auto"/>
        </w:rPr>
      </w:pPr>
    </w:p>
    <w:p>
      <w:pPr>
        <w:ind w:right="140" w:firstLine="1304"/>
        <w:spacing w:after="0" w:line="484" w:lineRule="auto"/>
        <w:tabs>
          <w:tab w:leader="none" w:pos="1935" w:val="left"/>
        </w:tabs>
        <w:numPr>
          <w:ilvl w:val="0"/>
          <w:numId w:val="2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Proxy stated that the approval of the Authorized Share Amendment Proposal and the Class B Proposal required “the affirmative vote of holders of a majority of the outstanding shares of [the Company’s] common stock entitled to vote on such proposal[s].” (Proxy at 185, 189)</w:t>
      </w:r>
    </w:p>
    <w:p>
      <w:pPr>
        <w:spacing w:after="0" w:line="2" w:lineRule="exact"/>
        <w:rPr>
          <w:rFonts w:ascii="Times New Roman" w:cs="Times New Roman" w:eastAsia="Times New Roman" w:hAnsi="Times New Roman"/>
          <w:sz w:val="25"/>
          <w:szCs w:val="25"/>
          <w:color w:val="auto"/>
        </w:rPr>
      </w:pPr>
    </w:p>
    <w:p>
      <w:pPr>
        <w:ind w:firstLine="1304"/>
        <w:spacing w:after="0" w:line="493" w:lineRule="auto"/>
        <w:tabs>
          <w:tab w:leader="none" w:pos="1935" w:val="left"/>
        </w:tabs>
        <w:numPr>
          <w:ilvl w:val="0"/>
          <w:numId w:val="2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Because the completion of the Transaction required the issuance of a number of shares of Common Stock constituting more than 20% of the Company’s shares of Common Stock then outstanding, the stockholders were also asked to vote on a proposal to authorize the issuance of a combination of shares of the Company’s Class A Common Stock and the newly-created Class B-1 and B-2 Common Stock for purposes of complying with the Nasdaq Stock Market Listing Rule 5635. (Proxy at 176-177) The Proxy stated that the Company anticipated the issuance of an aggregate of up to 61.1 million shares of Class B-1 and Class B-2 Common Stock in connection with the Transaction, and additional issuances of Class A Common Stock, including the issuance of between 12,500,000 and 14,850,000 shares in connection with a related private placement. (</w:t>
      </w:r>
      <w:r>
        <w:rPr>
          <w:rFonts w:ascii="Times New Roman" w:cs="Times New Roman" w:eastAsia="Times New Roman" w:hAnsi="Times New Roman"/>
          <w:sz w:val="25"/>
          <w:szCs w:val="25"/>
          <w:i w:val="1"/>
          <w:iCs w:val="1"/>
          <w:color w:val="auto"/>
        </w:rPr>
        <w:t>Id.</w:t>
      </w:r>
      <w:r>
        <w:rPr>
          <w:rFonts w:ascii="Times New Roman" w:cs="Times New Roman" w:eastAsia="Times New Roman" w:hAnsi="Times New Roman"/>
          <w:sz w:val="25"/>
          <w:szCs w:val="25"/>
          <w:color w:val="auto"/>
        </w:rPr>
        <w:t>)</w:t>
      </w: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color w:val="auto"/>
        </w:rPr>
        <w:t>14</w:t>
      </w:r>
    </w:p>
    <w:p>
      <w:pPr>
        <w:sectPr>
          <w:pgSz w:w="11900" w:h="16838" w:orient="portrait"/>
          <w:cols w:equalWidth="0" w:num="1">
            <w:col w:w="11080"/>
          </w:cols>
          <w:pgMar w:left="320" w:top="1440" w:right="499" w:bottom="1440" w:gutter="0" w:footer="0" w:header="0"/>
        </w:sectPr>
      </w:pPr>
    </w:p>
    <w:bookmarkStart w:id="17" w:name="page18"/>
    <w:bookmarkEnd w:id="17"/>
    <w:p>
      <w:pPr>
        <w:spacing w:after="0" w:line="122" w:lineRule="exact"/>
        <w:rPr>
          <w:sz w:val="20"/>
          <w:szCs w:val="20"/>
          <w:color w:val="auto"/>
        </w:rPr>
      </w:pPr>
    </w:p>
    <w:p>
      <w:pPr>
        <w:ind w:left="-40" w:right="160" w:firstLine="1304"/>
        <w:spacing w:after="0" w:line="488" w:lineRule="auto"/>
        <w:tabs>
          <w:tab w:leader="none" w:pos="1895" w:val="left"/>
        </w:tabs>
        <w:numPr>
          <w:ilvl w:val="0"/>
          <w:numId w:val="2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June 22, 2021, the Company held the Special Meeting. At the Special Meeting, a majority of the Company’s stockholders voted in favor of all of the proposals set forth in the Proxy, including the Authorized Share Amendment Proposal. As of the Record Date, there were 31,480,000 shares of the Company’s Common Stock outstanding. (Proxy at 25) At the Special Meeting, 23,039,335 shares of the Company’s Common Stock were voted in favor of the Authorized Share Amendment Proposal, representing 73.19% of the total shares outstanding of the Company’s Common Stock. (Exhibit C at 3)</w:t>
      </w:r>
    </w:p>
    <w:p>
      <w:pPr>
        <w:spacing w:after="0" w:line="2" w:lineRule="exact"/>
        <w:rPr>
          <w:rFonts w:ascii="Times New Roman" w:cs="Times New Roman" w:eastAsia="Times New Roman" w:hAnsi="Times New Roman"/>
          <w:sz w:val="25"/>
          <w:szCs w:val="25"/>
          <w:color w:val="auto"/>
        </w:rPr>
      </w:pPr>
    </w:p>
    <w:p>
      <w:pPr>
        <w:ind w:left="-40" w:firstLine="1304"/>
        <w:spacing w:after="0" w:line="491" w:lineRule="auto"/>
        <w:tabs>
          <w:tab w:leader="none" w:pos="1895" w:val="left"/>
        </w:tabs>
        <w:numPr>
          <w:ilvl w:val="0"/>
          <w:numId w:val="2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Although the vote on the Authorized Share Amendment Proposal was not structured as a separate class vote by the Class A stockholders, the Authorized Share Amendment Proposal received the approval of the votes of a majority of shares of Class A Common Stock. As of the Record Date, there were 23,610,000 shares of Class A Common Stock outstanding and 7,870,000 shares of Class B Common Stock. (Proxy at 124) A total of 23,039,335 shares of Common Stock approved the Authorized Share Amendment Proposal. (Exhibit C at 3) Even assuming that all 7,870,000 shares of Class B Common Stock voted in favor of the proposals, a minimum of 15,169,335 of the affirmative votes would have been from Class A Common Stock, representing a 64.25% majority of the total shares of Class A Common Stock for the voting in favor of the Authorized Share Amendment Proposal.</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15</w:t>
      </w:r>
    </w:p>
    <w:p>
      <w:pPr>
        <w:sectPr>
          <w:pgSz w:w="11900" w:h="16838" w:orient="portrait"/>
          <w:cols w:equalWidth="0" w:num="1">
            <w:col w:w="11160"/>
          </w:cols>
          <w:pgMar w:left="360" w:top="1440" w:right="379" w:bottom="1440" w:gutter="0" w:footer="0" w:header="0"/>
        </w:sectPr>
      </w:pPr>
    </w:p>
    <w:bookmarkStart w:id="18" w:name="page19"/>
    <w:bookmarkEnd w:id="18"/>
    <w:p>
      <w:pPr>
        <w:spacing w:after="0" w:line="122" w:lineRule="exact"/>
        <w:rPr>
          <w:sz w:val="20"/>
          <w:szCs w:val="20"/>
          <w:color w:val="auto"/>
        </w:rPr>
      </w:pPr>
    </w:p>
    <w:p>
      <w:pPr>
        <w:jc w:val="both"/>
        <w:ind w:right="160" w:firstLine="1304"/>
        <w:spacing w:after="0" w:line="488" w:lineRule="auto"/>
        <w:tabs>
          <w:tab w:leader="none" w:pos="1935" w:val="left"/>
        </w:tabs>
        <w:numPr>
          <w:ilvl w:val="0"/>
          <w:numId w:val="2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June 22, 2021, the Company announced the results of the votes at the Special Meeting, including the approval of the Transaction and the Authorized Share Amendment Proposal (Exhibit C), and on June 24, 2021, the Company announced that it had completed and closed the Transaction.</w:t>
      </w:r>
    </w:p>
    <w:p>
      <w:pPr>
        <w:spacing w:after="0" w:line="1" w:lineRule="exact"/>
        <w:rPr>
          <w:rFonts w:ascii="Times New Roman" w:cs="Times New Roman" w:eastAsia="Times New Roman" w:hAnsi="Times New Roman"/>
          <w:sz w:val="25"/>
          <w:szCs w:val="25"/>
          <w:color w:val="auto"/>
        </w:rPr>
      </w:pPr>
    </w:p>
    <w:p>
      <w:pPr>
        <w:ind w:right="60" w:firstLine="1304"/>
        <w:spacing w:after="0" w:line="488" w:lineRule="auto"/>
        <w:tabs>
          <w:tab w:leader="none" w:pos="1935" w:val="left"/>
        </w:tabs>
        <w:numPr>
          <w:ilvl w:val="0"/>
          <w:numId w:val="2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June 24, 2021, in reliance on the validity of the approval of Authorized Share Amendment Proposal, the Company filed a Second Amended and Restated Certificate of Amendment with the Secretary of State of the State of Delaware (Exhibit D).</w:t>
      </w:r>
    </w:p>
    <w:p>
      <w:pPr>
        <w:spacing w:after="0" w:line="1" w:lineRule="exact"/>
        <w:rPr>
          <w:rFonts w:ascii="Times New Roman" w:cs="Times New Roman" w:eastAsia="Times New Roman" w:hAnsi="Times New Roman"/>
          <w:sz w:val="25"/>
          <w:szCs w:val="25"/>
          <w:color w:val="auto"/>
        </w:rPr>
      </w:pPr>
    </w:p>
    <w:p>
      <w:pPr>
        <w:ind w:firstLine="1304"/>
        <w:spacing w:after="0" w:line="487" w:lineRule="auto"/>
        <w:tabs>
          <w:tab w:leader="none" w:pos="1935" w:val="left"/>
        </w:tabs>
        <w:numPr>
          <w:ilvl w:val="0"/>
          <w:numId w:val="2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connection with the closing of the Transaction, the Company issued 19,346,667 shares of Class A Common Stock (such that 42,956,667 shares of Class A Common Stock were issued and outstanding at such time), 45,608,840 shares of newly authorized Class B-1 Common Stock and 4,545,359 shares of newly authorized Class B-2 Common Stock, and on June 25, 2021, the Company’s Class A Common Stock was listed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on the Nasdaq Stock Market, and has been actively traded on that exchange since.</w:t>
      </w:r>
    </w:p>
    <w:p>
      <w:pPr>
        <w:spacing w:after="0" w:line="11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5"/>
          <w:szCs w:val="25"/>
          <w:b w:val="1"/>
          <w:bCs w:val="1"/>
          <w:color w:val="auto"/>
        </w:rPr>
        <w:t>THE AUTHORIZED SHARE AMENDMENT CAN AND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SHOULD BE VALIDATED UNDER SECTION 205</w:t>
      </w:r>
    </w:p>
    <w:p>
      <w:pPr>
        <w:spacing w:after="0" w:line="360" w:lineRule="exact"/>
        <w:rPr>
          <w:sz w:val="20"/>
          <w:szCs w:val="20"/>
          <w:color w:val="auto"/>
        </w:rPr>
      </w:pPr>
    </w:p>
    <w:p>
      <w:pPr>
        <w:ind w:right="260" w:firstLine="1304"/>
        <w:spacing w:after="0" w:line="501" w:lineRule="auto"/>
        <w:tabs>
          <w:tab w:leader="none" w:pos="1935" w:val="left"/>
        </w:tabs>
        <w:numPr>
          <w:ilvl w:val="0"/>
          <w:numId w:val="2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Pursuant to Section 205(a)(4), the Court is empowered to “[d]etermine the validity of any corporate act or transaction and any stock, rights or options to acquire stock.” Under Section 205(a)(4), a corporate act may be validated even though it is not defective. </w:t>
      </w:r>
      <w:r>
        <w:rPr>
          <w:rFonts w:ascii="Times New Roman" w:cs="Times New Roman" w:eastAsia="Times New Roman" w:hAnsi="Times New Roman"/>
          <w:sz w:val="25"/>
          <w:szCs w:val="25"/>
          <w:i w:val="1"/>
          <w:iCs w:val="1"/>
          <w:color w:val="auto"/>
        </w:rPr>
        <w:t>See In re Baxter Int’l Inc.</w:t>
      </w:r>
      <w:r>
        <w:rPr>
          <w:rFonts w:ascii="Times New Roman" w:cs="Times New Roman" w:eastAsia="Times New Roman" w:hAnsi="Times New Roman"/>
          <w:sz w:val="25"/>
          <w:szCs w:val="25"/>
          <w:color w:val="auto"/>
        </w:rPr>
        <w:t>, C.A. No.</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16</w:t>
      </w:r>
    </w:p>
    <w:p>
      <w:pPr>
        <w:sectPr>
          <w:pgSz w:w="11900" w:h="16838" w:orient="portrait"/>
          <w:cols w:equalWidth="0" w:num="1">
            <w:col w:w="11220"/>
          </w:cols>
          <w:pgMar w:left="320" w:top="1440" w:right="359" w:bottom="1440" w:gutter="0" w:footer="0" w:header="0"/>
        </w:sectPr>
      </w:pPr>
    </w:p>
    <w:bookmarkStart w:id="19" w:name="page20"/>
    <w:bookmarkEnd w:id="19"/>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 xml:space="preserve">11609-CB, at 15-16, 18, 23 (Del. Ch. June 22, 2016) (Transcript); </w:t>
      </w:r>
      <w:r>
        <w:rPr>
          <w:rFonts w:ascii="Times New Roman" w:cs="Times New Roman" w:eastAsia="Times New Roman" w:hAnsi="Times New Roman"/>
          <w:sz w:val="25"/>
          <w:szCs w:val="25"/>
          <w:i w:val="1"/>
          <w:iCs w:val="1"/>
          <w:color w:val="auto"/>
        </w:rPr>
        <w:t>see also In re Devon Energy Corp.</w:t>
      </w:r>
      <w:r>
        <w:rPr>
          <w:rFonts w:ascii="Times New Roman" w:cs="Times New Roman" w:eastAsia="Times New Roman" w:hAnsi="Times New Roman"/>
          <w:sz w:val="25"/>
          <w:szCs w:val="25"/>
          <w:color w:val="auto"/>
        </w:rPr>
        <w:t>, C.A. No.</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2021-0143-SG (Del. Ch. Mar. 17, 2021) (Order).</w:t>
      </w:r>
    </w:p>
    <w:p>
      <w:pPr>
        <w:spacing w:after="0" w:line="307" w:lineRule="exact"/>
        <w:rPr>
          <w:sz w:val="20"/>
          <w:szCs w:val="20"/>
          <w:color w:val="auto"/>
        </w:rPr>
      </w:pPr>
    </w:p>
    <w:p>
      <w:pPr>
        <w:ind w:right="60" w:firstLine="1304"/>
        <w:spacing w:after="0" w:line="484" w:lineRule="auto"/>
        <w:tabs>
          <w:tab w:leader="none" w:pos="1935" w:val="left"/>
        </w:tabs>
        <w:numPr>
          <w:ilvl w:val="0"/>
          <w:numId w:val="2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Further, the Court may use Section 205 to “eliminate equitably any uncertainty regarding the validity” of a corporate act. </w:t>
      </w:r>
      <w:r>
        <w:rPr>
          <w:rFonts w:ascii="Times New Roman" w:cs="Times New Roman" w:eastAsia="Times New Roman" w:hAnsi="Times New Roman"/>
          <w:sz w:val="25"/>
          <w:szCs w:val="25"/>
          <w:i w:val="1"/>
          <w:iCs w:val="1"/>
          <w:color w:val="auto"/>
        </w:rPr>
        <w:t>In re Genelux Corp.</w:t>
      </w:r>
      <w:r>
        <w:rPr>
          <w:rFonts w:ascii="Times New Roman" w:cs="Times New Roman" w:eastAsia="Times New Roman" w:hAnsi="Times New Roman"/>
          <w:sz w:val="25"/>
          <w:szCs w:val="25"/>
          <w:color w:val="auto"/>
        </w:rPr>
        <w:t xml:space="preserve">, 126 A.3d 644, 666-67 (Del. Ch. 2015), </w:t>
      </w:r>
      <w:r>
        <w:rPr>
          <w:rFonts w:ascii="Times New Roman" w:cs="Times New Roman" w:eastAsia="Times New Roman" w:hAnsi="Times New Roman"/>
          <w:sz w:val="25"/>
          <w:szCs w:val="25"/>
          <w:i w:val="1"/>
          <w:iCs w:val="1"/>
          <w:color w:val="auto"/>
        </w:rPr>
        <w:t>vacated in part on</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25"/>
          <w:szCs w:val="25"/>
          <w:i w:val="1"/>
          <w:iCs w:val="1"/>
          <w:color w:val="auto"/>
        </w:rPr>
        <w:t>other grounds</w:t>
      </w:r>
      <w:r>
        <w:rPr>
          <w:rFonts w:ascii="Times New Roman" w:cs="Times New Roman" w:eastAsia="Times New Roman" w:hAnsi="Times New Roman"/>
          <w:sz w:val="25"/>
          <w:szCs w:val="25"/>
          <w:color w:val="auto"/>
        </w:rPr>
        <w:t>,</w:t>
      </w:r>
      <w:r>
        <w:rPr>
          <w:rFonts w:ascii="Times New Roman" w:cs="Times New Roman" w:eastAsia="Times New Roman" w:hAnsi="Times New Roman"/>
          <w:sz w:val="25"/>
          <w:szCs w:val="25"/>
          <w:i w:val="1"/>
          <w:iCs w:val="1"/>
          <w:color w:val="auto"/>
        </w:rPr>
        <w:t xml:space="preserve"> Genelux Corp. v. Roeder</w:t>
      </w:r>
      <w:r>
        <w:rPr>
          <w:rFonts w:ascii="Times New Roman" w:cs="Times New Roman" w:eastAsia="Times New Roman" w:hAnsi="Times New Roman"/>
          <w:sz w:val="25"/>
          <w:szCs w:val="25"/>
          <w:color w:val="auto"/>
        </w:rPr>
        <w:t>, 143 A.3d 20 (Del. 2016).</w:t>
      </w:r>
    </w:p>
    <w:p>
      <w:pPr>
        <w:spacing w:after="0" w:line="2" w:lineRule="exact"/>
        <w:rPr>
          <w:rFonts w:ascii="Times New Roman" w:cs="Times New Roman" w:eastAsia="Times New Roman" w:hAnsi="Times New Roman"/>
          <w:sz w:val="25"/>
          <w:szCs w:val="25"/>
          <w:color w:val="auto"/>
        </w:rPr>
      </w:pPr>
    </w:p>
    <w:p>
      <w:pPr>
        <w:ind w:firstLine="1304"/>
        <w:spacing w:after="0" w:line="488" w:lineRule="auto"/>
        <w:tabs>
          <w:tab w:leader="none" w:pos="1935" w:val="left"/>
        </w:tabs>
        <w:numPr>
          <w:ilvl w:val="0"/>
          <w:numId w:val="2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The Authorized Share Amendment is a “corporate act” susceptible of validation under Section 205(a)(4). </w:t>
      </w:r>
      <w:r>
        <w:rPr>
          <w:rFonts w:ascii="Times New Roman" w:cs="Times New Roman" w:eastAsia="Times New Roman" w:hAnsi="Times New Roman"/>
          <w:sz w:val="25"/>
          <w:szCs w:val="25"/>
          <w:i w:val="1"/>
          <w:iCs w:val="1"/>
          <w:color w:val="auto"/>
        </w:rPr>
        <w:t>See In re Baxter</w:t>
      </w:r>
      <w:r>
        <w:rPr>
          <w:rFonts w:ascii="Times New Roman" w:cs="Times New Roman" w:eastAsia="Times New Roman" w:hAnsi="Times New Roman"/>
          <w:sz w:val="25"/>
          <w:szCs w:val="25"/>
          <w:color w:val="auto"/>
        </w:rPr>
        <w:t>, C.A. No. 11609-CB, Tr. at 20 (“Baxter has undertaken a concrete corporate action, namely, amending its charter.”)</w:t>
      </w:r>
    </w:p>
    <w:p>
      <w:pPr>
        <w:spacing w:after="0" w:line="1" w:lineRule="exact"/>
        <w:rPr>
          <w:rFonts w:ascii="Times New Roman" w:cs="Times New Roman" w:eastAsia="Times New Roman" w:hAnsi="Times New Roman"/>
          <w:sz w:val="25"/>
          <w:szCs w:val="25"/>
          <w:color w:val="auto"/>
        </w:rPr>
      </w:pPr>
    </w:p>
    <w:p>
      <w:pPr>
        <w:ind w:right="160" w:firstLine="1304"/>
        <w:spacing w:after="0" w:line="488" w:lineRule="auto"/>
        <w:tabs>
          <w:tab w:leader="none" w:pos="1935" w:val="left"/>
        </w:tabs>
        <w:numPr>
          <w:ilvl w:val="0"/>
          <w:numId w:val="2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evaluating an application for validation under Section 205, the Court may consider various factors and considerations, including those the Court deems just and equitable. These factors weigh in favor of validating the Authorized Share Amendment under Section 205(a)(4):</w:t>
      </w:r>
    </w:p>
    <w:p>
      <w:pPr>
        <w:spacing w:after="0" w:line="1" w:lineRule="exact"/>
        <w:rPr>
          <w:rFonts w:ascii="Times New Roman" w:cs="Times New Roman" w:eastAsia="Times New Roman" w:hAnsi="Times New Roman"/>
          <w:sz w:val="25"/>
          <w:szCs w:val="25"/>
          <w:color w:val="auto"/>
        </w:rPr>
      </w:pPr>
    </w:p>
    <w:p>
      <w:pPr>
        <w:ind w:left="1620" w:right="240" w:hanging="324"/>
        <w:spacing w:after="0" w:line="490" w:lineRule="auto"/>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 The Company believed in good faith that the Authorized Share Amendment was approved in compliance with the DGCL and the Pre-Transaction Charter.</w:t>
      </w:r>
    </w:p>
    <w:p>
      <w:pPr>
        <w:ind w:left="1620" w:right="260" w:hanging="324"/>
        <w:spacing w:after="0" w:line="501" w:lineRule="auto"/>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 The Company has treated the approval of the Authorized Share Amendment as valid and has taken significant actions in reliance on the validity of the Authorized Share Amendment, including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17</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22" w:lineRule="exact"/>
        <w:rPr>
          <w:sz w:val="20"/>
          <w:szCs w:val="20"/>
          <w:color w:val="auto"/>
        </w:rPr>
      </w:pPr>
    </w:p>
    <w:p>
      <w:pPr>
        <w:ind w:left="1500" w:right="100"/>
        <w:spacing w:after="0" w:line="488" w:lineRule="auto"/>
        <w:rPr>
          <w:sz w:val="20"/>
          <w:szCs w:val="20"/>
          <w:color w:val="auto"/>
        </w:rPr>
      </w:pPr>
      <w:r>
        <w:rPr>
          <w:rFonts w:ascii="Times New Roman" w:cs="Times New Roman" w:eastAsia="Times New Roman" w:hAnsi="Times New Roman"/>
          <w:sz w:val="25"/>
          <w:szCs w:val="25"/>
          <w:color w:val="auto"/>
        </w:rPr>
        <w:t>announcing the vote was successful, filing the Post-Transaction Charter with the Secretary of State for the State of Delaware, closing the Transaction and listing its stock on the Nasdaq Stock Market.</w:t>
      </w:r>
    </w:p>
    <w:p>
      <w:pPr>
        <w:spacing w:after="0" w:line="1" w:lineRule="exact"/>
        <w:rPr>
          <w:sz w:val="20"/>
          <w:szCs w:val="20"/>
          <w:color w:val="auto"/>
        </w:rPr>
      </w:pPr>
    </w:p>
    <w:p>
      <w:pPr>
        <w:ind w:left="1500" w:right="180" w:hanging="316"/>
        <w:spacing w:after="0" w:line="486" w:lineRule="auto"/>
        <w:tabs>
          <w:tab w:leader="none" w:pos="1499" w:val="left"/>
        </w:tabs>
        <w:numPr>
          <w:ilvl w:val="0"/>
          <w:numId w:val="2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Company’s stockholders would not be harmed by validation of the Authorized Share Amendment because a majority (approximately 73%) of all shares outstanding, voting together, approved the Authorized Share Amendment. In addition, if calculated as a separate class, at least 64% of Class A Common Stock – a majority of the Class A Common Stock – approved the Authorized Share Amendment Proposal.</w:t>
      </w:r>
    </w:p>
    <w:p>
      <w:pPr>
        <w:spacing w:after="0" w:line="5" w:lineRule="exact"/>
        <w:rPr>
          <w:rFonts w:ascii="Times New Roman" w:cs="Times New Roman" w:eastAsia="Times New Roman" w:hAnsi="Times New Roman"/>
          <w:sz w:val="25"/>
          <w:szCs w:val="25"/>
          <w:color w:val="auto"/>
        </w:rPr>
      </w:pPr>
    </w:p>
    <w:p>
      <w:pPr>
        <w:ind w:left="1500" w:hanging="316"/>
        <w:spacing w:after="0" w:line="490" w:lineRule="auto"/>
        <w:tabs>
          <w:tab w:leader="none" w:pos="1500" w:val="left"/>
        </w:tabs>
        <w:numPr>
          <w:ilvl w:val="0"/>
          <w:numId w:val="2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Conversely, the Company and all of the Company’s stockholders would be harmed if the Authorized Share Amendment is not validated. Among other things, the Company will not be able to certify the amount of shares outstanding or available for issuance. The uncertainty also risks the Company’s ability to timely meet applicable reporting obligations and obtain</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5"/>
          <w:szCs w:val="25"/>
          <w:color w:val="auto"/>
        </w:rPr>
        <w:t>financing, and harms the ongoing operations of the Company.</w:t>
      </w:r>
    </w:p>
    <w:p>
      <w:pPr>
        <w:spacing w:after="0" w:line="293" w:lineRule="exact"/>
        <w:rPr>
          <w:sz w:val="20"/>
          <w:szCs w:val="20"/>
          <w:color w:val="auto"/>
        </w:rPr>
      </w:pPr>
    </w:p>
    <w:p>
      <w:pPr>
        <w:ind w:left="-120" w:right="280" w:firstLine="1304"/>
        <w:spacing w:after="0" w:line="518" w:lineRule="auto"/>
        <w:tabs>
          <w:tab w:leader="none" w:pos="1815" w:val="left"/>
        </w:tabs>
        <w:numPr>
          <w:ilvl w:val="0"/>
          <w:numId w:val="2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Accordingly, the Court should exercise its power under Section 205(a)(4) to validate the Authorized Share Amendment.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18</w:t>
      </w:r>
    </w:p>
    <w:p>
      <w:pPr>
        <w:sectPr>
          <w:pgSz w:w="11900" w:h="16838" w:orient="portrait"/>
          <w:cols w:equalWidth="0" w:num="1">
            <w:col w:w="11000"/>
          </w:cols>
          <w:pgMar w:left="440" w:top="1440" w:right="4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5"/>
          <w:szCs w:val="25"/>
          <w:b w:val="1"/>
          <w:bCs w:val="1"/>
          <w:color w:val="auto"/>
        </w:rPr>
        <w:t>COUNT I: VALIDATION OF CORPORATE ACT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 xml:space="preserve">(Pursuant to 8 </w:t>
      </w:r>
      <w:r>
        <w:rPr>
          <w:rFonts w:ascii="Times New Roman" w:cs="Times New Roman" w:eastAsia="Times New Roman" w:hAnsi="Times New Roman"/>
          <w:sz w:val="25"/>
          <w:szCs w:val="25"/>
          <w:b w:val="1"/>
          <w:bCs w:val="1"/>
          <w:i w:val="1"/>
          <w:iCs w:val="1"/>
          <w:color w:val="auto"/>
        </w:rPr>
        <w:t>Del. C.</w:t>
      </w:r>
      <w:r>
        <w:rPr>
          <w:rFonts w:ascii="Times New Roman" w:cs="Times New Roman" w:eastAsia="Times New Roman" w:hAnsi="Times New Roman"/>
          <w:sz w:val="25"/>
          <w:szCs w:val="25"/>
          <w:b w:val="1"/>
          <w:bCs w:val="1"/>
          <w:color w:val="auto"/>
        </w:rPr>
        <w:t xml:space="preserve"> § 205)</w:t>
      </w:r>
    </w:p>
    <w:p>
      <w:pPr>
        <w:spacing w:after="0" w:line="319" w:lineRule="exact"/>
        <w:rPr>
          <w:sz w:val="20"/>
          <w:szCs w:val="20"/>
          <w:color w:val="auto"/>
        </w:rPr>
      </w:pPr>
    </w:p>
    <w:p>
      <w:pPr>
        <w:ind w:left="1880" w:hanging="636"/>
        <w:spacing w:after="0"/>
        <w:tabs>
          <w:tab w:leader="none" w:pos="1880" w:val="left"/>
        </w:tabs>
        <w:numPr>
          <w:ilvl w:val="0"/>
          <w:numId w:val="2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Company repeats and reiterates the allegations above as if fully set forth herein.</w:t>
      </w:r>
    </w:p>
    <w:p>
      <w:pPr>
        <w:spacing w:after="0" w:line="302" w:lineRule="exact"/>
        <w:rPr>
          <w:rFonts w:ascii="Times New Roman" w:cs="Times New Roman" w:eastAsia="Times New Roman" w:hAnsi="Times New Roman"/>
          <w:sz w:val="25"/>
          <w:szCs w:val="25"/>
          <w:color w:val="auto"/>
        </w:rPr>
      </w:pPr>
    </w:p>
    <w:p>
      <w:pPr>
        <w:ind w:left="1880" w:hanging="636"/>
        <w:spacing w:after="0"/>
        <w:tabs>
          <w:tab w:leader="none" w:pos="1880" w:val="left"/>
        </w:tabs>
        <w:numPr>
          <w:ilvl w:val="0"/>
          <w:numId w:val="2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The Company is authorized to bring this petition pursuant to 8 </w:t>
      </w:r>
      <w:r>
        <w:rPr>
          <w:rFonts w:ascii="Times New Roman" w:cs="Times New Roman" w:eastAsia="Times New Roman" w:hAnsi="Times New Roman"/>
          <w:sz w:val="25"/>
          <w:szCs w:val="25"/>
          <w:i w:val="1"/>
          <w:iCs w:val="1"/>
          <w:color w:val="auto"/>
        </w:rPr>
        <w:t>Del. C.</w:t>
      </w:r>
      <w:r>
        <w:rPr>
          <w:rFonts w:ascii="Times New Roman" w:cs="Times New Roman" w:eastAsia="Times New Roman" w:hAnsi="Times New Roman"/>
          <w:sz w:val="25"/>
          <w:szCs w:val="25"/>
          <w:color w:val="auto"/>
        </w:rPr>
        <w:t xml:space="preserve"> § 205(a).</w:t>
      </w:r>
    </w:p>
    <w:p>
      <w:pPr>
        <w:spacing w:after="0" w:line="297" w:lineRule="exact"/>
        <w:rPr>
          <w:rFonts w:ascii="Times New Roman" w:cs="Times New Roman" w:eastAsia="Times New Roman" w:hAnsi="Times New Roman"/>
          <w:sz w:val="25"/>
          <w:szCs w:val="25"/>
          <w:color w:val="auto"/>
        </w:rPr>
      </w:pPr>
    </w:p>
    <w:p>
      <w:pPr>
        <w:ind w:left="-60" w:right="220" w:firstLine="1304"/>
        <w:spacing w:after="0" w:line="488" w:lineRule="auto"/>
        <w:tabs>
          <w:tab w:leader="none" w:pos="1875" w:val="left"/>
        </w:tabs>
        <w:numPr>
          <w:ilvl w:val="0"/>
          <w:numId w:val="2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Pursuant to Section 205(a)(4), the Court is empowered to “[d]etermine the validity of any corporate act or transaction and any stock, rights or options to acquire stock.” Under Section 205(a)(4), a corporate act may be validated even though it is not defective.</w:t>
      </w:r>
    </w:p>
    <w:p>
      <w:pPr>
        <w:spacing w:after="0" w:line="1" w:lineRule="exact"/>
        <w:rPr>
          <w:rFonts w:ascii="Times New Roman" w:cs="Times New Roman" w:eastAsia="Times New Roman" w:hAnsi="Times New Roman"/>
          <w:sz w:val="25"/>
          <w:szCs w:val="25"/>
          <w:color w:val="auto"/>
        </w:rPr>
      </w:pPr>
    </w:p>
    <w:p>
      <w:pPr>
        <w:ind w:left="-60" w:right="60" w:firstLine="1304"/>
        <w:spacing w:after="0" w:line="484" w:lineRule="auto"/>
        <w:tabs>
          <w:tab w:leader="none" w:pos="1875" w:val="left"/>
        </w:tabs>
        <w:numPr>
          <w:ilvl w:val="0"/>
          <w:numId w:val="2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Company effectuated the Authorized Share Amendment with the good faith belief that it was approved and adopted in compliance with the DGCL and the Pre-Transaction Charter.</w:t>
      </w:r>
    </w:p>
    <w:p>
      <w:pPr>
        <w:spacing w:after="0" w:line="1" w:lineRule="exact"/>
        <w:rPr>
          <w:rFonts w:ascii="Times New Roman" w:cs="Times New Roman" w:eastAsia="Times New Roman" w:hAnsi="Times New Roman"/>
          <w:sz w:val="25"/>
          <w:szCs w:val="25"/>
          <w:color w:val="auto"/>
        </w:rPr>
      </w:pPr>
    </w:p>
    <w:p>
      <w:pPr>
        <w:ind w:left="-60" w:firstLine="1304"/>
        <w:spacing w:after="0" w:line="490" w:lineRule="auto"/>
        <w:tabs>
          <w:tab w:leader="none" w:pos="1875" w:val="left"/>
        </w:tabs>
        <w:numPr>
          <w:ilvl w:val="0"/>
          <w:numId w:val="2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Company has treated the approval of the Authorized Share Amendment as valid and has taken significant actions in reliance on its validity, including announcing the vote was successful, filing the Post-Transaction Charter with the Secretary of State for the State of Delaware, closing the Transaction and listing its stock on the Nasdaq Stock Market.</w:t>
      </w:r>
    </w:p>
    <w:p>
      <w:pPr>
        <w:spacing w:after="0" w:line="1" w:lineRule="exact"/>
        <w:rPr>
          <w:rFonts w:ascii="Times New Roman" w:cs="Times New Roman" w:eastAsia="Times New Roman" w:hAnsi="Times New Roman"/>
          <w:sz w:val="25"/>
          <w:szCs w:val="25"/>
          <w:color w:val="auto"/>
        </w:rPr>
      </w:pPr>
    </w:p>
    <w:p>
      <w:pPr>
        <w:jc w:val="both"/>
        <w:ind w:left="-60" w:right="160" w:firstLine="1304"/>
        <w:spacing w:after="0" w:line="501" w:lineRule="auto"/>
        <w:tabs>
          <w:tab w:leader="none" w:pos="1875" w:val="left"/>
        </w:tabs>
        <w:numPr>
          <w:ilvl w:val="0"/>
          <w:numId w:val="2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Company’s stockholders would not be harmed by validation of the Authorized Share Amendment because a majority (approximately 73%) of all shares outstanding, voting together, approved the Authorized Share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19</w:t>
      </w:r>
    </w:p>
    <w:p>
      <w:pPr>
        <w:sectPr>
          <w:pgSz w:w="11900" w:h="16838" w:orient="portrait"/>
          <w:cols w:equalWidth="0" w:num="1">
            <w:col w:w="11120"/>
          </w:cols>
          <w:pgMar w:left="380" w:top="1380" w:right="399" w:bottom="1440" w:gutter="0" w:footer="0" w:header="0"/>
        </w:sectPr>
      </w:pPr>
    </w:p>
    <w:bookmarkStart w:id="22" w:name="page23"/>
    <w:bookmarkEnd w:id="22"/>
    <w:p>
      <w:pPr>
        <w:spacing w:after="0" w:line="122" w:lineRule="exact"/>
        <w:rPr>
          <w:sz w:val="20"/>
          <w:szCs w:val="20"/>
          <w:color w:val="auto"/>
        </w:rPr>
      </w:pPr>
    </w:p>
    <w:p>
      <w:pPr>
        <w:spacing w:after="0" w:line="490" w:lineRule="auto"/>
        <w:rPr>
          <w:sz w:val="20"/>
          <w:szCs w:val="20"/>
          <w:color w:val="auto"/>
        </w:rPr>
      </w:pPr>
      <w:r>
        <w:rPr>
          <w:rFonts w:ascii="Times New Roman" w:cs="Times New Roman" w:eastAsia="Times New Roman" w:hAnsi="Times New Roman"/>
          <w:sz w:val="25"/>
          <w:szCs w:val="25"/>
          <w:color w:val="auto"/>
        </w:rPr>
        <w:t>Amendment Proposal. In addition, if calculated as a separate class, at least 64% of Class A Common Stock – a majority of the Class A Common Stock – approved the Authorized Share Amendment Proposal.</w:t>
      </w:r>
    </w:p>
    <w:p>
      <w:pPr>
        <w:spacing w:after="0" w:line="1" w:lineRule="exact"/>
        <w:rPr>
          <w:sz w:val="20"/>
          <w:szCs w:val="20"/>
          <w:color w:val="auto"/>
        </w:rPr>
      </w:pPr>
    </w:p>
    <w:p>
      <w:pPr>
        <w:ind w:right="280" w:firstLine="1304"/>
        <w:spacing w:after="0" w:line="482" w:lineRule="auto"/>
        <w:tabs>
          <w:tab w:leader="none" w:pos="1935" w:val="left"/>
        </w:tabs>
        <w:numPr>
          <w:ilvl w:val="0"/>
          <w:numId w:val="2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Company and all of the Company’s stockholders would be irreparably harmed if the Authorized Share Amendment is not validated.</w:t>
      </w: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PRAYER FOR RELIEF</w:t>
      </w:r>
    </w:p>
    <w:p>
      <w:pPr>
        <w:spacing w:after="0" w:line="2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5"/>
          <w:szCs w:val="25"/>
          <w:color w:val="auto"/>
        </w:rPr>
        <w:t>WHEREFORE</w:t>
      </w:r>
      <w:r>
        <w:rPr>
          <w:rFonts w:ascii="Times New Roman" w:cs="Times New Roman" w:eastAsia="Times New Roman" w:hAnsi="Times New Roman"/>
          <w:sz w:val="25"/>
          <w:szCs w:val="25"/>
          <w:b w:val="1"/>
          <w:bCs w:val="1"/>
          <w:color w:val="auto"/>
        </w:rPr>
        <w:t>,</w:t>
      </w:r>
      <w:r>
        <w:rPr>
          <w:rFonts w:ascii="Times New Roman" w:cs="Times New Roman" w:eastAsia="Times New Roman" w:hAnsi="Times New Roman"/>
          <w:sz w:val="25"/>
          <w:szCs w:val="25"/>
          <w:color w:val="auto"/>
        </w:rPr>
        <w:t xml:space="preserve"> PWP respectfully prays for the following relief:</w:t>
      </w:r>
    </w:p>
    <w:p>
      <w:pPr>
        <w:spacing w:after="0" w:line="309" w:lineRule="exact"/>
        <w:rPr>
          <w:sz w:val="20"/>
          <w:szCs w:val="20"/>
          <w:color w:val="auto"/>
        </w:rPr>
      </w:pPr>
    </w:p>
    <w:p>
      <w:pPr>
        <w:ind w:right="740" w:firstLine="1304"/>
        <w:spacing w:after="0" w:line="486" w:lineRule="auto"/>
        <w:tabs>
          <w:tab w:leader="none" w:pos="1779" w:val="left"/>
        </w:tabs>
        <w:numPr>
          <w:ilvl w:val="0"/>
          <w:numId w:val="2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An Order pursuant to 8 </w:t>
      </w:r>
      <w:r>
        <w:rPr>
          <w:rFonts w:ascii="Times New Roman" w:cs="Times New Roman" w:eastAsia="Times New Roman" w:hAnsi="Times New Roman"/>
          <w:sz w:val="25"/>
          <w:szCs w:val="25"/>
          <w:i w:val="1"/>
          <w:iCs w:val="1"/>
          <w:color w:val="auto"/>
        </w:rPr>
        <w:t>Del. C.</w:t>
      </w:r>
      <w:r>
        <w:rPr>
          <w:rFonts w:ascii="Times New Roman" w:cs="Times New Roman" w:eastAsia="Times New Roman" w:hAnsi="Times New Roman"/>
          <w:sz w:val="25"/>
          <w:szCs w:val="25"/>
          <w:color w:val="auto"/>
        </w:rPr>
        <w:t xml:space="preserve"> § 205, declaring that the vote on the Authorized Share Amendment Proposal and the resulting Authorized Share Amendment are valid and effective; and</w:t>
      </w:r>
    </w:p>
    <w:p>
      <w:pPr>
        <w:ind w:left="1780" w:hanging="476"/>
        <w:spacing w:after="0"/>
        <w:tabs>
          <w:tab w:leader="none" w:pos="1780" w:val="left"/>
        </w:tabs>
        <w:numPr>
          <w:ilvl w:val="0"/>
          <w:numId w:val="2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Such other and further relief as the Court deems just and proper under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color w:val="auto"/>
        </w:rPr>
        <w:t>20</w:t>
      </w:r>
    </w:p>
    <w:p>
      <w:pPr>
        <w:sectPr>
          <w:pgSz w:w="11900" w:h="16838" w:orient="portrait"/>
          <w:cols w:equalWidth="0" w:num="1">
            <w:col w:w="11160"/>
          </w:cols>
          <w:pgMar w:left="320" w:top="1440" w:right="4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87"/>
        </w:trPr>
        <w:tc>
          <w:tcPr>
            <w:tcW w:w="53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25"/>
                <w:szCs w:val="25"/>
                <w:i w:val="1"/>
                <w:iCs w:val="1"/>
                <w:color w:val="auto"/>
              </w:rPr>
              <w:t>/s/ Edward B. Micheletti</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96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5"/>
                <w:szCs w:val="25"/>
                <w:color w:val="auto"/>
                <w:w w:val="97"/>
              </w:rPr>
              <w:t>Edward B. Micheletti (ID No.</w:t>
            </w:r>
          </w:p>
        </w:tc>
        <w:tc>
          <w:tcPr>
            <w:tcW w:w="1120" w:type="dxa"/>
            <w:vAlign w:val="bottom"/>
          </w:tcPr>
          <w:p>
            <w:pPr>
              <w:jc w:val="right"/>
              <w:ind w:right="274"/>
              <w:spacing w:after="0" w:line="223" w:lineRule="exact"/>
              <w:rPr>
                <w:sz w:val="20"/>
                <w:szCs w:val="20"/>
                <w:color w:val="auto"/>
              </w:rPr>
            </w:pPr>
            <w:r>
              <w:rPr>
                <w:rFonts w:ascii="Times New Roman" w:cs="Times New Roman" w:eastAsia="Times New Roman" w:hAnsi="Times New Roman"/>
                <w:sz w:val="25"/>
                <w:szCs w:val="25"/>
                <w:color w:val="auto"/>
              </w:rPr>
              <w:t>3794)</w:t>
            </w:r>
          </w:p>
        </w:tc>
        <w:tc>
          <w:tcPr>
            <w:tcW w:w="0" w:type="dxa"/>
            <w:vAlign w:val="bottom"/>
          </w:tcPr>
          <w:p>
            <w:pPr>
              <w:spacing w:after="0"/>
              <w:rPr>
                <w:sz w:val="1"/>
                <w:szCs w:val="1"/>
                <w:color w:val="auto"/>
              </w:rPr>
            </w:pPr>
          </w:p>
        </w:tc>
      </w:tr>
      <w:tr>
        <w:trPr>
          <w:trHeight w:val="247"/>
        </w:trPr>
        <w:tc>
          <w:tcPr>
            <w:tcW w:w="5320" w:type="dxa"/>
            <w:vAlign w:val="bottom"/>
          </w:tcPr>
          <w:p>
            <w:pPr>
              <w:spacing w:after="0"/>
              <w:rPr>
                <w:sz w:val="21"/>
                <w:szCs w:val="21"/>
                <w:color w:val="auto"/>
              </w:rPr>
            </w:pPr>
          </w:p>
        </w:tc>
        <w:tc>
          <w:tcPr>
            <w:tcW w:w="4080" w:type="dxa"/>
            <w:vAlign w:val="bottom"/>
            <w:gridSpan w:val="2"/>
          </w:tcPr>
          <w:p>
            <w:pPr>
              <w:spacing w:after="0" w:line="247" w:lineRule="exact"/>
              <w:rPr>
                <w:sz w:val="20"/>
                <w:szCs w:val="20"/>
                <w:color w:val="auto"/>
              </w:rPr>
            </w:pPr>
            <w:r>
              <w:rPr>
                <w:rFonts w:ascii="Times New Roman" w:cs="Times New Roman" w:eastAsia="Times New Roman" w:hAnsi="Times New Roman"/>
                <w:sz w:val="25"/>
                <w:szCs w:val="25"/>
                <w:color w:val="auto"/>
              </w:rPr>
              <w:t>Sarah Runnells Martin (ID No. 5230)</w:t>
            </w:r>
          </w:p>
        </w:tc>
        <w:tc>
          <w:tcPr>
            <w:tcW w:w="0" w:type="dxa"/>
            <w:vAlign w:val="bottom"/>
          </w:tcPr>
          <w:p>
            <w:pPr>
              <w:spacing w:after="0"/>
              <w:rPr>
                <w:sz w:val="1"/>
                <w:szCs w:val="1"/>
                <w:color w:val="auto"/>
              </w:rPr>
            </w:pPr>
          </w:p>
        </w:tc>
      </w:tr>
      <w:tr>
        <w:trPr>
          <w:trHeight w:val="257"/>
        </w:trPr>
        <w:tc>
          <w:tcPr>
            <w:tcW w:w="5320" w:type="dxa"/>
            <w:vAlign w:val="bottom"/>
            <w:vMerge w:val="restart"/>
          </w:tcPr>
          <w:p>
            <w:pPr>
              <w:spacing w:after="0"/>
              <w:rPr>
                <w:sz w:val="20"/>
                <w:szCs w:val="20"/>
                <w:color w:val="auto"/>
              </w:rPr>
            </w:pPr>
            <w:r>
              <w:rPr>
                <w:rFonts w:ascii="Times New Roman" w:cs="Times New Roman" w:eastAsia="Times New Roman" w:hAnsi="Times New Roman"/>
                <w:sz w:val="25"/>
                <w:szCs w:val="25"/>
                <w:color w:val="auto"/>
              </w:rPr>
              <w:t>OF COUNSEL:</w:t>
            </w:r>
          </w:p>
        </w:tc>
        <w:tc>
          <w:tcPr>
            <w:tcW w:w="4080" w:type="dxa"/>
            <w:vAlign w:val="bottom"/>
            <w:gridSpan w:val="2"/>
          </w:tcPr>
          <w:p>
            <w:pPr>
              <w:spacing w:after="0" w:line="257" w:lineRule="exact"/>
              <w:rPr>
                <w:sz w:val="20"/>
                <w:szCs w:val="20"/>
                <w:color w:val="auto"/>
              </w:rPr>
            </w:pPr>
            <w:r>
              <w:rPr>
                <w:rFonts w:ascii="Times New Roman" w:cs="Times New Roman" w:eastAsia="Times New Roman" w:hAnsi="Times New Roman"/>
                <w:sz w:val="25"/>
                <w:szCs w:val="25"/>
                <w:color w:val="auto"/>
              </w:rPr>
              <w:t>Trevor T. Nielsen (ID No. 6688)</w:t>
            </w:r>
          </w:p>
        </w:tc>
        <w:tc>
          <w:tcPr>
            <w:tcW w:w="0" w:type="dxa"/>
            <w:vAlign w:val="bottom"/>
          </w:tcPr>
          <w:p>
            <w:pPr>
              <w:spacing w:after="0"/>
              <w:rPr>
                <w:sz w:val="1"/>
                <w:szCs w:val="1"/>
                <w:color w:val="auto"/>
              </w:rPr>
            </w:pPr>
          </w:p>
        </w:tc>
      </w:tr>
      <w:tr>
        <w:trPr>
          <w:trHeight w:val="252"/>
        </w:trPr>
        <w:tc>
          <w:tcPr>
            <w:tcW w:w="5320" w:type="dxa"/>
            <w:vAlign w:val="bottom"/>
            <w:vMerge w:val="continue"/>
          </w:tcPr>
          <w:p>
            <w:pPr>
              <w:spacing w:after="0"/>
              <w:rPr>
                <w:sz w:val="21"/>
                <w:szCs w:val="21"/>
                <w:color w:val="auto"/>
              </w:rPr>
            </w:pPr>
          </w:p>
        </w:tc>
        <w:tc>
          <w:tcPr>
            <w:tcW w:w="4080" w:type="dxa"/>
            <w:vAlign w:val="bottom"/>
            <w:gridSpan w:val="2"/>
          </w:tcPr>
          <w:p>
            <w:pPr>
              <w:spacing w:after="0" w:line="252" w:lineRule="exact"/>
              <w:rPr>
                <w:sz w:val="20"/>
                <w:szCs w:val="20"/>
                <w:color w:val="auto"/>
              </w:rPr>
            </w:pPr>
            <w:r>
              <w:rPr>
                <w:rFonts w:ascii="Times New Roman" w:cs="Times New Roman" w:eastAsia="Times New Roman" w:hAnsi="Times New Roman"/>
                <w:sz w:val="25"/>
                <w:szCs w:val="25"/>
                <w:color w:val="auto"/>
              </w:rPr>
              <w:t>SKADDEN, ARPS, SLATE,</w:t>
            </w:r>
          </w:p>
        </w:tc>
        <w:tc>
          <w:tcPr>
            <w:tcW w:w="0" w:type="dxa"/>
            <w:vAlign w:val="bottom"/>
          </w:tcPr>
          <w:p>
            <w:pPr>
              <w:spacing w:after="0"/>
              <w:rPr>
                <w:sz w:val="1"/>
                <w:szCs w:val="1"/>
                <w:color w:val="auto"/>
              </w:rPr>
            </w:pPr>
          </w:p>
        </w:tc>
      </w:tr>
      <w:tr>
        <w:trPr>
          <w:trHeight w:val="247"/>
        </w:trPr>
        <w:tc>
          <w:tcPr>
            <w:tcW w:w="5320" w:type="dxa"/>
            <w:vAlign w:val="bottom"/>
            <w:vMerge w:val="restart"/>
          </w:tcPr>
          <w:p>
            <w:pPr>
              <w:spacing w:after="0"/>
              <w:rPr>
                <w:sz w:val="20"/>
                <w:szCs w:val="20"/>
                <w:color w:val="auto"/>
              </w:rPr>
            </w:pPr>
            <w:r>
              <w:rPr>
                <w:rFonts w:ascii="Times New Roman" w:cs="Times New Roman" w:eastAsia="Times New Roman" w:hAnsi="Times New Roman"/>
                <w:sz w:val="25"/>
                <w:szCs w:val="25"/>
                <w:color w:val="auto"/>
              </w:rPr>
              <w:t>Susan L. Saltzstein</w:t>
            </w:r>
          </w:p>
        </w:tc>
        <w:tc>
          <w:tcPr>
            <w:tcW w:w="4080" w:type="dxa"/>
            <w:vAlign w:val="bottom"/>
            <w:gridSpan w:val="2"/>
          </w:tcPr>
          <w:p>
            <w:pPr>
              <w:ind w:left="200"/>
              <w:spacing w:after="0" w:line="247" w:lineRule="exact"/>
              <w:rPr>
                <w:sz w:val="20"/>
                <w:szCs w:val="20"/>
                <w:color w:val="auto"/>
              </w:rPr>
            </w:pPr>
            <w:r>
              <w:rPr>
                <w:rFonts w:ascii="Times New Roman" w:cs="Times New Roman" w:eastAsia="Times New Roman" w:hAnsi="Times New Roman"/>
                <w:sz w:val="25"/>
                <w:szCs w:val="25"/>
                <w:color w:val="auto"/>
              </w:rPr>
              <w:t>MEAGHER &amp; FLOM LLP</w:t>
            </w:r>
          </w:p>
        </w:tc>
        <w:tc>
          <w:tcPr>
            <w:tcW w:w="0" w:type="dxa"/>
            <w:vAlign w:val="bottom"/>
          </w:tcPr>
          <w:p>
            <w:pPr>
              <w:spacing w:after="0"/>
              <w:rPr>
                <w:sz w:val="1"/>
                <w:szCs w:val="1"/>
                <w:color w:val="auto"/>
              </w:rPr>
            </w:pPr>
          </w:p>
        </w:tc>
      </w:tr>
      <w:tr>
        <w:trPr>
          <w:trHeight w:val="252"/>
        </w:trPr>
        <w:tc>
          <w:tcPr>
            <w:tcW w:w="5320" w:type="dxa"/>
            <w:vAlign w:val="bottom"/>
            <w:vMerge w:val="continue"/>
          </w:tcPr>
          <w:p>
            <w:pPr>
              <w:spacing w:after="0"/>
              <w:rPr>
                <w:sz w:val="21"/>
                <w:szCs w:val="21"/>
                <w:color w:val="auto"/>
              </w:rPr>
            </w:pPr>
          </w:p>
        </w:tc>
        <w:tc>
          <w:tcPr>
            <w:tcW w:w="4080" w:type="dxa"/>
            <w:vAlign w:val="bottom"/>
            <w:gridSpan w:val="2"/>
          </w:tcPr>
          <w:p>
            <w:pPr>
              <w:spacing w:after="0" w:line="252" w:lineRule="exact"/>
              <w:rPr>
                <w:sz w:val="20"/>
                <w:szCs w:val="20"/>
                <w:color w:val="auto"/>
              </w:rPr>
            </w:pPr>
            <w:r>
              <w:rPr>
                <w:rFonts w:ascii="Times New Roman" w:cs="Times New Roman" w:eastAsia="Times New Roman" w:hAnsi="Times New Roman"/>
                <w:sz w:val="25"/>
                <w:szCs w:val="25"/>
                <w:color w:val="auto"/>
              </w:rPr>
              <w:t>One Rodney Square</w:t>
            </w:r>
          </w:p>
        </w:tc>
        <w:tc>
          <w:tcPr>
            <w:tcW w:w="0" w:type="dxa"/>
            <w:vAlign w:val="bottom"/>
          </w:tcPr>
          <w:p>
            <w:pPr>
              <w:spacing w:after="0"/>
              <w:rPr>
                <w:sz w:val="1"/>
                <w:szCs w:val="1"/>
                <w:color w:val="auto"/>
              </w:rPr>
            </w:pPr>
          </w:p>
        </w:tc>
      </w:tr>
      <w:tr>
        <w:trPr>
          <w:trHeight w:val="257"/>
        </w:trPr>
        <w:tc>
          <w:tcPr>
            <w:tcW w:w="5320" w:type="dxa"/>
            <w:vAlign w:val="bottom"/>
          </w:tcPr>
          <w:p>
            <w:pPr>
              <w:spacing w:after="0" w:line="257" w:lineRule="exact"/>
              <w:rPr>
                <w:sz w:val="20"/>
                <w:szCs w:val="20"/>
                <w:color w:val="auto"/>
              </w:rPr>
            </w:pPr>
            <w:r>
              <w:rPr>
                <w:rFonts w:ascii="Times New Roman" w:cs="Times New Roman" w:eastAsia="Times New Roman" w:hAnsi="Times New Roman"/>
                <w:sz w:val="25"/>
                <w:szCs w:val="25"/>
                <w:color w:val="auto"/>
              </w:rPr>
              <w:t>SKADDEN, ARPS, SLATE,</w:t>
            </w:r>
          </w:p>
        </w:tc>
        <w:tc>
          <w:tcPr>
            <w:tcW w:w="4080" w:type="dxa"/>
            <w:vAlign w:val="bottom"/>
            <w:gridSpan w:val="2"/>
          </w:tcPr>
          <w:p>
            <w:pPr>
              <w:spacing w:after="0" w:line="257" w:lineRule="exact"/>
              <w:rPr>
                <w:sz w:val="20"/>
                <w:szCs w:val="20"/>
                <w:color w:val="auto"/>
              </w:rPr>
            </w:pPr>
            <w:r>
              <w:rPr>
                <w:rFonts w:ascii="Times New Roman" w:cs="Times New Roman" w:eastAsia="Times New Roman" w:hAnsi="Times New Roman"/>
                <w:sz w:val="25"/>
                <w:szCs w:val="25"/>
                <w:color w:val="auto"/>
              </w:rPr>
              <w:t>P.O. Box 636</w:t>
            </w:r>
          </w:p>
        </w:tc>
        <w:tc>
          <w:tcPr>
            <w:tcW w:w="0" w:type="dxa"/>
            <w:vAlign w:val="bottom"/>
          </w:tcPr>
          <w:p>
            <w:pPr>
              <w:spacing w:after="0"/>
              <w:rPr>
                <w:sz w:val="1"/>
                <w:szCs w:val="1"/>
                <w:color w:val="auto"/>
              </w:rPr>
            </w:pPr>
          </w:p>
        </w:tc>
      </w:tr>
      <w:tr>
        <w:trPr>
          <w:trHeight w:val="247"/>
        </w:trPr>
        <w:tc>
          <w:tcPr>
            <w:tcW w:w="5320" w:type="dxa"/>
            <w:vAlign w:val="bottom"/>
          </w:tcPr>
          <w:p>
            <w:pPr>
              <w:ind w:left="180"/>
              <w:spacing w:after="0" w:line="247" w:lineRule="exact"/>
              <w:rPr>
                <w:sz w:val="20"/>
                <w:szCs w:val="20"/>
                <w:color w:val="auto"/>
              </w:rPr>
            </w:pPr>
            <w:r>
              <w:rPr>
                <w:rFonts w:ascii="Times New Roman" w:cs="Times New Roman" w:eastAsia="Times New Roman" w:hAnsi="Times New Roman"/>
                <w:sz w:val="25"/>
                <w:szCs w:val="25"/>
                <w:color w:val="auto"/>
              </w:rPr>
              <w:t>MEAGHER &amp; FLOM LLP</w:t>
            </w:r>
          </w:p>
        </w:tc>
        <w:tc>
          <w:tcPr>
            <w:tcW w:w="4080" w:type="dxa"/>
            <w:vAlign w:val="bottom"/>
            <w:gridSpan w:val="2"/>
          </w:tcPr>
          <w:p>
            <w:pPr>
              <w:spacing w:after="0" w:line="247" w:lineRule="exact"/>
              <w:rPr>
                <w:sz w:val="20"/>
                <w:szCs w:val="20"/>
                <w:color w:val="auto"/>
              </w:rPr>
            </w:pPr>
            <w:r>
              <w:rPr>
                <w:rFonts w:ascii="Times New Roman" w:cs="Times New Roman" w:eastAsia="Times New Roman" w:hAnsi="Times New Roman"/>
                <w:sz w:val="25"/>
                <w:szCs w:val="25"/>
                <w:color w:val="auto"/>
              </w:rPr>
              <w:t>Wilmington, Delaware 19899-0636</w:t>
            </w:r>
          </w:p>
        </w:tc>
        <w:tc>
          <w:tcPr>
            <w:tcW w:w="0" w:type="dxa"/>
            <w:vAlign w:val="bottom"/>
          </w:tcPr>
          <w:p>
            <w:pPr>
              <w:spacing w:after="0"/>
              <w:rPr>
                <w:sz w:val="1"/>
                <w:szCs w:val="1"/>
                <w:color w:val="auto"/>
              </w:rPr>
            </w:pPr>
          </w:p>
        </w:tc>
      </w:tr>
      <w:tr>
        <w:trPr>
          <w:trHeight w:val="252"/>
        </w:trPr>
        <w:tc>
          <w:tcPr>
            <w:tcW w:w="5320" w:type="dxa"/>
            <w:vAlign w:val="bottom"/>
          </w:tcPr>
          <w:p>
            <w:pPr>
              <w:spacing w:after="0" w:line="252" w:lineRule="exact"/>
              <w:rPr>
                <w:sz w:val="20"/>
                <w:szCs w:val="20"/>
                <w:color w:val="auto"/>
              </w:rPr>
            </w:pPr>
            <w:r>
              <w:rPr>
                <w:rFonts w:ascii="Times New Roman" w:cs="Times New Roman" w:eastAsia="Times New Roman" w:hAnsi="Times New Roman"/>
                <w:sz w:val="25"/>
                <w:szCs w:val="25"/>
                <w:color w:val="auto"/>
              </w:rPr>
              <w:t>One Manhattan West</w:t>
            </w:r>
          </w:p>
        </w:tc>
        <w:tc>
          <w:tcPr>
            <w:tcW w:w="4080" w:type="dxa"/>
            <w:vAlign w:val="bottom"/>
            <w:gridSpan w:val="2"/>
          </w:tcPr>
          <w:p>
            <w:pPr>
              <w:spacing w:after="0" w:line="252" w:lineRule="exact"/>
              <w:rPr>
                <w:sz w:val="20"/>
                <w:szCs w:val="20"/>
                <w:color w:val="auto"/>
              </w:rPr>
            </w:pPr>
            <w:r>
              <w:rPr>
                <w:rFonts w:ascii="Times New Roman" w:cs="Times New Roman" w:eastAsia="Times New Roman" w:hAnsi="Times New Roman"/>
                <w:sz w:val="25"/>
                <w:szCs w:val="25"/>
                <w:color w:val="auto"/>
              </w:rPr>
              <w:t>Tel.: (302) 651-3000</w:t>
            </w:r>
          </w:p>
        </w:tc>
        <w:tc>
          <w:tcPr>
            <w:tcW w:w="0" w:type="dxa"/>
            <w:vAlign w:val="bottom"/>
          </w:tcPr>
          <w:p>
            <w:pPr>
              <w:spacing w:after="0"/>
              <w:rPr>
                <w:sz w:val="1"/>
                <w:szCs w:val="1"/>
                <w:color w:val="auto"/>
              </w:rPr>
            </w:pPr>
          </w:p>
        </w:tc>
      </w:tr>
      <w:tr>
        <w:trPr>
          <w:trHeight w:val="257"/>
        </w:trPr>
        <w:tc>
          <w:tcPr>
            <w:tcW w:w="5320" w:type="dxa"/>
            <w:vAlign w:val="bottom"/>
          </w:tcPr>
          <w:p>
            <w:pPr>
              <w:spacing w:after="0" w:line="257" w:lineRule="exact"/>
              <w:rPr>
                <w:sz w:val="20"/>
                <w:szCs w:val="20"/>
                <w:color w:val="auto"/>
              </w:rPr>
            </w:pPr>
            <w:r>
              <w:rPr>
                <w:rFonts w:ascii="Times New Roman" w:cs="Times New Roman" w:eastAsia="Times New Roman" w:hAnsi="Times New Roman"/>
                <w:sz w:val="25"/>
                <w:szCs w:val="25"/>
                <w:color w:val="auto"/>
              </w:rPr>
              <w:t>New York, New York 10001-8602</w:t>
            </w:r>
          </w:p>
        </w:tc>
        <w:tc>
          <w:tcPr>
            <w:tcW w:w="4080" w:type="dxa"/>
            <w:vAlign w:val="bottom"/>
            <w:gridSpan w:val="2"/>
          </w:tcPr>
          <w:p>
            <w:pPr>
              <w:spacing w:after="0" w:line="257" w:lineRule="exact"/>
              <w:rPr>
                <w:sz w:val="20"/>
                <w:szCs w:val="20"/>
                <w:color w:val="auto"/>
              </w:rPr>
            </w:pPr>
            <w:r>
              <w:rPr>
                <w:rFonts w:ascii="Times New Roman" w:cs="Times New Roman" w:eastAsia="Times New Roman" w:hAnsi="Times New Roman"/>
                <w:sz w:val="25"/>
                <w:szCs w:val="25"/>
                <w:color w:val="auto"/>
              </w:rPr>
              <w:t>Fax: (302) 651-3001</w:t>
            </w:r>
          </w:p>
        </w:tc>
        <w:tc>
          <w:tcPr>
            <w:tcW w:w="0" w:type="dxa"/>
            <w:vAlign w:val="bottom"/>
          </w:tcPr>
          <w:p>
            <w:pPr>
              <w:spacing w:after="0"/>
              <w:rPr>
                <w:sz w:val="1"/>
                <w:szCs w:val="1"/>
                <w:color w:val="auto"/>
              </w:rPr>
            </w:pPr>
          </w:p>
        </w:tc>
      </w:tr>
      <w:tr>
        <w:trPr>
          <w:trHeight w:val="247"/>
        </w:trPr>
        <w:tc>
          <w:tcPr>
            <w:tcW w:w="5320" w:type="dxa"/>
            <w:vAlign w:val="bottom"/>
          </w:tcPr>
          <w:p>
            <w:pPr>
              <w:spacing w:after="0" w:line="247" w:lineRule="exact"/>
              <w:rPr>
                <w:sz w:val="20"/>
                <w:szCs w:val="20"/>
                <w:color w:val="auto"/>
              </w:rPr>
            </w:pPr>
            <w:r>
              <w:rPr>
                <w:rFonts w:ascii="Times New Roman" w:cs="Times New Roman" w:eastAsia="Times New Roman" w:hAnsi="Times New Roman"/>
                <w:sz w:val="25"/>
                <w:szCs w:val="25"/>
                <w:color w:val="auto"/>
              </w:rPr>
              <w:t>Tel.: (212) 735-3000</w:t>
            </w:r>
          </w:p>
        </w:tc>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25"/>
                <w:szCs w:val="25"/>
                <w:i w:val="1"/>
                <w:iCs w:val="1"/>
                <w:color w:val="auto"/>
                <w:w w:val="99"/>
              </w:rPr>
              <w:t>Attorneys for Perella Weinberg Partners</w:t>
            </w:r>
          </w:p>
        </w:tc>
        <w:tc>
          <w:tcPr>
            <w:tcW w:w="0" w:type="dxa"/>
            <w:vAlign w:val="bottom"/>
          </w:tcPr>
          <w:p>
            <w:pPr>
              <w:spacing w:after="0"/>
              <w:rPr>
                <w:sz w:val="1"/>
                <w:szCs w:val="1"/>
                <w:color w:val="auto"/>
              </w:rPr>
            </w:pPr>
          </w:p>
        </w:tc>
      </w:tr>
      <w:tr>
        <w:trPr>
          <w:trHeight w:val="297"/>
        </w:trPr>
        <w:tc>
          <w:tcPr>
            <w:tcW w:w="5320" w:type="dxa"/>
            <w:vAlign w:val="bottom"/>
          </w:tcPr>
          <w:p>
            <w:pPr>
              <w:spacing w:after="0"/>
              <w:rPr>
                <w:sz w:val="20"/>
                <w:szCs w:val="20"/>
                <w:color w:val="auto"/>
              </w:rPr>
            </w:pPr>
            <w:r>
              <w:rPr>
                <w:rFonts w:ascii="Times New Roman" w:cs="Times New Roman" w:eastAsia="Times New Roman" w:hAnsi="Times New Roman"/>
                <w:sz w:val="25"/>
                <w:szCs w:val="25"/>
                <w:color w:val="auto"/>
              </w:rPr>
              <w:t>Fax: (212) 735-2000</w:t>
            </w:r>
          </w:p>
        </w:tc>
        <w:tc>
          <w:tcPr>
            <w:tcW w:w="40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320" w:type="dxa"/>
            <w:vAlign w:val="bottom"/>
          </w:tcPr>
          <w:p>
            <w:pPr>
              <w:spacing w:after="0"/>
              <w:rPr>
                <w:sz w:val="20"/>
                <w:szCs w:val="20"/>
                <w:color w:val="auto"/>
              </w:rPr>
            </w:pPr>
            <w:r>
              <w:rPr>
                <w:rFonts w:ascii="Times New Roman" w:cs="Times New Roman" w:eastAsia="Times New Roman" w:hAnsi="Times New Roman"/>
                <w:sz w:val="25"/>
                <w:szCs w:val="25"/>
                <w:color w:val="auto"/>
              </w:rPr>
              <w:t>DATED: February 17, 2023</w:t>
            </w:r>
          </w:p>
        </w:tc>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5"/>
          <w:szCs w:val="25"/>
          <w:color w:val="auto"/>
        </w:rPr>
        <w:t>21</w:t>
      </w:r>
    </w:p>
    <w:sectPr>
      <w:pgSz w:w="11900" w:h="16838" w:orient="portrait"/>
      <w:cols w:equalWidth="0" w:num="1">
        <w:col w:w="10059"/>
      </w:cols>
      <w:pgMar w:left="400" w:top="14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4"/>
    </w:lvl>
  </w:abstractNum>
  <w:abstractNum w:abstractNumId="3">
    <w:nsid w:val="4E6AFB66"/>
    <w:multiLevelType w:val="hybridMultilevel"/>
    <w:lvl w:ilvl="0">
      <w:lvlJc w:val="left"/>
      <w:lvlText w:val="%1."/>
      <w:numFmt w:val="decimal"/>
      <w:start w:val="6"/>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1."/>
      <w:numFmt w:val="decimal"/>
      <w:start w:val="7"/>
    </w:lvl>
  </w:abstractNum>
  <w:abstractNum w:abstractNumId="6">
    <w:nsid w:val="431BD7B7"/>
    <w:multiLevelType w:val="hybridMultilevel"/>
    <w:lvl w:ilvl="0">
      <w:lvlJc w:val="left"/>
      <w:lvlText w:val="2"/>
      <w:numFmt w:val="bullet"/>
      <w:start w:val="1"/>
    </w:lvl>
  </w:abstractNum>
  <w:abstractNum w:abstractNumId="7">
    <w:nsid w:val="3F2DBA31"/>
    <w:multiLevelType w:val="hybridMultilevel"/>
    <w:lvl w:ilvl="0">
      <w:lvlJc w:val="left"/>
      <w:lvlText w:val="%1."/>
      <w:numFmt w:val="decimal"/>
      <w:start w:val="10"/>
    </w:lvl>
  </w:abstractNum>
  <w:abstractNum w:abstractNumId="8">
    <w:nsid w:val="7C83E458"/>
    <w:multiLevelType w:val="hybridMultilevel"/>
    <w:lvl w:ilvl="0">
      <w:lvlJc w:val="left"/>
      <w:lvlText w:val="%1."/>
      <w:numFmt w:val="decimal"/>
      <w:start w:val="12"/>
    </w:lvl>
  </w:abstractNum>
  <w:abstractNum w:abstractNumId="9">
    <w:nsid w:val="257130A3"/>
    <w:multiLevelType w:val="hybridMultilevel"/>
    <w:lvl w:ilvl="0">
      <w:lvlJc w:val="left"/>
      <w:lvlText w:val="3"/>
      <w:numFmt w:val="bullet"/>
      <w:start w:val="1"/>
    </w:lvl>
  </w:abstractNum>
  <w:abstractNum w:abstractNumId="10">
    <w:nsid w:val="62BBD95A"/>
    <w:multiLevelType w:val="hybridMultilevel"/>
    <w:lvl w:ilvl="0">
      <w:lvlJc w:val="left"/>
      <w:lvlText w:val="%1."/>
      <w:numFmt w:val="decimal"/>
      <w:start w:val="14"/>
    </w:lvl>
  </w:abstractNum>
  <w:abstractNum w:abstractNumId="11">
    <w:nsid w:val="436C6125"/>
    <w:multiLevelType w:val="hybridMultilevel"/>
    <w:lvl w:ilvl="0">
      <w:lvlJc w:val="left"/>
      <w:lvlText w:val="%1."/>
      <w:numFmt w:val="decimal"/>
      <w:start w:val="16"/>
    </w:lvl>
  </w:abstractNum>
  <w:abstractNum w:abstractNumId="12">
    <w:nsid w:val="628C895D"/>
    <w:multiLevelType w:val="hybridMultilevel"/>
    <w:lvl w:ilvl="0">
      <w:lvlJc w:val="left"/>
      <w:lvlText w:val="%1."/>
      <w:numFmt w:val="decimal"/>
      <w:start w:val="19"/>
    </w:lvl>
  </w:abstractNum>
  <w:abstractNum w:abstractNumId="13">
    <w:nsid w:val="333AB105"/>
    <w:multiLevelType w:val="hybridMultilevel"/>
    <w:lvl w:ilvl="0">
      <w:lvlJc w:val="left"/>
      <w:lvlText w:val="%1."/>
      <w:numFmt w:val="decimal"/>
      <w:start w:val="20"/>
    </w:lvl>
  </w:abstractNum>
  <w:abstractNum w:abstractNumId="14">
    <w:nsid w:val="721DA317"/>
    <w:multiLevelType w:val="hybridMultilevel"/>
    <w:lvl w:ilvl="0">
      <w:lvlJc w:val="left"/>
      <w:lvlText w:val="%1."/>
      <w:numFmt w:val="decimal"/>
      <w:start w:val="21"/>
    </w:lvl>
  </w:abstractNum>
  <w:abstractNum w:abstractNumId="15">
    <w:nsid w:val="2443A858"/>
    <w:multiLevelType w:val="hybridMultilevel"/>
    <w:lvl w:ilvl="0">
      <w:lvlJc w:val="left"/>
      <w:lvlText w:val="%1."/>
      <w:numFmt w:val="decimal"/>
      <w:start w:val="22"/>
    </w:lvl>
  </w:abstractNum>
  <w:abstractNum w:abstractNumId="16">
    <w:nsid w:val="2D1D5AE9"/>
    <w:multiLevelType w:val="hybridMultilevel"/>
    <w:lvl w:ilvl="0">
      <w:lvlJc w:val="left"/>
      <w:lvlText w:val="%1."/>
      <w:numFmt w:val="decimal"/>
      <w:start w:val="24"/>
    </w:lvl>
  </w:abstractNum>
  <w:abstractNum w:abstractNumId="17">
    <w:nsid w:val="6763845E"/>
    <w:multiLevelType w:val="hybridMultilevel"/>
    <w:lvl w:ilvl="0">
      <w:lvlJc w:val="left"/>
      <w:lvlText w:val="%1."/>
      <w:numFmt w:val="decimal"/>
      <w:start w:val="27"/>
    </w:lvl>
  </w:abstractNum>
  <w:abstractNum w:abstractNumId="18">
    <w:nsid w:val="75A2A8D4"/>
    <w:multiLevelType w:val="hybridMultilevel"/>
    <w:lvl w:ilvl="0">
      <w:lvlJc w:val="left"/>
      <w:lvlText w:val="%1."/>
      <w:numFmt w:val="decimal"/>
      <w:start w:val="28"/>
    </w:lvl>
  </w:abstractNum>
  <w:abstractNum w:abstractNumId="19">
    <w:nsid w:val="8EDBDAB"/>
    <w:multiLevelType w:val="hybridMultilevel"/>
    <w:lvl w:ilvl="0">
      <w:lvlJc w:val="left"/>
      <w:lvlText w:val="%1."/>
      <w:numFmt w:val="decimal"/>
      <w:start w:val="30"/>
    </w:lvl>
  </w:abstractNum>
  <w:abstractNum w:abstractNumId="20">
    <w:nsid w:val="79838CB2"/>
    <w:multiLevelType w:val="hybridMultilevel"/>
    <w:lvl w:ilvl="0">
      <w:lvlJc w:val="left"/>
      <w:lvlText w:val="%1."/>
      <w:numFmt w:val="decimal"/>
      <w:start w:val="32"/>
    </w:lvl>
  </w:abstractNum>
  <w:abstractNum w:abstractNumId="21">
    <w:nsid w:val="4353D0CD"/>
    <w:multiLevelType w:val="hybridMultilevel"/>
    <w:lvl w:ilvl="0">
      <w:lvlJc w:val="left"/>
      <w:lvlText w:val="%1."/>
      <w:numFmt w:val="decimal"/>
      <w:start w:val="34"/>
    </w:lvl>
  </w:abstractNum>
  <w:abstractNum w:abstractNumId="22">
    <w:nsid w:val="B03E0C6"/>
    <w:multiLevelType w:val="hybridMultilevel"/>
    <w:lvl w:ilvl="0">
      <w:lvlJc w:val="left"/>
      <w:lvlText w:val="%1."/>
      <w:numFmt w:val="decimal"/>
      <w:start w:val="37"/>
    </w:lvl>
  </w:abstractNum>
  <w:abstractNum w:abstractNumId="23">
    <w:nsid w:val="189A769B"/>
    <w:multiLevelType w:val="hybridMultilevel"/>
    <w:lvl w:ilvl="0">
      <w:lvlJc w:val="left"/>
      <w:lvlText w:val="%1."/>
      <w:numFmt w:val="decimal"/>
      <w:start w:val="38"/>
    </w:lvl>
  </w:abstractNum>
  <w:abstractNum w:abstractNumId="24">
    <w:nsid w:val="54E49EB4"/>
    <w:multiLevelType w:val="hybridMultilevel"/>
    <w:lvl w:ilvl="0">
      <w:lvlJc w:val="left"/>
      <w:lvlText w:val="%1."/>
      <w:numFmt w:val="lowerLetter"/>
      <w:start w:val="3"/>
    </w:lvl>
  </w:abstractNum>
  <w:abstractNum w:abstractNumId="25">
    <w:nsid w:val="71F32454"/>
    <w:multiLevelType w:val="hybridMultilevel"/>
    <w:lvl w:ilvl="0">
      <w:lvlJc w:val="left"/>
      <w:lvlText w:val="%1."/>
      <w:numFmt w:val="decimal"/>
      <w:start w:val="41"/>
    </w:lvl>
  </w:abstractNum>
  <w:abstractNum w:abstractNumId="26">
    <w:nsid w:val="2CA88611"/>
    <w:multiLevelType w:val="hybridMultilevel"/>
    <w:lvl w:ilvl="0">
      <w:lvlJc w:val="left"/>
      <w:lvlText w:val="%1."/>
      <w:numFmt w:val="decimal"/>
      <w:start w:val="42"/>
    </w:lvl>
  </w:abstractNum>
  <w:abstractNum w:abstractNumId="27">
    <w:nsid w:val="836C40E"/>
    <w:multiLevelType w:val="hybridMultilevel"/>
    <w:lvl w:ilvl="0">
      <w:lvlJc w:val="left"/>
      <w:lvlText w:val="%1."/>
      <w:numFmt w:val="decimal"/>
      <w:start w:val="48"/>
    </w:lvl>
  </w:abstractNum>
  <w:abstractNum w:abstractNumId="28">
    <w:nsid w:val="2901D8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2023-02-21T07:27:09Z</dcterms:created>
  <dcterms:modified xsi:type="dcterms:W3CDTF">2023-02-21T07:27:09Z</dcterms:modified>
</cp:coreProperties>
</file>