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2" w:lineRule="exact"/>
        <w:rPr>
          <w:sz w:val="24"/>
          <w:szCs w:val="24"/>
          <w:color w:val="auto"/>
        </w:rPr>
      </w:pPr>
    </w:p>
    <w:p>
      <w:pPr>
        <w:ind w:left="360"/>
        <w:spacing w:after="0" w:line="250"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-231140</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20" w:type="dxa"/>
            <w:vAlign w:val="bottom"/>
          </w:tcPr>
          <w:p>
            <w:pPr>
              <w:jc w:val="center"/>
              <w:ind w:right="27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38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59"/>
              <w:spacing w:after="0" w:line="140"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79"/>
              <w:spacing w:after="0" w:line="180"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20" w:type="dxa"/>
            <w:vAlign w:val="bottom"/>
            <w:vMerge w:val="restart"/>
          </w:tcPr>
          <w:p>
            <w:pPr>
              <w:jc w:val="center"/>
              <w:ind w:right="27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5219700</wp:posOffset>
            </wp:positionH>
            <wp:positionV relativeFrom="paragraph">
              <wp:posOffset>-607695</wp:posOffset>
            </wp:positionV>
            <wp:extent cx="57150" cy="6210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1030"/>
                    </a:xfrm>
                    <a:prstGeom prst="rect">
                      <a:avLst/>
                    </a:prstGeom>
                    <a:noFill/>
                  </pic:spPr>
                </pic:pic>
              </a:graphicData>
            </a:graphic>
          </wp:anchor>
        </w:drawing>
        <w:drawing>
          <wp:anchor simplePos="0" relativeHeight="251657728" behindDoc="1" locked="0" layoutInCell="0" allowOverlap="1">
            <wp:simplePos x="0" y="0"/>
            <wp:positionH relativeFrom="column">
              <wp:posOffset>3933190</wp:posOffset>
            </wp:positionH>
            <wp:positionV relativeFrom="paragraph">
              <wp:posOffset>-607695</wp:posOffset>
            </wp:positionV>
            <wp:extent cx="57150" cy="621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103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7048500" cy="4281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8500" cy="428180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180" w:space="460"/>
            <w:col w:w="8440"/>
          </w:cols>
          <w:pgMar w:left="460" w:top="214"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PWP VoteCo Professionals LP</w:t>
        </w:r>
      </w:hyperlink>
    </w:p>
    <w:p>
      <w:pPr>
        <w:spacing w:after="0" w:line="286"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(Last)</w:t>
            </w:r>
          </w:p>
        </w:tc>
        <w:tc>
          <w:tcPr>
            <w:tcW w:w="980" w:type="dxa"/>
            <w:vAlign w:val="bottom"/>
          </w:tcPr>
          <w:p>
            <w:pPr>
              <w:ind w:left="1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58"/>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767 5TH AVENUE</w:t>
            </w:r>
          </w:p>
        </w:tc>
        <w:tc>
          <w:tcPr>
            <w:tcW w:w="162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060" w:type="dxa"/>
            <w:vAlign w:val="bottom"/>
            <w:tcBorders>
              <w:bottom w:val="single" w:sz="8" w:color="9A9A9A"/>
            </w:tcBorders>
          </w:tcPr>
          <w:p>
            <w:pPr>
              <w:spacing w:after="0"/>
              <w:rPr>
                <w:sz w:val="16"/>
                <w:szCs w:val="16"/>
                <w:color w:val="auto"/>
              </w:rPr>
            </w:pPr>
          </w:p>
        </w:tc>
        <w:tc>
          <w:tcPr>
            <w:tcW w:w="980" w:type="dxa"/>
            <w:vAlign w:val="bottom"/>
            <w:tcBorders>
              <w:bottom w:val="single" w:sz="8" w:color="9A9A9A"/>
            </w:tcBorders>
          </w:tcPr>
          <w:p>
            <w:pPr>
              <w:spacing w:after="0"/>
              <w:rPr>
                <w:sz w:val="16"/>
                <w:szCs w:val="16"/>
                <w:color w:val="auto"/>
              </w:rPr>
            </w:pPr>
          </w:p>
        </w:tc>
        <w:tc>
          <w:tcPr>
            <w:tcW w:w="1620" w:type="dxa"/>
            <w:vAlign w:val="bottom"/>
            <w:tcBorders>
              <w:bottom w:val="single" w:sz="8" w:color="9A9A9A"/>
            </w:tcBorders>
          </w:tcPr>
          <w:p>
            <w:pPr>
              <w:spacing w:after="0"/>
              <w:rPr>
                <w:sz w:val="16"/>
                <w:szCs w:val="16"/>
                <w:color w:val="auto"/>
              </w:rPr>
            </w:pPr>
          </w:p>
        </w:tc>
      </w:tr>
      <w:tr>
        <w:trPr>
          <w:trHeight w:val="253"/>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10153</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0"/>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spacing w:after="0"/>
              <w:rPr>
                <w:sz w:val="20"/>
                <w:szCs w:val="20"/>
                <w:color w:val="auto"/>
              </w:rPr>
            </w:pPr>
            <w:r>
              <w:rPr>
                <w:rFonts w:ascii="Arial" w:cs="Arial" w:eastAsia="Arial" w:hAnsi="Arial"/>
                <w:sz w:val="13"/>
                <w:szCs w:val="13"/>
                <w:color w:val="auto"/>
              </w:rPr>
              <w:t>Relationship of Reporting Person(s) to Issuer</w:t>
            </w:r>
          </w:p>
        </w:tc>
      </w:tr>
      <w:tr>
        <w:trPr>
          <w:trHeight w:val="205"/>
        </w:trPr>
        <w:tc>
          <w:tcPr>
            <w:tcW w:w="60" w:type="dxa"/>
            <w:vAlign w:val="bottom"/>
          </w:tcPr>
          <w:p>
            <w:pPr>
              <w:spacing w:after="0"/>
              <w:rPr>
                <w:sz w:val="17"/>
                <w:szCs w:val="17"/>
                <w:color w:val="auto"/>
              </w:rPr>
            </w:pPr>
          </w:p>
        </w:tc>
        <w:tc>
          <w:tcPr>
            <w:tcW w:w="3760" w:type="dxa"/>
            <w:vAlign w:val="bottom"/>
            <w:gridSpan w:val="3"/>
          </w:tcPr>
          <w:p>
            <w:pPr>
              <w:spacing w:after="0" w:line="200"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Perella Weinberg Partners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17"/>
                <w:szCs w:val="17"/>
                <w:color w:val="auto"/>
              </w:rPr>
            </w:pPr>
          </w:p>
        </w:tc>
      </w:tr>
      <w:tr>
        <w:trPr>
          <w:trHeight w:val="130"/>
        </w:trPr>
        <w:tc>
          <w:tcPr>
            <w:tcW w:w="60" w:type="dxa"/>
            <w:vAlign w:val="bottom"/>
            <w:tcBorders>
              <w:bottom w:val="single" w:sz="8" w:color="2C2C2C"/>
            </w:tcBorders>
          </w:tcPr>
          <w:p>
            <w:pPr>
              <w:spacing w:after="0"/>
              <w:rPr>
                <w:sz w:val="11"/>
                <w:szCs w:val="11"/>
                <w:color w:val="auto"/>
              </w:rPr>
            </w:pPr>
          </w:p>
        </w:tc>
        <w:tc>
          <w:tcPr>
            <w:tcW w:w="120" w:type="dxa"/>
            <w:vAlign w:val="bottom"/>
            <w:tcBorders>
              <w:top w:val="single" w:sz="8" w:color="0000EE"/>
              <w:bottom w:val="single" w:sz="8" w:color="2C2C2C"/>
            </w:tcBorders>
          </w:tcPr>
          <w:p>
            <w:pPr>
              <w:spacing w:after="0"/>
              <w:rPr>
                <w:sz w:val="11"/>
                <w:szCs w:val="11"/>
                <w:color w:val="auto"/>
              </w:rPr>
            </w:pPr>
          </w:p>
        </w:tc>
        <w:tc>
          <w:tcPr>
            <w:tcW w:w="1960" w:type="dxa"/>
            <w:vAlign w:val="bottom"/>
            <w:tcBorders>
              <w:top w:val="single" w:sz="8" w:color="0000EE"/>
              <w:bottom w:val="single" w:sz="8" w:color="2C2C2C"/>
            </w:tcBorders>
          </w:tcPr>
          <w:p>
            <w:pPr>
              <w:spacing w:after="0"/>
              <w:rPr>
                <w:sz w:val="11"/>
                <w:szCs w:val="11"/>
                <w:color w:val="auto"/>
              </w:rPr>
            </w:pPr>
          </w:p>
        </w:tc>
        <w:tc>
          <w:tcPr>
            <w:tcW w:w="16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4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 xml:space="preserve">X   </w:t>
            </w:r>
            <w:r>
              <w:rPr>
                <w:rFonts w:ascii="Arial" w:cs="Arial" w:eastAsia="Arial" w:hAnsi="Arial"/>
                <w:sz w:val="9"/>
                <w:szCs w:val="9"/>
                <w:color w:val="000000"/>
              </w:rPr>
              <w:t>Director</w:t>
            </w:r>
          </w:p>
        </w:tc>
        <w:tc>
          <w:tcPr>
            <w:tcW w:w="1460" w:type="dxa"/>
            <w:vAlign w:val="bottom"/>
          </w:tcPr>
          <w:p>
            <w:pPr>
              <w:ind w:left="320"/>
              <w:spacing w:after="0" w:line="105" w:lineRule="exact"/>
              <w:rPr>
                <w:sz w:val="20"/>
                <w:szCs w:val="20"/>
                <w:color w:val="auto"/>
              </w:rPr>
            </w:pPr>
            <w:r>
              <w:rPr>
                <w:rFonts w:ascii="Arial" w:cs="Arial" w:eastAsia="Arial" w:hAnsi="Arial"/>
                <w:sz w:val="11"/>
                <w:szCs w:val="11"/>
                <w:color w:val="auto"/>
              </w:rPr>
              <w:t>10% Owner</w:t>
            </w:r>
          </w:p>
        </w:tc>
      </w:tr>
      <w:tr>
        <w:trPr>
          <w:trHeight w:val="188"/>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6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211"/>
        </w:trPr>
        <w:tc>
          <w:tcPr>
            <w:tcW w:w="2140" w:type="dxa"/>
            <w:vAlign w:val="bottom"/>
            <w:gridSpan w:val="3"/>
          </w:tcPr>
          <w:p>
            <w:pPr>
              <w:ind w:left="60"/>
              <w:spacing w:after="0"/>
              <w:rPr>
                <w:sz w:val="20"/>
                <w:szCs w:val="20"/>
                <w:color w:val="auto"/>
              </w:rPr>
            </w:pPr>
            <w:r>
              <w:rPr>
                <w:rFonts w:ascii="Times New Roman" w:cs="Times New Roman" w:eastAsia="Times New Roman" w:hAnsi="Times New Roman"/>
                <w:sz w:val="16"/>
                <w:szCs w:val="16"/>
                <w:color w:val="0000FF"/>
              </w:rPr>
              <w:t>05/06/2024</w:t>
            </w:r>
          </w:p>
        </w:tc>
        <w:tc>
          <w:tcPr>
            <w:tcW w:w="1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ind w:left="400"/>
              <w:spacing w:after="0"/>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94"/>
        </w:trPr>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60" w:type="dxa"/>
            <w:vAlign w:val="bottom"/>
            <w:tcBorders>
              <w:bottom w:val="single" w:sz="8" w:color="2C2C2C"/>
            </w:tcBorders>
          </w:tcPr>
          <w:p>
            <w:pPr>
              <w:spacing w:after="0"/>
              <w:rPr>
                <w:sz w:val="8"/>
                <w:szCs w:val="8"/>
                <w:color w:val="auto"/>
              </w:rPr>
            </w:pPr>
          </w:p>
        </w:tc>
        <w:tc>
          <w:tcPr>
            <w:tcW w:w="16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75"/>
        </w:trPr>
        <w:tc>
          <w:tcPr>
            <w:tcW w:w="180" w:type="dxa"/>
            <w:vAlign w:val="bottom"/>
            <w:gridSpan w:val="2"/>
          </w:tcPr>
          <w:p>
            <w:pPr>
              <w:ind w:left="6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spacing w:after="0"/>
              <w:rPr>
                <w:sz w:val="20"/>
                <w:szCs w:val="20"/>
                <w:color w:val="auto"/>
              </w:rPr>
            </w:pPr>
            <w:r>
              <w:rPr>
                <w:rFonts w:ascii="Arial" w:cs="Arial" w:eastAsia="Arial" w:hAnsi="Arial"/>
                <w:sz w:val="13"/>
                <w:szCs w:val="13"/>
                <w:color w:val="auto"/>
              </w:rPr>
              <w:t>Individual or Joint/Group Filing (Check Applicable</w:t>
            </w:r>
          </w:p>
        </w:tc>
      </w:tr>
      <w:tr>
        <w:trPr>
          <w:trHeight w:val="165"/>
        </w:trPr>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1460" w:type="dxa"/>
            <w:vAlign w:val="bottom"/>
          </w:tcPr>
          <w:p>
            <w:pPr>
              <w:spacing w:after="0"/>
              <w:rPr>
                <w:sz w:val="14"/>
                <w:szCs w:val="14"/>
                <w:color w:val="auto"/>
              </w:rPr>
            </w:pPr>
          </w:p>
        </w:tc>
      </w:tr>
    </w:tbl>
    <w:p>
      <w:pPr>
        <w:ind w:left="4100"/>
        <w:spacing w:after="0" w:line="228" w:lineRule="auto"/>
        <w:tabs>
          <w:tab w:leader="none" w:pos="440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One Reporting Person</w:t>
      </w:r>
    </w:p>
    <w:p>
      <w:pPr>
        <w:spacing w:after="0" w:line="85" w:lineRule="exact"/>
        <w:rPr>
          <w:sz w:val="24"/>
          <w:szCs w:val="24"/>
          <w:color w:val="auto"/>
        </w:rPr>
      </w:pPr>
    </w:p>
    <w:p>
      <w:pPr>
        <w:ind w:left="4420"/>
        <w:spacing w:after="0"/>
        <w:rPr>
          <w:sz w:val="20"/>
          <w:szCs w:val="20"/>
          <w:color w:val="auto"/>
        </w:rPr>
      </w:pPr>
      <w:r>
        <w:rPr>
          <w:rFonts w:ascii="Arial" w:cs="Arial" w:eastAsia="Arial" w:hAnsi="Arial"/>
          <w:sz w:val="11"/>
          <w:szCs w:val="11"/>
          <w:color w:val="auto"/>
        </w:rPr>
        <w:t>Form filed by More than One Reporting Person</w:t>
      </w:r>
    </w:p>
    <w:p>
      <w:pPr>
        <w:spacing w:after="0" w:line="160"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09" w:lineRule="exact"/>
        <w:rPr>
          <w:sz w:val="24"/>
          <w:szCs w:val="24"/>
          <w:color w:val="auto"/>
        </w:rPr>
      </w:pPr>
    </w:p>
    <w:p>
      <w:pPr>
        <w:ind w:left="320" w:right="320"/>
        <w:spacing w:after="0" w:line="27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69" w:lineRule="exact"/>
        <w:rPr>
          <w:sz w:val="24"/>
          <w:szCs w:val="24"/>
          <w:color w:val="auto"/>
        </w:rPr>
      </w:pPr>
    </w:p>
    <w:p>
      <w:pPr>
        <w:sectPr>
          <w:pgSz w:w="11900" w:h="16838" w:orient="portrait"/>
          <w:cols w:equalWidth="0" w:num="2">
            <w:col w:w="3760" w:space="80"/>
            <w:col w:w="7240"/>
          </w:cols>
          <w:pgMar w:left="460" w:top="214"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4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60" w:type="dxa"/>
            <w:vAlign w:val="bottom"/>
          </w:tcPr>
          <w:p>
            <w:pPr>
              <w:ind w:left="1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ind w:left="84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60" w:type="dxa"/>
            <w:vAlign w:val="bottom"/>
          </w:tcPr>
          <w:p>
            <w:pPr>
              <w:ind w:left="120"/>
              <w:spacing w:after="0" w:line="125" w:lineRule="exact"/>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60" w:type="dxa"/>
            <w:vAlign w:val="bottom"/>
          </w:tcPr>
          <w:p>
            <w:pPr>
              <w:spacing w:after="0"/>
              <w:rPr>
                <w:sz w:val="5"/>
                <w:szCs w:val="5"/>
                <w:color w:val="auto"/>
              </w:rPr>
            </w:pPr>
          </w:p>
        </w:tc>
        <w:tc>
          <w:tcPr>
            <w:tcW w:w="820" w:type="dxa"/>
            <w:vAlign w:val="bottom"/>
            <w:vMerge w:val="restart"/>
          </w:tcPr>
          <w:p>
            <w:pPr>
              <w:ind w:left="10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line="125" w:lineRule="exact"/>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6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2"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2" w:lineRule="exact"/>
        <w:rPr>
          <w:sz w:val="24"/>
          <w:szCs w:val="24"/>
          <w:color w:val="auto"/>
        </w:rPr>
      </w:pPr>
    </w:p>
    <w:tbl>
      <w:tblPr>
        <w:tblLayout w:type="fixed"/>
        <w:tblInd w:w="20" w:type="dxa"/>
        <w:tblCellMar>
          <w:top w:w="0" w:type="dxa"/>
          <w:left w:w="0" w:type="dxa"/>
          <w:bottom w:w="0" w:type="dxa"/>
          <w:right w:w="0" w:type="dxa"/>
        </w:tblCellMar>
      </w:tblPr>
      <w:tr>
        <w:trPr>
          <w:trHeight w:val="126"/>
        </w:trPr>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380" w:type="dxa"/>
            <w:vAlign w:val="bottom"/>
            <w:gridSpan w:val="2"/>
          </w:tcPr>
          <w:p>
            <w:pPr>
              <w:ind w:left="80"/>
              <w:spacing w:after="0"/>
              <w:rPr>
                <w:sz w:val="20"/>
                <w:szCs w:val="20"/>
                <w:color w:val="auto"/>
              </w:rPr>
            </w:pPr>
            <w:r>
              <w:rPr>
                <w:rFonts w:ascii="Arial" w:cs="Arial" w:eastAsia="Arial" w:hAnsi="Arial"/>
                <w:sz w:val="11"/>
                <w:szCs w:val="11"/>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0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Securities Underlying</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4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Form:</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5"/>
        </w:trPr>
        <w:tc>
          <w:tcPr>
            <w:tcW w:w="6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4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Acquired (A)</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38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5)</w:t>
            </w: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Direct (D)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Disposed of</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or Indirect</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 (Instr. 3, 4</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and 5)</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Amount or</w:t>
            </w:r>
          </w:p>
        </w:tc>
        <w:tc>
          <w:tcPr>
            <w:tcW w:w="680" w:type="dxa"/>
            <w:vAlign w:val="bottom"/>
          </w:tcPr>
          <w:p>
            <w:pPr>
              <w:spacing w:after="0"/>
              <w:rPr>
                <w:sz w:val="10"/>
                <w:szCs w:val="10"/>
                <w:color w:val="auto"/>
              </w:rPr>
            </w:pPr>
          </w:p>
        </w:tc>
        <w:tc>
          <w:tcPr>
            <w:tcW w:w="9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00" w:type="dxa"/>
            <w:vAlign w:val="bottom"/>
          </w:tcPr>
          <w:p>
            <w:pPr>
              <w:spacing w:after="0"/>
              <w:rPr>
                <w:sz w:val="10"/>
                <w:szCs w:val="10"/>
                <w:color w:val="auto"/>
              </w:rPr>
            </w:pPr>
          </w:p>
        </w:tc>
        <w:tc>
          <w:tcPr>
            <w:tcW w:w="7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Number of</w:t>
            </w:r>
          </w:p>
        </w:tc>
        <w:tc>
          <w:tcPr>
            <w:tcW w:w="6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0"/>
                <w:szCs w:val="10"/>
                <w:color w:val="008000"/>
              </w:rPr>
              <w:t>(2)</w:t>
            </w:r>
          </w:p>
        </w:tc>
        <w:tc>
          <w:tcPr>
            <w:tcW w:w="920" w:type="dxa"/>
            <w:vAlign w:val="bottom"/>
          </w:tcPr>
          <w:p>
            <w:pPr>
              <w:spacing w:after="0"/>
              <w:rPr>
                <w:sz w:val="15"/>
                <w:szCs w:val="1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225"/>
              <w:spacing w:after="0"/>
              <w:rPr>
                <w:sz w:val="20"/>
                <w:szCs w:val="20"/>
                <w:color w:val="auto"/>
              </w:rPr>
            </w:pPr>
            <w:r>
              <w:rPr>
                <w:rFonts w:ascii="Times New Roman" w:cs="Times New Roman" w:eastAsia="Times New Roman" w:hAnsi="Times New Roman"/>
                <w:sz w:val="10"/>
                <w:szCs w:val="10"/>
                <w:color w:val="008000"/>
              </w:rPr>
              <w:t>(1)</w:t>
            </w:r>
          </w:p>
        </w:tc>
        <w:tc>
          <w:tcPr>
            <w:tcW w:w="60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780" w:type="dxa"/>
            <w:vAlign w:val="bottom"/>
            <w:vMerge w:val="restart"/>
          </w:tcPr>
          <w:p>
            <w:pPr>
              <w:ind w:left="80"/>
              <w:spacing w:after="0"/>
              <w:rPr>
                <w:sz w:val="20"/>
                <w:szCs w:val="20"/>
                <w:color w:val="auto"/>
              </w:rPr>
            </w:pPr>
            <w:r>
              <w:rPr>
                <w:rFonts w:ascii="Times New Roman" w:cs="Times New Roman" w:eastAsia="Times New Roman" w:hAnsi="Times New Roman"/>
                <w:sz w:val="16"/>
                <w:szCs w:val="16"/>
                <w:color w:val="0000FF"/>
              </w:rPr>
              <w:t>6,149.211</w:t>
            </w:r>
          </w:p>
        </w:tc>
        <w:tc>
          <w:tcPr>
            <w:tcW w:w="6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660" w:type="dxa"/>
            <w:vAlign w:val="bottom"/>
          </w:tcPr>
          <w:p>
            <w:pPr>
              <w:ind w:left="6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1"/>
                <w:szCs w:val="11"/>
                <w:color w:val="auto"/>
              </w:rPr>
            </w:pPr>
          </w:p>
        </w:tc>
        <w:tc>
          <w:tcPr>
            <w:tcW w:w="1040" w:type="dxa"/>
            <w:vAlign w:val="bottom"/>
          </w:tcPr>
          <w:p>
            <w:pPr>
              <w:jc w:val="right"/>
              <w:ind w:right="182"/>
              <w:spacing w:after="0" w:line="138" w:lineRule="exact"/>
              <w:rPr>
                <w:sz w:val="20"/>
                <w:szCs w:val="20"/>
                <w:color w:val="auto"/>
              </w:rPr>
            </w:pPr>
            <w:r>
              <w:rPr>
                <w:rFonts w:ascii="Times New Roman" w:cs="Times New Roman" w:eastAsia="Times New Roman" w:hAnsi="Times New Roman"/>
                <w:sz w:val="13"/>
                <w:szCs w:val="13"/>
                <w:color w:val="0000FF"/>
              </w:rPr>
              <w:t>05/06/2024</w:t>
            </w:r>
          </w:p>
        </w:tc>
        <w:tc>
          <w:tcPr>
            <w:tcW w:w="106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920" w:type="dxa"/>
            <w:vAlign w:val="bottom"/>
          </w:tcPr>
          <w:p>
            <w:pPr>
              <w:ind w:left="360"/>
              <w:spacing w:after="0" w:line="138" w:lineRule="exact"/>
              <w:rPr>
                <w:sz w:val="20"/>
                <w:szCs w:val="20"/>
                <w:color w:val="auto"/>
              </w:rPr>
            </w:pPr>
            <w:r>
              <w:rPr>
                <w:rFonts w:ascii="Times New Roman" w:cs="Times New Roman" w:eastAsia="Times New Roman" w:hAnsi="Times New Roman"/>
                <w:sz w:val="13"/>
                <w:szCs w:val="13"/>
                <w:color w:val="0000FF"/>
              </w:rPr>
              <w:t>6,149,211</w:t>
            </w:r>
          </w:p>
        </w:tc>
        <w:tc>
          <w:tcPr>
            <w:tcW w:w="76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00" w:type="dxa"/>
            <w:vAlign w:val="bottom"/>
          </w:tcPr>
          <w:p>
            <w:pPr>
              <w:ind w:left="80"/>
              <w:spacing w:after="0" w:line="138"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1"/>
                <w:szCs w:val="11"/>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0.01</w:t>
            </w:r>
          </w:p>
        </w:tc>
        <w:tc>
          <w:tcPr>
            <w:tcW w:w="900" w:type="dxa"/>
            <w:vAlign w:val="bottom"/>
          </w:tcPr>
          <w:p>
            <w:pPr>
              <w:ind w:left="180"/>
              <w:spacing w:after="0" w:line="138" w:lineRule="exact"/>
              <w:rPr>
                <w:sz w:val="20"/>
                <w:szCs w:val="20"/>
                <w:color w:val="auto"/>
              </w:rPr>
            </w:pPr>
            <w:r>
              <w:rPr>
                <w:rFonts w:ascii="Times New Roman" w:cs="Times New Roman" w:eastAsia="Times New Roman" w:hAnsi="Times New Roman"/>
                <w:sz w:val="13"/>
                <w:szCs w:val="13"/>
                <w:color w:val="0000FF"/>
              </w:rPr>
              <w:t>33,524,510</w:t>
            </w:r>
          </w:p>
        </w:tc>
        <w:tc>
          <w:tcPr>
            <w:tcW w:w="720" w:type="dxa"/>
            <w:vAlign w:val="bottom"/>
          </w:tcPr>
          <w:p>
            <w:pPr>
              <w:ind w:left="320"/>
              <w:spacing w:after="0" w:line="138" w:lineRule="exact"/>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4"/>
          <w:szCs w:val="24"/>
          <w:color w:val="auto"/>
        </w:rPr>
      </w:pPr>
    </w:p>
    <w:p>
      <w:pPr>
        <w:ind w:left="40" w:right="180" w:hanging="2"/>
        <w:spacing w:after="0" w:line="229" w:lineRule="auto"/>
        <w:tabs>
          <w:tab w:leader="none" w:pos="165"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PWP Holdings LP ("PWP OpCo") Common Units (which represent Class A partnership units of PWP OpCo) ("PWP OpCo Units") held by partners other than the Issuer can be exchanged for Issuer stock or cash on certain dates. Concurrently with an exchange of PWP OpCo Units for shares of Issuer Class A common stock ("Class A Shares") or cash by an exchanging PWP OpCo unitholder ("Unitholder"), such Unitholder will be required to surrender to the Issuer a number of Issuer Class B-1 common stock ("Class B-1 Shares") equal to the number of PWP OpCo Units exchanged, and such Class B-1 Shares will be converted into Class A Shares or, at the option of the Issuer, an equivalent amount of cash, which will be delivered to such Unitholder at a conversion rate of 0.001 Class A Share for one Class B-1 Share. The Reporting Person will distribute such Class B-1 Shares to the applicable Unitholder immediately prior to any such exchange.</w:t>
      </w:r>
    </w:p>
    <w:p>
      <w:pPr>
        <w:spacing w:after="0" w:line="24"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Issuer's repurchase of 6,149,211 Class B-1 Shares from the Reporting Person in connection with the cancellation of certain partnership units.</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4" w:lineRule="exact"/>
        <w:rPr>
          <w:sz w:val="24"/>
          <w:szCs w:val="24"/>
          <w:color w:val="auto"/>
        </w:rPr>
      </w:pPr>
    </w:p>
    <w:p>
      <w:pPr>
        <w:ind w:left="40" w:right="160"/>
        <w:spacing w:after="0" w:line="331" w:lineRule="auto"/>
        <w:rPr>
          <w:sz w:val="20"/>
          <w:szCs w:val="20"/>
          <w:color w:val="auto"/>
        </w:rPr>
      </w:pPr>
      <w:r>
        <w:rPr>
          <w:rFonts w:ascii="Times New Roman" w:cs="Times New Roman" w:eastAsia="Times New Roman" w:hAnsi="Times New Roman"/>
          <w:sz w:val="11"/>
          <w:szCs w:val="11"/>
          <w:color w:val="008000"/>
        </w:rPr>
        <w:t>Solely for purposes of Section 16 of the Securities Exchange Act of 1934, as amended, the Reporting Person may be deemed a director by deputization with respect to the Issuer by virtue of the Reporting Person's right to designate a majority of the Issuer's board of directors, subject to certain conditions, pursuant to the Stockholder's Agreement, dated June 24, 2021, by and between the Issuer and the Reporting Person.</w:t>
      </w:r>
    </w:p>
    <w:tbl>
      <w:tblPr>
        <w:tblLayout w:type="fixed"/>
        <w:tblInd w:w="6600" w:type="dxa"/>
        <w:tblCellMar>
          <w:top w:w="0" w:type="dxa"/>
          <w:left w:w="0" w:type="dxa"/>
          <w:bottom w:w="0" w:type="dxa"/>
          <w:right w:w="0" w:type="dxa"/>
        </w:tblCellMar>
      </w:tblPr>
      <w:tr>
        <w:trPr>
          <w:trHeight w:val="177"/>
        </w:trPr>
        <w:tc>
          <w:tcPr>
            <w:tcW w:w="2000" w:type="dxa"/>
            <w:vAlign w:val="bottom"/>
            <w:gridSpan w:val="3"/>
          </w:tcPr>
          <w:p>
            <w:pPr>
              <w:spacing w:after="0" w:line="177" w:lineRule="exact"/>
              <w:rPr>
                <w:sz w:val="20"/>
                <w:szCs w:val="20"/>
                <w:color w:val="auto"/>
              </w:rPr>
            </w:pPr>
            <w:r>
              <w:rPr>
                <w:rFonts w:ascii="Times New Roman" w:cs="Times New Roman" w:eastAsia="Times New Roman" w:hAnsi="Times New Roman"/>
                <w:sz w:val="16"/>
                <w:szCs w:val="16"/>
                <w:color w:val="0000FF"/>
              </w:rPr>
              <w:t>/s/ Mark Polemeni, as</w:t>
            </w:r>
          </w:p>
        </w:tc>
        <w:tc>
          <w:tcPr>
            <w:tcW w:w="9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color w:val="0000FF"/>
                <w:w w:val="98"/>
              </w:rPr>
              <w:t>05/08/2024</w:t>
            </w:r>
          </w:p>
        </w:tc>
        <w:tc>
          <w:tcPr>
            <w:tcW w:w="0" w:type="dxa"/>
            <w:vAlign w:val="bottom"/>
          </w:tcPr>
          <w:p>
            <w:pPr>
              <w:spacing w:after="0"/>
              <w:rPr>
                <w:sz w:val="1"/>
                <w:szCs w:val="1"/>
                <w:color w:val="auto"/>
              </w:rPr>
            </w:pPr>
          </w:p>
        </w:tc>
      </w:tr>
      <w:tr>
        <w:trPr>
          <w:trHeight w:val="80"/>
        </w:trPr>
        <w:tc>
          <w:tcPr>
            <w:tcW w:w="1400" w:type="dxa"/>
            <w:vAlign w:val="bottom"/>
            <w:tcBorders>
              <w:top w:val="single" w:sz="8" w:color="auto"/>
            </w:tcBorders>
            <w:gridSpan w:val="2"/>
            <w:vMerge w:val="restart"/>
          </w:tcPr>
          <w:p>
            <w:pPr>
              <w:spacing w:after="0" w:line="180" w:lineRule="exact"/>
              <w:rPr>
                <w:sz w:val="20"/>
                <w:szCs w:val="20"/>
                <w:color w:val="auto"/>
              </w:rPr>
            </w:pPr>
            <w:r>
              <w:rPr>
                <w:rFonts w:ascii="Times New Roman" w:cs="Times New Roman" w:eastAsia="Times New Roman" w:hAnsi="Times New Roman"/>
                <w:sz w:val="16"/>
                <w:szCs w:val="16"/>
                <w:color w:val="0000FF"/>
              </w:rPr>
              <w:t>Authorized Person</w:t>
            </w:r>
          </w:p>
        </w:tc>
        <w:tc>
          <w:tcPr>
            <w:tcW w:w="600" w:type="dxa"/>
            <w:vAlign w:val="bottom"/>
            <w:vMerge w:val="restart"/>
          </w:tcPr>
          <w:p>
            <w:pPr>
              <w:spacing w:after="0"/>
              <w:rPr>
                <w:sz w:val="6"/>
                <w:szCs w:val="6"/>
                <w:color w:val="auto"/>
              </w:rPr>
            </w:pPr>
          </w:p>
        </w:tc>
        <w:tc>
          <w:tcPr>
            <w:tcW w:w="9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400" w:type="dxa"/>
            <w:vAlign w:val="bottom"/>
            <w:tcBorders>
              <w:top w:val="single" w:sz="8" w:color="auto"/>
            </w:tcBorders>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20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8" w:lineRule="exact"/>
        <w:rPr>
          <w:sz w:val="24"/>
          <w:szCs w:val="24"/>
          <w:color w:val="auto"/>
        </w:rPr>
      </w:pPr>
    </w:p>
    <w:p>
      <w:pPr>
        <w:jc w:val="both"/>
        <w:ind w:left="40" w:right="3820" w:hanging="2"/>
        <w:spacing w:after="0" w:line="355" w:lineRule="auto"/>
        <w:tabs>
          <w:tab w:leader="none" w:pos="172" w:val="left"/>
        </w:tabs>
        <w:numPr>
          <w:ilvl w:val="0"/>
          <w:numId w:val="2"/>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4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4"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2006612"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2024-05-08T19:01:44Z</dcterms:created>
  <dcterms:modified xsi:type="dcterms:W3CDTF">2024-05-08T19:01:44Z</dcterms:modified>
</cp:coreProperties>
</file>