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448945</wp:posOffset>
            </wp:positionH>
            <wp:positionV relativeFrom="page">
              <wp:posOffset>419100</wp:posOffset>
            </wp:positionV>
            <wp:extent cx="6873875" cy="152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3875" cy="152400"/>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40pt,5.55pt" o:allowincell="f" strokecolor="#000000" strokeweight="1pt"/>
            </w:pict>
          </mc:Fallback>
        </mc:AlternateConten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86995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5pt" to="540pt,6.85pt" o:allowincell="f" strokecolor="#000000" strokeweight="1pt"/>
            </w:pict>
          </mc:Fallback>
        </mc:AlternateContent>
      </w:r>
    </w:p>
    <w:p>
      <w:pPr>
        <w:spacing w:after="0" w:line="2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8" w:lineRule="exact"/>
        <w:rPr>
          <w:sz w:val="24"/>
          <w:szCs w:val="24"/>
          <w:color w:val="auto"/>
        </w:rPr>
      </w:pPr>
    </w:p>
    <w:p>
      <w:pPr>
        <w:ind w:left="280" w:hanging="246"/>
        <w:spacing w:after="0"/>
        <w:tabs>
          <w:tab w:leader="none" w:pos="280" w:val="left"/>
        </w:tabs>
        <w:numPr>
          <w:ilvl w:val="0"/>
          <w:numId w:val="1"/>
        </w:numPr>
        <w:rPr>
          <w:rFonts w:ascii="MS PGothic" w:cs="MS PGothic" w:eastAsia="MS PGothic" w:hAnsi="MS PGothic"/>
          <w:sz w:val="20"/>
          <w:szCs w:val="20"/>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7" w:lineRule="exact"/>
        <w:rPr>
          <w:sz w:val="24"/>
          <w:szCs w:val="24"/>
          <w:color w:val="auto"/>
        </w:rPr>
      </w:pPr>
    </w:p>
    <w:p>
      <w:pPr>
        <w:ind w:left="220" w:hanging="186"/>
        <w:spacing w:after="0"/>
        <w:tabs>
          <w:tab w:leader="none" w:pos="220" w:val="left"/>
        </w:tabs>
        <w:numPr>
          <w:ilvl w:val="0"/>
          <w:numId w:val="2"/>
        </w:numPr>
        <w:rPr>
          <w:rFonts w:ascii="MS PGothic" w:cs="MS PGothic" w:eastAsia="MS PGothic" w:hAnsi="MS PGothic"/>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2240" w:h="15840" w:orient="portrait"/>
          <w:cols w:equalWidth="0" w:num="1">
            <w:col w:w="10800"/>
          </w:cols>
          <w:pgMar w:left="720" w:top="756" w:right="720" w:bottom="727"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34" w:lineRule="exact"/>
        <w:rPr>
          <w:sz w:val="24"/>
          <w:szCs w:val="24"/>
          <w:color w:val="auto"/>
        </w:rPr>
      </w:pPr>
    </w:p>
    <w:p>
      <w:pPr>
        <w:sectPr>
          <w:pgSz w:w="12240" w:h="15840" w:orient="portrait"/>
          <w:cols w:equalWidth="0" w:num="2">
            <w:col w:w="6780" w:space="640"/>
            <w:col w:w="3380"/>
          </w:cols>
          <w:pgMar w:left="720" w:top="756" w:right="720" w:bottom="727"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001-39558</w:t>
      </w:r>
    </w:p>
    <w:p>
      <w:pPr>
        <w:sectPr>
          <w:pgSz w:w="12240" w:h="15840" w:orient="portrait"/>
          <w:cols w:equalWidth="0" w:num="1">
            <w:col w:w="10800"/>
          </w:cols>
          <w:pgMar w:left="720" w:top="756" w:right="720" w:bottom="727" w:gutter="0" w:footer="0" w:header="0"/>
          <w:type w:val="continuous"/>
        </w:sectPr>
      </w:pP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-266700</wp:posOffset>
                </wp:positionV>
                <wp:extent cx="68484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pt" to="539.6pt,-21pt" o:allowincell="f" strokecolor="#000000" strokeweight="1pt"/>
            </w:pict>
          </mc:Fallback>
        </mc:AlternateConten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109855</wp:posOffset>
                </wp:positionV>
                <wp:extent cx="68484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8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65pt" to="539.6pt,8.65pt" o:allowincell="f" strokecolor="#000000" strokeweight="1pt"/>
            </w:pict>
          </mc:Fallback>
        </mc:AlternateContent>
      </w:r>
    </w:p>
    <w:p>
      <w:pPr>
        <w:spacing w:after="0" w:line="238" w:lineRule="exact"/>
        <w:rPr>
          <w:sz w:val="24"/>
          <w:szCs w:val="24"/>
          <w:color w:val="auto"/>
        </w:rPr>
      </w:pPr>
    </w:p>
    <w:tbl>
      <w:tblPr>
        <w:tblLayout w:type="fixed"/>
        <w:tblInd w:w="1020" w:type="dxa"/>
        <w:tblCellMar>
          <w:top w:w="0" w:type="dxa"/>
          <w:left w:w="0" w:type="dxa"/>
          <w:bottom w:w="0" w:type="dxa"/>
          <w:right w:w="0" w:type="dxa"/>
        </w:tblCellMar>
      </w:tblPr>
      <w:tr>
        <w:trPr>
          <w:trHeight w:val="264"/>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240" w:type="dxa"/>
            <w:vAlign w:val="bottom"/>
          </w:tcPr>
          <w:p>
            <w:pPr>
              <w:jc w:val="right"/>
              <w:ind w:right="495"/>
              <w:spacing w:after="0"/>
              <w:rPr>
                <w:sz w:val="20"/>
                <w:szCs w:val="20"/>
                <w:color w:val="auto"/>
              </w:rPr>
            </w:pPr>
            <w:r>
              <w:rPr>
                <w:rFonts w:ascii="Times New Roman" w:cs="Times New Roman" w:eastAsia="Times New Roman" w:hAnsi="Times New Roman"/>
                <w:sz w:val="20"/>
                <w:szCs w:val="20"/>
                <w:b w:val="1"/>
                <w:bCs w:val="1"/>
                <w:color w:val="auto"/>
              </w:rPr>
              <w:t>84-1770732</w:t>
            </w:r>
          </w:p>
        </w:tc>
        <w:tc>
          <w:tcPr>
            <w:tcW w:w="0" w:type="dxa"/>
            <w:vAlign w:val="bottom"/>
          </w:tcPr>
          <w:p>
            <w:pPr>
              <w:spacing w:after="0"/>
              <w:rPr>
                <w:sz w:val="1"/>
                <w:szCs w:val="1"/>
                <w:color w:val="auto"/>
              </w:rPr>
            </w:pPr>
          </w:p>
        </w:tc>
      </w:tr>
      <w:tr>
        <w:trPr>
          <w:trHeight w:val="226"/>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w w:val="99"/>
              </w:rPr>
              <w:t>( State or other jurisdiction of incorporation or organization)</w:t>
            </w:r>
          </w:p>
        </w:tc>
        <w:tc>
          <w:tcPr>
            <w:tcW w:w="3240" w:type="dxa"/>
            <w:vAlign w:val="bottom"/>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c>
          <w:tcPr>
            <w:tcW w:w="0" w:type="dxa"/>
            <w:vAlign w:val="bottom"/>
          </w:tcPr>
          <w:p>
            <w:pPr>
              <w:spacing w:after="0"/>
              <w:rPr>
                <w:sz w:val="1"/>
                <w:szCs w:val="1"/>
                <w:color w:val="auto"/>
              </w:rPr>
            </w:pPr>
          </w:p>
        </w:tc>
      </w:tr>
      <w:tr>
        <w:trPr>
          <w:trHeight w:val="228"/>
        </w:trPr>
        <w:tc>
          <w:tcPr>
            <w:tcW w:w="4760" w:type="dxa"/>
            <w:vAlign w:val="bottom"/>
          </w:tcPr>
          <w:p>
            <w:pPr>
              <w:jc w:val="center"/>
              <w:ind w:right="1032"/>
              <w:spacing w:after="0" w:line="228" w:lineRule="exact"/>
              <w:rPr>
                <w:sz w:val="20"/>
                <w:szCs w:val="20"/>
                <w:color w:val="auto"/>
              </w:rPr>
            </w:pPr>
            <w:r>
              <w:rPr>
                <w:rFonts w:ascii="Times New Roman" w:cs="Times New Roman" w:eastAsia="Times New Roman" w:hAnsi="Times New Roman"/>
                <w:sz w:val="20"/>
                <w:szCs w:val="20"/>
                <w:b w:val="1"/>
                <w:bCs w:val="1"/>
                <w:color w:val="auto"/>
              </w:rPr>
              <w:t>767 Fifth Avenue</w:t>
            </w:r>
          </w:p>
        </w:tc>
        <w:tc>
          <w:tcPr>
            <w:tcW w:w="3240" w:type="dxa"/>
            <w:vAlign w:val="bottom"/>
            <w:vMerge w:val="restart"/>
          </w:tcPr>
          <w:p>
            <w:pPr>
              <w:jc w:val="right"/>
              <w:ind w:right="735"/>
              <w:spacing w:after="0"/>
              <w:rPr>
                <w:sz w:val="20"/>
                <w:szCs w:val="20"/>
                <w:color w:val="auto"/>
              </w:rPr>
            </w:pPr>
            <w:r>
              <w:rPr>
                <w:rFonts w:ascii="Times New Roman" w:cs="Times New Roman" w:eastAsia="Times New Roman" w:hAnsi="Times New Roman"/>
                <w:sz w:val="20"/>
                <w:szCs w:val="20"/>
                <w:b w:val="1"/>
                <w:bCs w:val="1"/>
                <w:color w:val="auto"/>
              </w:rPr>
              <w:t>10153</w:t>
            </w:r>
          </w:p>
        </w:tc>
        <w:tc>
          <w:tcPr>
            <w:tcW w:w="0" w:type="dxa"/>
            <w:vAlign w:val="bottom"/>
          </w:tcPr>
          <w:p>
            <w:pPr>
              <w:spacing w:after="0"/>
              <w:rPr>
                <w:sz w:val="1"/>
                <w:szCs w:val="1"/>
                <w:color w:val="auto"/>
              </w:rPr>
            </w:pPr>
          </w:p>
        </w:tc>
      </w:tr>
      <w:tr>
        <w:trPr>
          <w:trHeight w:val="264"/>
        </w:trPr>
        <w:tc>
          <w:tcPr>
            <w:tcW w:w="4760" w:type="dxa"/>
            <w:vAlign w:val="bottom"/>
          </w:tcPr>
          <w:p>
            <w:pPr>
              <w:jc w:val="center"/>
              <w:ind w:right="1012"/>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760" w:type="dxa"/>
            <w:vAlign w:val="bottom"/>
          </w:tcPr>
          <w:p>
            <w:pPr>
              <w:jc w:val="center"/>
              <w:ind w:right="103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035"/>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(212) 287-3200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540pt,10.15pt" o:allowincell="f" strokecolor="#000000" strokeweight="1pt"/>
            </w:pict>
          </mc:Fallback>
        </mc:AlternateConten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6"/>
                <w:szCs w:val="16"/>
                <w:color w:val="auto"/>
              </w:rPr>
            </w:pPr>
          </w:p>
        </w:tc>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PWP</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69"/>
        </w:trPr>
        <w:tc>
          <w:tcPr>
            <w:tcW w:w="8160" w:type="dxa"/>
            <w:vAlign w:val="bottom"/>
            <w:gridSpan w:val="6"/>
          </w:tcPr>
          <w:p>
            <w:pPr>
              <w:ind w:left="2980"/>
              <w:spacing w:after="0"/>
              <w:rPr>
                <w:sz w:val="20"/>
                <w:szCs w:val="20"/>
                <w:color w:val="auto"/>
              </w:rPr>
            </w:pPr>
            <w:r>
              <w:rPr>
                <w:rFonts w:ascii="Times New Roman" w:cs="Times New Roman" w:eastAsia="Times New Roman" w:hAnsi="Times New Roman"/>
                <w:sz w:val="18"/>
                <w:szCs w:val="18"/>
                <w:color w:val="auto"/>
              </w:rPr>
              <w:t>Securities registered pursuant to the Section 12(g) of the Act: None</w:t>
            </w:r>
          </w:p>
        </w:tc>
        <w:tc>
          <w:tcPr>
            <w:tcW w:w="2640" w:type="dxa"/>
            <w:vAlign w:val="bottom"/>
          </w:tcPr>
          <w:p>
            <w:pPr>
              <w:spacing w:after="0"/>
              <w:rPr>
                <w:sz w:val="23"/>
                <w:szCs w:val="23"/>
                <w:color w:val="auto"/>
              </w:rPr>
            </w:pPr>
          </w:p>
        </w:tc>
      </w:tr>
      <w:tr>
        <w:trPr>
          <w:trHeight w:val="36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0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p>
        </w:tc>
        <w:tc>
          <w:tcPr>
            <w:tcW w:w="2640" w:type="dxa"/>
            <w:vAlign w:val="bottom"/>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tc>
      </w:tr>
      <w:tr>
        <w:trPr>
          <w:trHeight w:val="280"/>
        </w:trPr>
        <w:tc>
          <w:tcPr>
            <w:tcW w:w="75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600" w:type="dxa"/>
            <w:vAlign w:val="bottom"/>
          </w:tcPr>
          <w:p>
            <w:pPr>
              <w:ind w:left="60"/>
              <w:spacing w:after="0" w:line="184" w:lineRule="exact"/>
              <w:rPr>
                <w:sz w:val="20"/>
                <w:szCs w:val="20"/>
                <w:color w:val="auto"/>
              </w:rPr>
            </w:pP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w:t>
            </w:r>
          </w:p>
        </w:tc>
        <w:tc>
          <w:tcPr>
            <w:tcW w:w="2640" w:type="dxa"/>
            <w:vAlign w:val="bottom"/>
          </w:tcPr>
          <w:p>
            <w:pPr>
              <w:ind w:left="20"/>
              <w:spacing w:after="0" w:line="161" w:lineRule="exact"/>
              <w:rPr>
                <w:sz w:val="20"/>
                <w:szCs w:val="20"/>
                <w:color w:val="auto"/>
              </w:rPr>
            </w:pPr>
            <w:r>
              <w:rPr>
                <w:rFonts w:ascii="MS PGothic" w:cs="MS PGothic" w:eastAsia="MS PGothic" w:hAnsi="MS PGothic"/>
                <w:sz w:val="16"/>
                <w:szCs w:val="16"/>
                <w:b w:val="1"/>
                <w:bCs w:val="1"/>
                <w:color w:val="auto"/>
              </w:rPr>
              <w:t>☒</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3381375</wp:posOffset>
                </wp:positionH>
                <wp:positionV relativeFrom="paragraph">
                  <wp:posOffset>-715645</wp:posOffset>
                </wp:positionV>
                <wp:extent cx="666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25pt,-56.3499pt" to="271.5pt,-56.3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-715645</wp:posOffset>
                </wp:positionV>
                <wp:extent cx="4648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8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3499pt" to="366pt,-56.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4581525</wp:posOffset>
                </wp:positionH>
                <wp:positionV relativeFrom="paragraph">
                  <wp:posOffset>-715645</wp:posOffset>
                </wp:positionV>
                <wp:extent cx="666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75pt,-56.3499pt" to="366pt,-56.3499pt" o:allowincell="f" strokecolor="#FFFFFF" strokeweight="1pt"/>
            </w:pict>
          </mc:Fallback>
        </mc:AlternateContent>
      </w:r>
    </w:p>
    <w:p>
      <w:pPr>
        <w:spacing w:after="0" w:line="37" w:lineRule="exact"/>
        <w:rPr>
          <w:sz w:val="24"/>
          <w:szCs w:val="24"/>
          <w:color w:val="auto"/>
        </w:rPr>
      </w:pPr>
    </w:p>
    <w:p>
      <w:pPr>
        <w:ind w:right="8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10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4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360"/>
        <w:spacing w:after="0" w:line="184" w:lineRule="exact"/>
        <w:tabs>
          <w:tab w:leader="none" w:pos="2100" w:val="left"/>
          <w:tab w:leader="none" w:pos="2400" w:val="left"/>
          <w:tab w:leader="none" w:pos="3720" w:val="left"/>
          <w:tab w:leader="none" w:pos="4020" w:val="left"/>
          <w:tab w:leader="none" w:pos="5520" w:val="left"/>
          <w:tab w:leader="none" w:pos="5820" w:val="left"/>
          <w:tab w:leader="none" w:pos="79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b w:val="1"/>
          <w:bCs w:val="1"/>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b w:val="1"/>
          <w:bCs w:val="1"/>
          <w:color w:val="auto"/>
        </w:rPr>
        <w:t>☐</w:t>
      </w:r>
    </w:p>
    <w:p>
      <w:pPr>
        <w:spacing w:after="0" w:line="132" w:lineRule="exact"/>
        <w:rPr>
          <w:sz w:val="24"/>
          <w:szCs w:val="24"/>
          <w:color w:val="auto"/>
        </w:rPr>
      </w:pPr>
    </w:p>
    <w:p>
      <w:pPr>
        <w:ind w:right="260"/>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jc w:val="both"/>
        <w:ind w:right="460"/>
        <w:spacing w:after="0" w:line="1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60"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58" w:lineRule="exact"/>
        <w:rPr>
          <w:sz w:val="24"/>
          <w:szCs w:val="24"/>
          <w:color w:val="auto"/>
        </w:rPr>
      </w:pPr>
    </w:p>
    <w:p>
      <w:pPr>
        <w:ind w:right="20"/>
        <w:spacing w:after="0" w:line="19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46" w:lineRule="exact"/>
        <w:rPr>
          <w:sz w:val="24"/>
          <w:szCs w:val="24"/>
          <w:color w:val="auto"/>
        </w:rPr>
      </w:pPr>
    </w:p>
    <w:p>
      <w:pPr>
        <w:spacing w:after="0" w:line="184" w:lineRule="exact"/>
        <w:tabs>
          <w:tab w:leader="none" w:pos="7400" w:val="left"/>
          <w:tab w:leader="none" w:pos="80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148"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6"/>
          <w:szCs w:val="16"/>
          <w:color w:val="auto"/>
        </w:rPr>
        <w:t>The aggregate market value of the common stock of the registrant held by non-affiliates, based on the closing price on the Nasdaq Global Select Market as of June 30, 2024 was $831,423,369.</w:t>
      </w:r>
    </w:p>
    <w:p>
      <w:pPr>
        <w:spacing w:after="0" w:line="112"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6"/>
          <w:szCs w:val="16"/>
          <w:color w:val="auto"/>
        </w:rPr>
        <w:t>As of February 24, 2025, the registrant had 59,532,352 shares of Class A common stock, par value $0.0001 per share, and 27,260,600 shares of Class B common stock, par value $0.0001 per share, outstanding.</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8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Portions of Perella Weinberg Partners’ Proxy Statement for the 2025 Annual Meeting of Stockholders to be filed with the Securities and Exchange Commission within 120 days after December 31, 2024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-50165</wp:posOffset>
            </wp:positionH>
            <wp:positionV relativeFrom="paragraph">
              <wp:posOffset>114935</wp:posOffset>
            </wp:positionV>
            <wp:extent cx="695960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6959600" cy="152400"/>
                    </a:xfrm>
                    <a:prstGeom prst="rect">
                      <a:avLst/>
                    </a:prstGeom>
                    <a:noFill/>
                  </pic:spPr>
                </pic:pic>
              </a:graphicData>
            </a:graphic>
          </wp:anchor>
        </w:drawing>
      </w:r>
    </w:p>
    <w:p>
      <w:pPr>
        <w:sectPr>
          <w:pgSz w:w="12240" w:h="15840" w:orient="portrait"/>
          <w:cols w:equalWidth="0" w:num="1">
            <w:col w:w="10800"/>
          </w:cols>
          <w:pgMar w:left="720" w:top="756" w:right="720" w:bottom="727" w:gutter="0" w:footer="0" w:header="0"/>
          <w:type w:val="continuous"/>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5489575</wp:posOffset>
                </wp:positionH>
                <wp:positionV relativeFrom="paragraph">
                  <wp:posOffset>-135255</wp:posOffset>
                </wp:positionV>
                <wp:extent cx="4476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25pt,-10.6499pt" to="467.5pt,-10.6499pt" o:allowincell="f" strokecolor="#000000" strokeweight="0.5pt"/>
            </w:pict>
          </mc:Fallback>
        </mc:AlternateContent>
      </w:r>
    </w:p>
    <w:p>
      <w:pPr>
        <w:spacing w:after="0" w:line="42"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w:t>
      </w:r>
      <w:r>
        <w:rPr>
          <w:sz w:val="20"/>
          <w:szCs w:val="20"/>
          <w:color w:val="auto"/>
        </w:rPr>
        <w:tab/>
      </w:r>
      <w:r>
        <w:rPr>
          <w:rFonts w:ascii="Times New Roman" w:cs="Times New Roman" w:eastAsia="Times New Roman" w:hAnsi="Times New Roman"/>
          <w:sz w:val="20"/>
          <w:szCs w:val="20"/>
          <w:u w:val="single" w:color="auto"/>
          <w:color w:val="0000FF"/>
        </w:rPr>
        <w:t>Business</w:t>
      </w:r>
      <w:r>
        <w:rPr>
          <w:sz w:val="20"/>
          <w:szCs w:val="20"/>
          <w:color w:val="auto"/>
        </w:rPr>
        <w:tab/>
      </w:r>
      <w:r>
        <w:rPr>
          <w:rFonts w:ascii="Times New Roman" w:cs="Times New Roman" w:eastAsia="Times New Roman" w:hAnsi="Times New Roman"/>
          <w:sz w:val="20"/>
          <w:szCs w:val="20"/>
          <w:u w:val="single" w:color="auto"/>
          <w:color w:val="0000FF"/>
        </w:rPr>
        <w:t>2</w:t>
      </w:r>
    </w:p>
    <w:p>
      <w:pPr>
        <w:spacing w:after="0" w:line="55" w:lineRule="exact"/>
        <w:rPr>
          <w:sz w:val="20"/>
          <w:szCs w:val="20"/>
          <w:color w:val="auto"/>
        </w:rPr>
      </w:pPr>
    </w:p>
    <w:p>
      <w:pPr>
        <w:spacing w:after="0"/>
        <w:tabs>
          <w:tab w:leader="none" w:pos="1760" w:val="left"/>
          <w:tab w:leader="dot" w:pos="9180" w:val="left"/>
        </w:tabs>
        <w:rPr>
          <w:sz w:val="20"/>
          <w:szCs w:val="20"/>
          <w:color w:val="auto"/>
        </w:rPr>
      </w:pPr>
      <w:r>
        <w:rPr>
          <w:rFonts w:ascii="Times New Roman" w:cs="Times New Roman" w:eastAsia="Times New Roman" w:hAnsi="Times New Roman"/>
          <w:sz w:val="20"/>
          <w:szCs w:val="20"/>
          <w:u w:val="single" w:color="auto"/>
          <w:color w:val="0000FF"/>
        </w:rPr>
        <w:t>Item 1A.</w:t>
      </w:r>
      <w:r>
        <w:rPr>
          <w:sz w:val="20"/>
          <w:szCs w:val="20"/>
          <w:color w:val="auto"/>
        </w:rPr>
        <w:tab/>
      </w:r>
      <w:r>
        <w:rPr>
          <w:rFonts w:ascii="Times New Roman" w:cs="Times New Roman" w:eastAsia="Times New Roman" w:hAnsi="Times New Roman"/>
          <w:sz w:val="20"/>
          <w:szCs w:val="20"/>
          <w:u w:val="single" w:color="auto"/>
          <w:color w:val="0000FF"/>
        </w:rPr>
        <w:t>Risk Factors</w:t>
      </w:r>
      <w:r>
        <w:rPr>
          <w:sz w:val="20"/>
          <w:szCs w:val="20"/>
          <w:color w:val="auto"/>
        </w:rPr>
        <w:tab/>
      </w:r>
      <w:r>
        <w:rPr>
          <w:rFonts w:ascii="Times New Roman" w:cs="Times New Roman" w:eastAsia="Times New Roman" w:hAnsi="Times New Roman"/>
          <w:sz w:val="20"/>
          <w:szCs w:val="20"/>
          <w:u w:val="single" w:color="auto"/>
          <w:color w:val="0000FF"/>
        </w:rPr>
        <w:t>7</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1B.</w:t>
      </w:r>
      <w:r>
        <w:rPr>
          <w:sz w:val="20"/>
          <w:szCs w:val="20"/>
          <w:color w:val="auto"/>
        </w:rPr>
        <w:tab/>
      </w:r>
      <w:r>
        <w:rPr>
          <w:rFonts w:ascii="Times New Roman" w:cs="Times New Roman" w:eastAsia="Times New Roman" w:hAnsi="Times New Roman"/>
          <w:sz w:val="20"/>
          <w:szCs w:val="20"/>
          <w:u w:val="single" w:color="auto"/>
          <w:color w:val="0000FF"/>
        </w:rPr>
        <w:t>Unresolved Staff Comments</w:t>
      </w:r>
      <w:r>
        <w:rPr>
          <w:sz w:val="20"/>
          <w:szCs w:val="20"/>
          <w:color w:val="auto"/>
        </w:rPr>
        <w:tab/>
      </w:r>
      <w:r>
        <w:rPr>
          <w:rFonts w:ascii="Times New Roman" w:cs="Times New Roman" w:eastAsia="Times New Roman" w:hAnsi="Times New Roman"/>
          <w:sz w:val="20"/>
          <w:szCs w:val="20"/>
          <w:u w:val="single" w:color="auto"/>
          <w:color w:val="0000FF"/>
        </w:rPr>
        <w:t>25</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1C.</w:t>
      </w:r>
      <w:r>
        <w:rPr>
          <w:sz w:val="20"/>
          <w:szCs w:val="20"/>
          <w:color w:val="auto"/>
        </w:rPr>
        <w:tab/>
      </w:r>
      <w:r>
        <w:rPr>
          <w:rFonts w:ascii="Times New Roman" w:cs="Times New Roman" w:eastAsia="Times New Roman" w:hAnsi="Times New Roman"/>
          <w:sz w:val="20"/>
          <w:szCs w:val="20"/>
          <w:u w:val="single" w:color="auto"/>
          <w:color w:val="0000FF"/>
        </w:rPr>
        <w:t>Cybersecurity</w:t>
      </w:r>
      <w:r>
        <w:rPr>
          <w:sz w:val="20"/>
          <w:szCs w:val="20"/>
          <w:color w:val="auto"/>
        </w:rPr>
        <w:tab/>
      </w:r>
      <w:r>
        <w:rPr>
          <w:rFonts w:ascii="Times New Roman" w:cs="Times New Roman" w:eastAsia="Times New Roman" w:hAnsi="Times New Roman"/>
          <w:sz w:val="20"/>
          <w:szCs w:val="20"/>
          <w:u w:val="single" w:color="auto"/>
          <w:color w:val="0000FF"/>
        </w:rPr>
        <w:t>25</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2.</w:t>
      </w:r>
      <w:r>
        <w:rPr>
          <w:sz w:val="20"/>
          <w:szCs w:val="20"/>
          <w:color w:val="auto"/>
        </w:rPr>
        <w:tab/>
      </w:r>
      <w:r>
        <w:rPr>
          <w:rFonts w:ascii="Times New Roman" w:cs="Times New Roman" w:eastAsia="Times New Roman" w:hAnsi="Times New Roman"/>
          <w:sz w:val="20"/>
          <w:szCs w:val="20"/>
          <w:u w:val="single" w:color="auto"/>
          <w:color w:val="0000FF"/>
        </w:rPr>
        <w:t>Properties</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3.</w:t>
      </w:r>
      <w:r>
        <w:rPr>
          <w:sz w:val="20"/>
          <w:szCs w:val="20"/>
          <w:color w:val="auto"/>
        </w:rPr>
        <w:tab/>
      </w:r>
      <w:r>
        <w:rPr>
          <w:rFonts w:ascii="Times New Roman" w:cs="Times New Roman" w:eastAsia="Times New Roman" w:hAnsi="Times New Roman"/>
          <w:sz w:val="20"/>
          <w:szCs w:val="20"/>
          <w:u w:val="single" w:color="auto"/>
          <w:color w:val="0000FF"/>
        </w:rPr>
        <w:t>Legal Proceedings</w:t>
      </w:r>
      <w:r>
        <w:rPr>
          <w:sz w:val="20"/>
          <w:szCs w:val="20"/>
          <w:color w:val="auto"/>
        </w:rPr>
        <w:tab/>
      </w:r>
      <w:r>
        <w:rPr>
          <w:rFonts w:ascii="Times New Roman" w:cs="Times New Roman" w:eastAsia="Times New Roman" w:hAnsi="Times New Roman"/>
          <w:sz w:val="20"/>
          <w:szCs w:val="20"/>
          <w:u w:val="single" w:color="auto"/>
          <w:color w:val="0000FF"/>
        </w:rPr>
        <w:t>26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4.</w:t>
      </w:r>
      <w:r>
        <w:rPr>
          <w:sz w:val="20"/>
          <w:szCs w:val="20"/>
          <w:color w:val="auto"/>
        </w:rPr>
        <w:tab/>
      </w:r>
      <w:r>
        <w:rPr>
          <w:rFonts w:ascii="Times New Roman" w:cs="Times New Roman" w:eastAsia="Times New Roman" w:hAnsi="Times New Roman"/>
          <w:sz w:val="20"/>
          <w:szCs w:val="20"/>
          <w:u w:val="single" w:color="auto"/>
          <w:color w:val="0000FF"/>
        </w:rPr>
        <w:t>Mine Safety Disclosures</w:t>
      </w:r>
      <w:r>
        <w:rPr>
          <w:sz w:val="20"/>
          <w:szCs w:val="20"/>
          <w:color w:val="auto"/>
        </w:rPr>
        <w:tab/>
      </w:r>
      <w:r>
        <w:rPr>
          <w:rFonts w:ascii="Times New Roman" w:cs="Times New Roman" w:eastAsia="Times New Roman" w:hAnsi="Times New Roman"/>
          <w:sz w:val="20"/>
          <w:szCs w:val="20"/>
          <w:u w:val="single" w:color="auto"/>
          <w:color w:val="0000FF"/>
        </w:rPr>
        <w:t>27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w:t>
      </w:r>
    </w:p>
    <w:p>
      <w:pPr>
        <w:spacing w:after="0" w:line="54"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5.</w:t>
      </w:r>
      <w:r>
        <w:rPr>
          <w:sz w:val="20"/>
          <w:szCs w:val="20"/>
          <w:color w:val="auto"/>
        </w:rPr>
        <w:tab/>
      </w:r>
      <w:r>
        <w:rPr>
          <w:rFonts w:ascii="Times New Roman" w:cs="Times New Roman" w:eastAsia="Times New Roman" w:hAnsi="Times New Roman"/>
          <w:sz w:val="20"/>
          <w:szCs w:val="20"/>
          <w:u w:val="single" w:color="auto"/>
          <w:color w:val="0000FF"/>
        </w:rPr>
        <w:t>Market for Registrant’s Common Equity, Related Stockholder Matters and Issuer</w:t>
      </w:r>
      <w:r>
        <w:rPr>
          <w:sz w:val="20"/>
          <w:szCs w:val="20"/>
          <w:color w:val="auto"/>
        </w:rPr>
        <w:tab/>
      </w:r>
      <w:r>
        <w:rPr>
          <w:rFonts w:ascii="Times New Roman" w:cs="Times New Roman" w:eastAsia="Times New Roman" w:hAnsi="Times New Roman"/>
          <w:sz w:val="20"/>
          <w:szCs w:val="20"/>
          <w:u w:val="single" w:color="auto"/>
          <w:color w:val="0000FF"/>
        </w:rPr>
        <w:t>28</w:t>
      </w:r>
    </w:p>
    <w:p>
      <w:pPr>
        <w:ind w:left="1780"/>
        <w:spacing w:after="0"/>
        <w:tabs>
          <w:tab w:leader="none" w:pos="4220" w:val="left"/>
        </w:tabs>
        <w:rPr>
          <w:sz w:val="20"/>
          <w:szCs w:val="20"/>
          <w:color w:val="auto"/>
        </w:rPr>
      </w:pPr>
      <w:r>
        <w:rPr>
          <w:rFonts w:ascii="Times New Roman" w:cs="Times New Roman" w:eastAsia="Times New Roman" w:hAnsi="Times New Roman"/>
          <w:sz w:val="20"/>
          <w:szCs w:val="20"/>
          <w:u w:val="single" w:color="auto"/>
          <w:color w:val="0000FF"/>
        </w:rPr>
        <w:t>Purchases of Equity Securities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6.</w:t>
      </w:r>
      <w:r>
        <w:rPr>
          <w:sz w:val="20"/>
          <w:szCs w:val="20"/>
          <w:color w:val="auto"/>
        </w:rPr>
        <w:tab/>
      </w:r>
      <w:r>
        <w:rPr>
          <w:rFonts w:ascii="Times New Roman" w:cs="Times New Roman" w:eastAsia="Times New Roman" w:hAnsi="Times New Roman"/>
          <w:sz w:val="20"/>
          <w:szCs w:val="20"/>
          <w:u w:val="single" w:color="auto"/>
          <w:color w:val="0000FF"/>
        </w:rPr>
        <w:t>[Reserved]</w:t>
      </w:r>
      <w:r>
        <w:rPr>
          <w:sz w:val="20"/>
          <w:szCs w:val="20"/>
          <w:color w:val="auto"/>
        </w:rPr>
        <w:tab/>
      </w:r>
      <w:r>
        <w:rPr>
          <w:rFonts w:ascii="Times New Roman" w:cs="Times New Roman" w:eastAsia="Times New Roman" w:hAnsi="Times New Roman"/>
          <w:sz w:val="20"/>
          <w:szCs w:val="20"/>
          <w:u w:val="single" w:color="auto"/>
          <w:color w:val="0000FF"/>
        </w:rPr>
        <w:t>29</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7.</w:t>
      </w:r>
      <w:r>
        <w:rPr>
          <w:sz w:val="20"/>
          <w:szCs w:val="20"/>
          <w:color w:val="auto"/>
        </w:rPr>
        <w:tab/>
      </w:r>
      <w:r>
        <w:rPr>
          <w:rFonts w:ascii="Times New Roman" w:cs="Times New Roman" w:eastAsia="Times New Roman" w:hAnsi="Times New Roman"/>
          <w:sz w:val="20"/>
          <w:szCs w:val="20"/>
          <w:u w:val="single" w:color="auto"/>
          <w:color w:val="0000FF"/>
        </w:rPr>
        <w:t>Management’s Discussion and Analysis of Financial Condition and Results of</w:t>
      </w:r>
      <w:r>
        <w:rPr>
          <w:sz w:val="20"/>
          <w:szCs w:val="20"/>
          <w:color w:val="auto"/>
        </w:rPr>
        <w:tab/>
      </w:r>
      <w:r>
        <w:rPr>
          <w:rFonts w:ascii="Times New Roman" w:cs="Times New Roman" w:eastAsia="Times New Roman" w:hAnsi="Times New Roman"/>
          <w:sz w:val="20"/>
          <w:szCs w:val="20"/>
          <w:u w:val="single" w:color="auto"/>
          <w:color w:val="0000FF"/>
        </w:rPr>
        <w:t>30</w:t>
      </w:r>
    </w:p>
    <w:p>
      <w:pPr>
        <w:ind w:left="1780"/>
        <w:spacing w:after="0"/>
        <w:tabs>
          <w:tab w:leader="none" w:pos="2660" w:val="left"/>
        </w:tabs>
        <w:rPr>
          <w:sz w:val="20"/>
          <w:szCs w:val="20"/>
          <w:color w:val="auto"/>
        </w:rPr>
      </w:pPr>
      <w:r>
        <w:rPr>
          <w:rFonts w:ascii="Times New Roman" w:cs="Times New Roman" w:eastAsia="Times New Roman" w:hAnsi="Times New Roman"/>
          <w:sz w:val="20"/>
          <w:szCs w:val="20"/>
          <w:u w:val="single" w:color="auto"/>
          <w:color w:val="0000FF"/>
        </w:rPr>
        <w:t>Operations</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7A.</w:t>
      </w:r>
      <w:r>
        <w:rPr>
          <w:sz w:val="20"/>
          <w:szCs w:val="20"/>
          <w:color w:val="auto"/>
        </w:rPr>
        <w:tab/>
      </w:r>
      <w:r>
        <w:rPr>
          <w:rFonts w:ascii="Times New Roman" w:cs="Times New Roman" w:eastAsia="Times New Roman" w:hAnsi="Times New Roman"/>
          <w:sz w:val="20"/>
          <w:szCs w:val="20"/>
          <w:u w:val="single" w:color="auto"/>
          <w:color w:val="0000FF"/>
        </w:rPr>
        <w:t>Quantitative and Qualitative Disclosures About Market Risk</w:t>
      </w:r>
      <w:r>
        <w:rPr>
          <w:sz w:val="20"/>
          <w:szCs w:val="20"/>
          <w:color w:val="auto"/>
        </w:rPr>
        <w:tab/>
      </w:r>
      <w:r>
        <w:rPr>
          <w:rFonts w:ascii="Times New Roman" w:cs="Times New Roman" w:eastAsia="Times New Roman" w:hAnsi="Times New Roman"/>
          <w:sz w:val="20"/>
          <w:szCs w:val="20"/>
          <w:u w:val="single" w:color="auto"/>
          <w:color w:val="0000FF"/>
        </w:rPr>
        <w:t>39</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8.</w:t>
      </w:r>
      <w:r>
        <w:rPr>
          <w:sz w:val="20"/>
          <w:szCs w:val="20"/>
          <w:color w:val="auto"/>
        </w:rPr>
        <w:tab/>
      </w:r>
      <w:r>
        <w:rPr>
          <w:rFonts w:ascii="Times New Roman" w:cs="Times New Roman" w:eastAsia="Times New Roman" w:hAnsi="Times New Roman"/>
          <w:sz w:val="20"/>
          <w:szCs w:val="20"/>
          <w:u w:val="single" w:color="auto"/>
          <w:color w:val="0000FF"/>
        </w:rPr>
        <w:t>Financial Statements and Supplementary Data</w:t>
      </w:r>
      <w:r>
        <w:rPr>
          <w:sz w:val="20"/>
          <w:szCs w:val="20"/>
          <w:color w:val="auto"/>
        </w:rPr>
        <w:tab/>
      </w:r>
      <w:r>
        <w:rPr>
          <w:rFonts w:ascii="Times New Roman" w:cs="Times New Roman" w:eastAsia="Times New Roman" w:hAnsi="Times New Roman"/>
          <w:sz w:val="20"/>
          <w:szCs w:val="20"/>
          <w:u w:val="single" w:color="auto"/>
          <w:color w:val="0000FF"/>
        </w:rPr>
        <w:t>40</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9.</w:t>
      </w:r>
      <w:r>
        <w:rPr>
          <w:sz w:val="20"/>
          <w:szCs w:val="20"/>
          <w:color w:val="auto"/>
        </w:rPr>
        <w:tab/>
      </w:r>
      <w:r>
        <w:rPr>
          <w:rFonts w:ascii="Times New Roman" w:cs="Times New Roman" w:eastAsia="Times New Roman" w:hAnsi="Times New Roman"/>
          <w:sz w:val="20"/>
          <w:szCs w:val="20"/>
          <w:u w:val="single" w:color="auto"/>
          <w:color w:val="0000FF"/>
        </w:rPr>
        <w:t>Changes in and Disagreements with Accountants on Accounting and Financial</w:t>
      </w:r>
      <w:r>
        <w:rPr>
          <w:sz w:val="20"/>
          <w:szCs w:val="20"/>
          <w:color w:val="auto"/>
        </w:rPr>
        <w:tab/>
      </w:r>
      <w:r>
        <w:rPr>
          <w:rFonts w:ascii="Times New Roman" w:cs="Times New Roman" w:eastAsia="Times New Roman" w:hAnsi="Times New Roman"/>
          <w:sz w:val="20"/>
          <w:szCs w:val="20"/>
          <w:u w:val="single" w:color="auto"/>
          <w:color w:val="0000FF"/>
        </w:rPr>
        <w:t>76</w:t>
      </w:r>
    </w:p>
    <w:p>
      <w:pPr>
        <w:ind w:left="1780"/>
        <w:spacing w:after="0"/>
        <w:tabs>
          <w:tab w:leader="none" w:pos="2620" w:val="left"/>
        </w:tabs>
        <w:rPr>
          <w:sz w:val="20"/>
          <w:szCs w:val="20"/>
          <w:color w:val="auto"/>
        </w:rPr>
      </w:pPr>
      <w:r>
        <w:rPr>
          <w:rFonts w:ascii="Times New Roman" w:cs="Times New Roman" w:eastAsia="Times New Roman" w:hAnsi="Times New Roman"/>
          <w:sz w:val="20"/>
          <w:szCs w:val="20"/>
          <w:u w:val="single" w:color="auto"/>
          <w:color w:val="0000FF"/>
        </w:rPr>
        <w:t>Disclosure</w:t>
      </w:r>
      <w:r>
        <w:rPr>
          <w:sz w:val="20"/>
          <w:szCs w:val="20"/>
          <w:color w:val="auto"/>
        </w:rPr>
        <w:tab/>
      </w:r>
      <w:r>
        <w:rPr>
          <w:rFonts w:ascii="Times New Roman" w:cs="Times New Roman" w:eastAsia="Times New Roman" w:hAnsi="Times New Roman"/>
          <w:sz w:val="20"/>
          <w:szCs w:val="20"/>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9A.</w:t>
      </w:r>
      <w:r>
        <w:rPr>
          <w:sz w:val="20"/>
          <w:szCs w:val="20"/>
          <w:color w:val="auto"/>
        </w:rPr>
        <w:tab/>
      </w:r>
      <w:r>
        <w:rPr>
          <w:rFonts w:ascii="Times New Roman" w:cs="Times New Roman" w:eastAsia="Times New Roman" w:hAnsi="Times New Roman"/>
          <w:sz w:val="20"/>
          <w:szCs w:val="20"/>
          <w:u w:val="single" w:color="auto"/>
          <w:color w:val="0000FF"/>
        </w:rPr>
        <w:t>Controls and Procedures</w:t>
      </w:r>
      <w:r>
        <w:rPr>
          <w:sz w:val="20"/>
          <w:szCs w:val="20"/>
          <w:color w:val="auto"/>
        </w:rPr>
        <w:tab/>
      </w:r>
      <w:r>
        <w:rPr>
          <w:rFonts w:ascii="Times New Roman" w:cs="Times New Roman" w:eastAsia="Times New Roman" w:hAnsi="Times New Roman"/>
          <w:sz w:val="20"/>
          <w:szCs w:val="20"/>
          <w:u w:val="single" w:color="auto"/>
          <w:color w:val="0000FF"/>
        </w:rPr>
        <w:t>76</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9B.</w:t>
      </w:r>
      <w:r>
        <w:rPr>
          <w:sz w:val="20"/>
          <w:szCs w:val="20"/>
          <w:color w:val="auto"/>
        </w:rPr>
        <w:tab/>
      </w:r>
      <w:r>
        <w:rPr>
          <w:rFonts w:ascii="Times New Roman" w:cs="Times New Roman" w:eastAsia="Times New Roman" w:hAnsi="Times New Roman"/>
          <w:sz w:val="20"/>
          <w:szCs w:val="20"/>
          <w:u w:val="single" w:color="auto"/>
          <w:color w:val="0000FF"/>
        </w:rPr>
        <w:t>Other Information</w:t>
      </w:r>
      <w:r>
        <w:rPr>
          <w:sz w:val="20"/>
          <w:szCs w:val="20"/>
          <w:color w:val="auto"/>
        </w:rPr>
        <w:tab/>
      </w:r>
      <w:r>
        <w:rPr>
          <w:rFonts w:ascii="Times New Roman" w:cs="Times New Roman" w:eastAsia="Times New Roman" w:hAnsi="Times New Roman"/>
          <w:sz w:val="20"/>
          <w:szCs w:val="20"/>
          <w:u w:val="single" w:color="auto"/>
          <w:color w:val="0000FF"/>
        </w:rPr>
        <w:t>78</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9C.</w:t>
      </w:r>
      <w:r>
        <w:rPr>
          <w:sz w:val="20"/>
          <w:szCs w:val="20"/>
          <w:color w:val="auto"/>
        </w:rPr>
        <w:tab/>
      </w:r>
      <w:r>
        <w:rPr>
          <w:rFonts w:ascii="Times New Roman" w:cs="Times New Roman" w:eastAsia="Times New Roman" w:hAnsi="Times New Roman"/>
          <w:sz w:val="20"/>
          <w:szCs w:val="20"/>
          <w:u w:val="single" w:color="auto"/>
          <w:color w:val="0000FF"/>
        </w:rPr>
        <w:t>Disclosure Regarding Foreign Jurisdictions that Prevent Inspections</w:t>
      </w:r>
      <w:r>
        <w:rPr>
          <w:sz w:val="20"/>
          <w:szCs w:val="20"/>
          <w:color w:val="auto"/>
        </w:rPr>
        <w:tab/>
      </w:r>
      <w:r>
        <w:rPr>
          <w:rFonts w:ascii="Times New Roman" w:cs="Times New Roman" w:eastAsia="Times New Roman" w:hAnsi="Times New Roman"/>
          <w:sz w:val="20"/>
          <w:szCs w:val="20"/>
          <w:u w:val="single" w:color="auto"/>
          <w:color w:val="0000FF"/>
        </w:rPr>
        <w:t>78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III.</w:t>
      </w:r>
    </w:p>
    <w:p>
      <w:pPr>
        <w:spacing w:after="0" w:line="62"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10.</w:t>
      </w:r>
      <w:r>
        <w:rPr>
          <w:sz w:val="20"/>
          <w:szCs w:val="20"/>
          <w:color w:val="auto"/>
        </w:rPr>
        <w:tab/>
      </w:r>
      <w:r>
        <w:rPr>
          <w:rFonts w:ascii="Times New Roman" w:cs="Times New Roman" w:eastAsia="Times New Roman" w:hAnsi="Times New Roman"/>
          <w:sz w:val="20"/>
          <w:szCs w:val="20"/>
          <w:u w:val="single" w:color="auto"/>
          <w:color w:val="0000FF"/>
        </w:rPr>
        <w:t>Directors, Executive Officers and Corporate Governance</w:t>
      </w:r>
      <w:r>
        <w:rPr>
          <w:sz w:val="20"/>
          <w:szCs w:val="20"/>
          <w:color w:val="auto"/>
        </w:rPr>
        <w:tab/>
      </w:r>
      <w:r>
        <w:rPr>
          <w:rFonts w:ascii="Times New Roman" w:cs="Times New Roman" w:eastAsia="Times New Roman" w:hAnsi="Times New Roman"/>
          <w:sz w:val="20"/>
          <w:szCs w:val="20"/>
          <w:u w:val="single" w:color="auto"/>
          <w:color w:val="0000FF"/>
        </w:rPr>
        <w:t>79</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11.</w:t>
      </w:r>
      <w:r>
        <w:rPr>
          <w:sz w:val="20"/>
          <w:szCs w:val="20"/>
          <w:color w:val="auto"/>
        </w:rPr>
        <w:tab/>
      </w:r>
      <w:r>
        <w:rPr>
          <w:rFonts w:ascii="Times New Roman" w:cs="Times New Roman" w:eastAsia="Times New Roman" w:hAnsi="Times New Roman"/>
          <w:sz w:val="20"/>
          <w:szCs w:val="20"/>
          <w:u w:val="single" w:color="auto"/>
          <w:color w:val="0000FF"/>
        </w:rPr>
        <w:t>Executive Compensation</w:t>
      </w:r>
      <w:r>
        <w:rPr>
          <w:sz w:val="20"/>
          <w:szCs w:val="20"/>
          <w:color w:val="auto"/>
        </w:rPr>
        <w:tab/>
      </w:r>
      <w:r>
        <w:rPr>
          <w:rFonts w:ascii="Times New Roman" w:cs="Times New Roman" w:eastAsia="Times New Roman" w:hAnsi="Times New Roman"/>
          <w:sz w:val="20"/>
          <w:szCs w:val="20"/>
          <w:u w:val="single" w:color="auto"/>
          <w:color w:val="0000FF"/>
        </w:rPr>
        <w:t>79</w:t>
      </w:r>
    </w:p>
    <w:p>
      <w:pPr>
        <w:spacing w:after="0" w:line="47" w:lineRule="exact"/>
        <w:rPr>
          <w:sz w:val="20"/>
          <w:szCs w:val="20"/>
          <w:color w:val="auto"/>
        </w:rPr>
      </w:pPr>
    </w:p>
    <w:p>
      <w:pPr>
        <w:spacing w:after="0"/>
        <w:tabs>
          <w:tab w:leader="none" w:pos="1760" w:val="left"/>
          <w:tab w:leader="none" w:pos="9080" w:val="left"/>
        </w:tabs>
        <w:rPr>
          <w:sz w:val="20"/>
          <w:szCs w:val="20"/>
          <w:color w:val="auto"/>
        </w:rPr>
      </w:pPr>
      <w:r>
        <w:rPr>
          <w:rFonts w:ascii="Times New Roman" w:cs="Times New Roman" w:eastAsia="Times New Roman" w:hAnsi="Times New Roman"/>
          <w:sz w:val="20"/>
          <w:szCs w:val="20"/>
          <w:u w:val="single" w:color="auto"/>
          <w:color w:val="0000FF"/>
        </w:rPr>
        <w:t>Item 12.</w:t>
      </w:r>
      <w:r>
        <w:rPr>
          <w:sz w:val="20"/>
          <w:szCs w:val="20"/>
          <w:color w:val="auto"/>
        </w:rPr>
        <w:tab/>
      </w:r>
      <w:r>
        <w:rPr>
          <w:rFonts w:ascii="Times New Roman" w:cs="Times New Roman" w:eastAsia="Times New Roman" w:hAnsi="Times New Roman"/>
          <w:sz w:val="20"/>
          <w:szCs w:val="20"/>
          <w:u w:val="single" w:color="auto"/>
          <w:color w:val="0000FF"/>
        </w:rPr>
        <w:t>Security Ownership of Certain Beneficial Owners and Management and Related</w:t>
      </w:r>
      <w:r>
        <w:rPr>
          <w:sz w:val="20"/>
          <w:szCs w:val="20"/>
          <w:color w:val="auto"/>
        </w:rPr>
        <w:tab/>
      </w:r>
      <w:r>
        <w:rPr>
          <w:rFonts w:ascii="Times New Roman" w:cs="Times New Roman" w:eastAsia="Times New Roman" w:hAnsi="Times New Roman"/>
          <w:sz w:val="20"/>
          <w:szCs w:val="20"/>
          <w:u w:val="single" w:color="auto"/>
          <w:color w:val="0000FF"/>
        </w:rPr>
        <w:t>79</w:t>
      </w:r>
    </w:p>
    <w:p>
      <w:pPr>
        <w:ind w:left="1780"/>
        <w:spacing w:after="0"/>
        <w:tabs>
          <w:tab w:leader="none" w:pos="3420" w:val="left"/>
        </w:tabs>
        <w:rPr>
          <w:sz w:val="20"/>
          <w:szCs w:val="20"/>
          <w:color w:val="auto"/>
        </w:rPr>
      </w:pPr>
      <w:r>
        <w:rPr>
          <w:rFonts w:ascii="Times New Roman" w:cs="Times New Roman" w:eastAsia="Times New Roman" w:hAnsi="Times New Roman"/>
          <w:sz w:val="20"/>
          <w:szCs w:val="20"/>
          <w:u w:val="single" w:color="auto"/>
          <w:color w:val="0000FF"/>
        </w:rPr>
        <w:t>Stockholder Matters</w:t>
      </w:r>
      <w:r>
        <w:rPr>
          <w:sz w:val="20"/>
          <w:szCs w:val="20"/>
          <w:color w:val="auto"/>
        </w:rPr>
        <w:tab/>
      </w:r>
      <w:r>
        <w:rPr>
          <w:rFonts w:ascii="Times New Roman" w:cs="Times New Roman" w:eastAsia="Times New Roman" w:hAnsi="Times New Roman"/>
          <w:sz w:val="19"/>
          <w:szCs w:val="19"/>
          <w:color w:val="B4B4B4"/>
        </w:rPr>
        <w:t>.......................................................................................................</w:t>
      </w:r>
    </w:p>
    <w:p>
      <w:pPr>
        <w:spacing w:after="0" w:line="13"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13.</w:t>
      </w:r>
      <w:r>
        <w:rPr>
          <w:sz w:val="20"/>
          <w:szCs w:val="20"/>
          <w:color w:val="auto"/>
        </w:rPr>
        <w:tab/>
      </w:r>
      <w:r>
        <w:rPr>
          <w:rFonts w:ascii="Times New Roman" w:cs="Times New Roman" w:eastAsia="Times New Roman" w:hAnsi="Times New Roman"/>
          <w:sz w:val="20"/>
          <w:szCs w:val="20"/>
          <w:u w:val="single" w:color="auto"/>
          <w:color w:val="0000FF"/>
        </w:rPr>
        <w:t>Certain Relationships and Related Transactions, and Director Independence</w:t>
      </w:r>
      <w:r>
        <w:rPr>
          <w:sz w:val="20"/>
          <w:szCs w:val="20"/>
          <w:color w:val="auto"/>
        </w:rPr>
        <w:tab/>
      </w:r>
      <w:r>
        <w:rPr>
          <w:rFonts w:ascii="Times New Roman" w:cs="Times New Roman" w:eastAsia="Times New Roman" w:hAnsi="Times New Roman"/>
          <w:sz w:val="20"/>
          <w:szCs w:val="20"/>
          <w:u w:val="single" w:color="auto"/>
          <w:color w:val="0000FF"/>
        </w:rPr>
        <w:t>79</w:t>
      </w:r>
    </w:p>
    <w:p>
      <w:pPr>
        <w:spacing w:after="0" w:line="55" w:lineRule="exact"/>
        <w:rPr>
          <w:sz w:val="20"/>
          <w:szCs w:val="20"/>
          <w:color w:val="auto"/>
        </w:rPr>
      </w:pPr>
    </w:p>
    <w:p>
      <w:pPr>
        <w:spacing w:after="0"/>
        <w:tabs>
          <w:tab w:leader="none"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14.</w:t>
      </w:r>
      <w:r>
        <w:rPr>
          <w:sz w:val="20"/>
          <w:szCs w:val="20"/>
          <w:color w:val="auto"/>
        </w:rPr>
        <w:tab/>
      </w:r>
      <w:r>
        <w:rPr>
          <w:rFonts w:ascii="Times New Roman" w:cs="Times New Roman" w:eastAsia="Times New Roman" w:hAnsi="Times New Roman"/>
          <w:sz w:val="20"/>
          <w:szCs w:val="20"/>
          <w:u w:val="single" w:color="auto"/>
          <w:color w:val="0000FF"/>
        </w:rPr>
        <w:t>Principal Accountant Fees and Services</w:t>
      </w:r>
      <w:r>
        <w:rPr>
          <w:sz w:val="20"/>
          <w:szCs w:val="20"/>
          <w:color w:val="auto"/>
        </w:rPr>
        <w:tab/>
      </w:r>
      <w:r>
        <w:rPr>
          <w:rFonts w:ascii="Times New Roman" w:cs="Times New Roman" w:eastAsia="Times New Roman" w:hAnsi="Times New Roman"/>
          <w:sz w:val="20"/>
          <w:szCs w:val="20"/>
          <w:u w:val="single" w:color="auto"/>
          <w:color w:val="0000FF"/>
        </w:rPr>
        <w:t>79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PART IV.</w:t>
      </w:r>
    </w:p>
    <w:p>
      <w:pPr>
        <w:spacing w:after="0" w:line="62"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15.</w:t>
      </w:r>
      <w:r>
        <w:rPr>
          <w:sz w:val="20"/>
          <w:szCs w:val="20"/>
          <w:color w:val="auto"/>
        </w:rPr>
        <w:tab/>
      </w:r>
      <w:r>
        <w:rPr>
          <w:rFonts w:ascii="Times New Roman" w:cs="Times New Roman" w:eastAsia="Times New Roman" w:hAnsi="Times New Roman"/>
          <w:sz w:val="20"/>
          <w:szCs w:val="20"/>
          <w:u w:val="single" w:color="auto"/>
          <w:color w:val="0000FF"/>
        </w:rPr>
        <w:t>Exhibits and Financial Statement Schedules</w:t>
      </w:r>
      <w:r>
        <w:rPr>
          <w:sz w:val="20"/>
          <w:szCs w:val="20"/>
          <w:color w:val="auto"/>
        </w:rPr>
        <w:tab/>
      </w:r>
      <w:r>
        <w:rPr>
          <w:rFonts w:ascii="Times New Roman" w:cs="Times New Roman" w:eastAsia="Times New Roman" w:hAnsi="Times New Roman"/>
          <w:sz w:val="20"/>
          <w:szCs w:val="20"/>
          <w:u w:val="single" w:color="auto"/>
          <w:color w:val="0000FF"/>
        </w:rPr>
        <w:t>80</w:t>
      </w:r>
    </w:p>
    <w:p>
      <w:pPr>
        <w:spacing w:after="0" w:line="55" w:lineRule="exact"/>
        <w:rPr>
          <w:sz w:val="20"/>
          <w:szCs w:val="20"/>
          <w:color w:val="auto"/>
        </w:rPr>
      </w:pPr>
    </w:p>
    <w:p>
      <w:pPr>
        <w:spacing w:after="0"/>
        <w:tabs>
          <w:tab w:leader="dot" w:pos="1760" w:val="left"/>
          <w:tab w:leader="dot" w:pos="9080" w:val="left"/>
        </w:tabs>
        <w:rPr>
          <w:sz w:val="20"/>
          <w:szCs w:val="20"/>
          <w:color w:val="auto"/>
        </w:rPr>
      </w:pPr>
      <w:r>
        <w:rPr>
          <w:rFonts w:ascii="Times New Roman" w:cs="Times New Roman" w:eastAsia="Times New Roman" w:hAnsi="Times New Roman"/>
          <w:sz w:val="20"/>
          <w:szCs w:val="20"/>
          <w:u w:val="single" w:color="auto"/>
          <w:color w:val="0000FF"/>
        </w:rPr>
        <w:t>Item 16.</w:t>
      </w:r>
      <w:r>
        <w:rPr>
          <w:sz w:val="20"/>
          <w:szCs w:val="20"/>
          <w:color w:val="auto"/>
        </w:rPr>
        <w:tab/>
      </w:r>
      <w:r>
        <w:rPr>
          <w:rFonts w:ascii="Times New Roman" w:cs="Times New Roman" w:eastAsia="Times New Roman" w:hAnsi="Times New Roman"/>
          <w:sz w:val="20"/>
          <w:szCs w:val="20"/>
          <w:u w:val="single" w:color="auto"/>
          <w:color w:val="0000FF"/>
        </w:rPr>
        <w:t>Form 10-K Summary</w:t>
      </w:r>
      <w:r>
        <w:rPr>
          <w:sz w:val="20"/>
          <w:szCs w:val="20"/>
          <w:color w:val="auto"/>
        </w:rPr>
        <w:tab/>
      </w:r>
      <w:r>
        <w:rPr>
          <w:rFonts w:ascii="Times New Roman" w:cs="Times New Roman" w:eastAsia="Times New Roman" w:hAnsi="Times New Roman"/>
          <w:sz w:val="20"/>
          <w:szCs w:val="20"/>
          <w:u w:val="single" w:color="auto"/>
          <w:color w:val="0000FF"/>
        </w:rPr>
        <w:t>82</w:t>
      </w:r>
    </w:p>
    <w:p>
      <w:pPr>
        <w:spacing w:after="0" w:line="55" w:lineRule="exact"/>
        <w:rPr>
          <w:sz w:val="20"/>
          <w:szCs w:val="20"/>
          <w:color w:val="auto"/>
        </w:rPr>
      </w:pPr>
    </w:p>
    <w:p>
      <w:pPr>
        <w:spacing w:after="0"/>
        <w:tabs>
          <w:tab w:leader="dot" w:pos="9080" w:val="left"/>
        </w:tabs>
        <w:rPr>
          <w:sz w:val="20"/>
          <w:szCs w:val="20"/>
          <w:color w:val="auto"/>
        </w:rPr>
      </w:pPr>
      <w:r>
        <w:rPr>
          <w:rFonts w:ascii="Times New Roman" w:cs="Times New Roman" w:eastAsia="Times New Roman" w:hAnsi="Times New Roman"/>
          <w:sz w:val="20"/>
          <w:szCs w:val="20"/>
          <w:u w:val="single" w:color="auto"/>
          <w:color w:val="0000FF"/>
        </w:rPr>
        <w:t>SIGNATURES</w:t>
      </w:r>
      <w:r>
        <w:rPr>
          <w:sz w:val="20"/>
          <w:szCs w:val="20"/>
          <w:color w:val="auto"/>
        </w:rPr>
        <w:tab/>
      </w:r>
      <w:r>
        <w:rPr>
          <w:rFonts w:ascii="Times New Roman" w:cs="Times New Roman" w:eastAsia="Times New Roman" w:hAnsi="Times New Roman"/>
          <w:sz w:val="20"/>
          <w:szCs w:val="20"/>
          <w:u w:val="single" w:color="auto"/>
          <w:color w:val="0000FF"/>
        </w:rPr>
        <w:t>83</w:t>
      </w:r>
    </w:p>
    <w:p>
      <w:pPr>
        <w:sectPr>
          <w:pgSz w:w="12240" w:h="15840" w:orient="portrait"/>
          <w:cols w:equalWidth="0" w:num="1">
            <w:col w:w="9620"/>
          </w:cols>
          <w:pgMar w:left="1180" w:top="1371" w:right="1440" w:bottom="1440" w:gutter="0" w:footer="0" w:header="0"/>
        </w:sectPr>
      </w:pPr>
    </w:p>
    <w:bookmarkStart w:id="2" w:name="page3"/>
    <w:bookmarkEnd w:id="2"/>
    <w:p>
      <w:pPr>
        <w:jc w:val="both"/>
        <w:ind w:left="10" w:right="20" w:firstLine="360"/>
        <w:spacing w:after="0" w:line="212" w:lineRule="auto"/>
        <w:rPr>
          <w:sz w:val="20"/>
          <w:szCs w:val="20"/>
          <w:color w:val="auto"/>
        </w:rPr>
      </w:pPr>
      <w:r>
        <w:rPr>
          <w:rFonts w:ascii="Times New Roman" w:cs="Times New Roman" w:eastAsia="Times New Roman" w:hAnsi="Times New Roman"/>
          <w:sz w:val="20"/>
          <w:szCs w:val="20"/>
          <w:color w:val="auto"/>
        </w:rPr>
        <w:t>On June 24, 2021 (the “Closing Date” or the “Closing”), Perella Weinberg Partners consummated a business combination pursuant to that certain Business Combination Agreement, dated as of December 29, 2020 (the “Business Combination Agreement”). As contemplated by the Business Combination Agreement, (i) Perella Weinberg Partners acquired certain partnership interests in PWP Holdings LP (“PWP OpCo”), (ii) PWP OpCo became jointly-owned by Perella Weinberg Partners, PWP Professional Partners LP (together with its successors (including pursuant to the Division (as defined below)) and assigns, as applicable, “Professional Partners”) and certain existing partners of PWP OpCo, and</w:t>
      </w:r>
    </w:p>
    <w:p>
      <w:pPr>
        <w:spacing w:after="0" w:line="3" w:lineRule="exact"/>
        <w:rPr>
          <w:sz w:val="20"/>
          <w:szCs w:val="20"/>
          <w:color w:val="auto"/>
        </w:rPr>
      </w:pPr>
    </w:p>
    <w:p>
      <w:pPr>
        <w:jc w:val="both"/>
        <w:ind w:left="10" w:hanging="10"/>
        <w:spacing w:after="0" w:line="212" w:lineRule="auto"/>
        <w:tabs>
          <w:tab w:leader="none" w:pos="37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PWP OpCo serves as Perella Weinberg Partners’ operating partnership as part of an umbrella limited partnership C-corporation (Up-C) structure (collectively with the other transactions contemplated by the Business Combination Agreement, the “Business Combination”). On December 31, 2023 and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Perella Weinberg Partners were allocated to another divided partnership, PWP VoteCo Professionals LP (“VoteCo Professionals”) and (iii) PWP Professional Partners LP changed its name to PWP AmCo Professional Partners LP. On April 1, 2024, as part of this internal reorganization, AdCo Professionals merged with and into PWP OpCo (the “Merger”). Unless the context otherwise requires, all references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17"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184"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 xml:space="preserve">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w:t>
      </w:r>
      <w:r>
        <w:rPr>
          <w:rFonts w:ascii="Times New Roman" w:cs="Times New Roman" w:eastAsia="Times New Roman" w:hAnsi="Times New Roman"/>
          <w:sz w:val="20"/>
          <w:szCs w:val="20"/>
          <w:b w:val="1"/>
          <w:bCs w:val="1"/>
          <w:i w:val="1"/>
          <w:iCs w:val="1"/>
          <w:color w:val="auto"/>
        </w:rPr>
        <w:t>“Part I—Item 1A. Risk Factors.”</w:t>
      </w:r>
    </w:p>
    <w:p>
      <w:pPr>
        <w:spacing w:after="0" w:line="184"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Website Disclosure</w:t>
      </w:r>
    </w:p>
    <w:p>
      <w:pPr>
        <w:spacing w:after="0" w:line="217" w:lineRule="exact"/>
        <w:rPr>
          <w:sz w:val="20"/>
          <w:szCs w:val="20"/>
          <w:color w:val="auto"/>
        </w:rPr>
      </w:pPr>
    </w:p>
    <w:p>
      <w:pPr>
        <w:jc w:val="both"/>
        <w:ind w:left="10" w:firstLine="360"/>
        <w:spacing w:after="0" w:line="216"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10"/>
          </w:cols>
          <w:pgMar w:left="1170" w:top="1378" w:right="1160" w:bottom="169" w:gutter="0" w:footer="0" w:header="0"/>
          <w:type w:val="continuous"/>
        </w:sectPr>
      </w:pPr>
    </w:p>
    <w:bookmarkStart w:id="3" w:name="page4"/>
    <w:bookmarkEnd w:id="3"/>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8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As of December 31, 2024, we serve our clients with 511 advisory professionals, including 66 advisory partners and 48 advisory managing directors, based in ten offices, located in five countries around the world.</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For the years ended December 31, 2024, 2023, and 2022, we achieved revenues of $878.0 million, $648.7 million, and $631.5 million, respectively, and operating losses of $78.5 million, $115.1 million, and $47.7 million, respectively. These operating losses were largely due to the amortization of equity-based compensation awards granted by Professional Partners in connection with the Business Combination and a related internal reorganization of Professional Partners (the “Professional Partners Awards”), which were fully amortized in 2024, and the amortization of equity-based compensation awards granted in connection with the Business Combination. These awards have been and will be recorded as an equity-based compensation expense at PWP OpCo pursuant to generally accepted accounting principles in the United States (“U.S. GAAP”).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founded our Company with the objective of providing strategic and financial advice to business leaders that is critical to the success of their businesses throughout their corporate evolution. We believe that clients are increasingly looking for an independent advisor who can serve as an unbiased sounding board, work with them in genuine partnership and be by their side as they navigate mission-critical and complex issues.</w:t>
      </w:r>
    </w:p>
    <w:p>
      <w:pPr>
        <w:sectPr>
          <w:pgSz w:w="12240" w:h="15840" w:orient="portrait"/>
          <w:cols w:equalWidth="0" w:num="1">
            <w:col w:w="9900"/>
          </w:cols>
          <w:pgMar w:left="1180" w:top="1440"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1440" w:right="1160" w:bottom="16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Our Key Competitive Strengths</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When we founded the Company, we saw a compelling market opportunity to create a platform with deeply experienced, senior advisory professionals from the most reputable institutions around the world to focus solely on advising clients.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We believe that our integrated approach and our partnership culture in how we work with each other and our clients provides an ideal platform to deliver the strategic and financial advice sought by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growth strategy centers on increasing the depth and breadth of our advisory business in both current and potential future markets. This expansion will be driven by our ability to attract and develop outstanding professionals who complement or expand our market presence or broaden our advisory product offerings and help us attain scale. As we execute on our growth strategy, we expect to strengthen our relationships with clients and the capabilities we can offer them, which will enhance our position as a leading independent advisory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Advisory Offerings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Clients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&amp; Energy Transition; Financial Services &amp; FinTech; Healthcare; Industrials &amp; Infrastructure; and Technology, Telecom &amp; Media.</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complement our industry focus with extensive advisory expertise in the largest international advisory markets. We operate out of ten offices in the United States, Canada, the United Kingdom, France and Germany, and we have deep international experience that has enabled us to work extensively with clients worldwide. Since our inception, we have advised over 1,300 clients on transactions in over 45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Advisory Services</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seek to advise our clients throughout their corporate evolution, with the full range of our advisory capabilities. Those services include advice related to strategic and financial decisions, M&amp;A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spacing w:after="0" w:line="175" w:lineRule="exact"/>
        <w:rPr>
          <w:sz w:val="20"/>
          <w:szCs w:val="20"/>
          <w:color w:val="auto"/>
        </w:rPr>
      </w:pPr>
    </w:p>
    <w:p>
      <w:pPr>
        <w:jc w:val="both"/>
        <w:ind w:right="20" w:firstLine="360"/>
        <w:spacing w:after="0" w:line="220"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M&amp;A and Strategic Advisory: </w:t>
      </w:r>
      <w:r>
        <w:rPr>
          <w:rFonts w:ascii="Times New Roman" w:cs="Times New Roman" w:eastAsia="Times New Roman" w:hAnsi="Times New Roman"/>
          <w:sz w:val="20"/>
          <w:szCs w:val="20"/>
          <w:color w:val="auto"/>
        </w:rPr>
        <w:t>We have established a leading M&amp;A and strategic advisory practice, advising clients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range of strategic issues, risks 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175"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Financing and Capital Solutions Advisory: </w:t>
      </w:r>
      <w:r>
        <w:rPr>
          <w:rFonts w:ascii="Times New Roman" w:cs="Times New Roman" w:eastAsia="Times New Roman" w:hAnsi="Times New Roman"/>
          <w:sz w:val="20"/>
          <w:szCs w:val="20"/>
          <w:color w:val="auto"/>
        </w:rPr>
        <w:t>We have built, and are continuing to invest in, a leading franchise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advising clients on capital markets matters, both in transaction-related and ordinary course financing execution. We provide comprehensive capital structure advice and help our clients develop financing solutions tailored to their specific needs. We believe our independence and objectivity, coupled with our deep experience in complex financial matters, inform our market views and enhance the likelihood of a successful transaction, and in turn have helped us develop trusted and long-lasting relationships with our clients. Moreover, we believe the dramatic shift towards private credit is a once-in-a-generation move. It has been, and we believe will continue to be, a tailwind for our business, both for our corporate clients as well as for financial sponsors.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80" w:top="1371" w:right="1160" w:bottom="169"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Our Commitment to Environmental, Social and Governance Leadership</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believe that leadership in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78" w:lineRule="exact"/>
        <w:rPr>
          <w:sz w:val="20"/>
          <w:szCs w:val="20"/>
          <w:color w:val="auto"/>
        </w:rPr>
      </w:pPr>
    </w:p>
    <w:p>
      <w:pPr>
        <w:jc w:val="both"/>
        <w:ind w:left="720" w:right="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Environmental. </w:t>
      </w:r>
      <w:r>
        <w:rPr>
          <w:rFonts w:ascii="Times New Roman" w:cs="Times New Roman" w:eastAsia="Times New Roman" w:hAnsi="Times New Roman"/>
          <w:sz w:val="20"/>
          <w:szCs w:val="20"/>
          <w:color w:val="auto"/>
        </w:rPr>
        <w:t>The Environmental pillar is focused on assessing and monitoring our environmental footprint,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proactively raising our firm-wide awareness of environmental risk and opportunity by committing to sustainable practices to oversee environmental aspects in our business activities.</w:t>
      </w:r>
    </w:p>
    <w:p>
      <w:pPr>
        <w:spacing w:after="0" w:line="186" w:lineRule="exact"/>
        <w:rPr>
          <w:rFonts w:ascii="Times New Roman" w:cs="Times New Roman" w:eastAsia="Times New Roman" w:hAnsi="Times New Roman"/>
          <w:sz w:val="20"/>
          <w:szCs w:val="20"/>
          <w:color w:val="auto"/>
        </w:rPr>
      </w:pPr>
    </w:p>
    <w:p>
      <w:pPr>
        <w:ind w:left="720" w:right="20" w:hanging="370"/>
        <w:spacing w:after="0" w:line="28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Social. </w:t>
      </w:r>
      <w:r>
        <w:rPr>
          <w:rFonts w:ascii="Times New Roman" w:cs="Times New Roman" w:eastAsia="Times New Roman" w:hAnsi="Times New Roman"/>
          <w:sz w:val="20"/>
          <w:szCs w:val="20"/>
          <w:color w:val="auto"/>
        </w:rPr>
        <w:t>The Social pillar is focused on reinforcing our commitment to engage, develop and motivate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maintaining a rigorous cybersecurity program to protect our valuable data.</w:t>
      </w:r>
    </w:p>
    <w:p>
      <w:pPr>
        <w:spacing w:after="0" w:line="168" w:lineRule="exact"/>
        <w:rPr>
          <w:rFonts w:ascii="Times New Roman" w:cs="Times New Roman" w:eastAsia="Times New Roman" w:hAnsi="Times New Roman"/>
          <w:sz w:val="20"/>
          <w:szCs w:val="20"/>
          <w:color w:val="auto"/>
        </w:rPr>
      </w:pPr>
    </w:p>
    <w:p>
      <w:pPr>
        <w:jc w:val="both"/>
        <w:ind w:left="720" w:hanging="370"/>
        <w:spacing w:after="0" w:line="269"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Governance. </w:t>
      </w:r>
      <w:r>
        <w:rPr>
          <w:rFonts w:ascii="Times New Roman" w:cs="Times New Roman" w:eastAsia="Times New Roman" w:hAnsi="Times New Roman"/>
          <w:sz w:val="20"/>
          <w:szCs w:val="20"/>
          <w:color w:val="auto"/>
        </w:rPr>
        <w:t>The Governance pillar is focused on upholding our commitment to ethical business conduct,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professional integrity and corporate responsibility by integrating strong governance and enterprise risk management oversight across all aspects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People and Inclusive Culture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The drivers of the growth of the Company include a combination of internal promotions and lateral recruiting in our areas of focus. In addition to this promotion and addition of external hires, we have also maintained significant discipline in how we assess our advisory professionals within our culture and our strategic and financial objectives.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senior professionals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8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recruit our junior professionals from the world's leading undergraduate and graduate programs. We devote significant time and resources to attracting, training and mentoring our employees. This starts with positioning our Company to attract competitive, high caliber talent and providing a hands-on development platform from day one through our global internship program and early careers curriculum. We are committed to talent retention, and our goal is to develop our brightest and most ambitious junior professionals into successful partners. To this end, as of December 31, 2024, 25 of our 66 advisory partners and 37 of our 48 advisory managing directors were promoted internally.</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developing advisory professionals, we have also entered into formal relationships with certain senior advisors who work with our advisory professionals to augment our overall advisory services to our clients.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2024, we had 691 employees.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1371" w:right="1160" w:bottom="169" w:gutter="0" w:footer="0" w:header="0"/>
          <w:type w:val="continuous"/>
        </w:sectPr>
      </w:pPr>
    </w:p>
    <w:bookmarkStart w:id="6" w:name="page7"/>
    <w:bookmarkEnd w:id="6"/>
    <w:p>
      <w:pPr>
        <w:ind w:left="10"/>
        <w:spacing w:after="0"/>
        <w:rPr>
          <w:sz w:val="20"/>
          <w:szCs w:val="20"/>
          <w:color w:val="auto"/>
        </w:rPr>
      </w:pPr>
      <w:r>
        <w:rPr>
          <w:rFonts w:ascii="Times New Roman" w:cs="Times New Roman" w:eastAsia="Times New Roman" w:hAnsi="Times New Roman"/>
          <w:sz w:val="20"/>
          <w:szCs w:val="20"/>
          <w:b w:val="1"/>
          <w:bCs w:val="1"/>
          <w:color w:val="auto"/>
        </w:rPr>
        <w:t>Our Focus on Cybersecurity</w:t>
      </w:r>
    </w:p>
    <w:p>
      <w:pPr>
        <w:spacing w:after="0" w:line="217" w:lineRule="exact"/>
        <w:rPr>
          <w:sz w:val="20"/>
          <w:szCs w:val="20"/>
          <w:color w:val="auto"/>
        </w:rPr>
      </w:pPr>
    </w:p>
    <w:p>
      <w:pPr>
        <w:jc w:val="both"/>
        <w:ind w:left="10"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systems in a number of ways through a combination of processes, tools, and awareness-building. We aim to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81"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We maintain a process to enhance security and optimize our IT systems, and regularly conduct security assessments and testing of our systems to verify our systems' integrity to protect against being compromised from both internal and external sources. 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w:t>
      </w:r>
    </w:p>
    <w:p>
      <w:pPr>
        <w:spacing w:after="0" w:line="181"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17"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17"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81"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17"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country’s securities and other financial markets and with protecting the interests of clients participating in those markets.</w:t>
      </w:r>
    </w:p>
    <w:p>
      <w:pPr>
        <w:spacing w:after="0" w:line="181" w:lineRule="exact"/>
        <w:rPr>
          <w:sz w:val="20"/>
          <w:szCs w:val="20"/>
          <w:color w:val="auto"/>
        </w:rPr>
      </w:pPr>
    </w:p>
    <w:p>
      <w:pPr>
        <w:jc w:val="both"/>
        <w:ind w:left="10" w:right="20" w:firstLine="360"/>
        <w:spacing w:after="0" w:line="216" w:lineRule="auto"/>
        <w:rPr>
          <w:sz w:val="20"/>
          <w:szCs w:val="20"/>
          <w:color w:val="auto"/>
        </w:rPr>
      </w:pPr>
      <w:r>
        <w:rPr>
          <w:rFonts w:ascii="Times New Roman" w:cs="Times New Roman" w:eastAsia="Times New Roman" w:hAnsi="Times New Roman"/>
          <w:sz w:val="20"/>
          <w:szCs w:val="20"/>
          <w:color w:val="auto"/>
        </w:rPr>
        <w:t>In the United States, the SEC is the federal agency responsible for the administration of the federal securities laws. Perella Weinberg Partners LP, through which we (i) conduct strategic advisory and restructuring services in the United States, (ii) engage in private placements of securities and investment banking mergers and acquisitions advisory services,</w:t>
      </w:r>
    </w:p>
    <w:p>
      <w:pPr>
        <w:spacing w:after="0" w:line="1" w:lineRule="exact"/>
        <w:rPr>
          <w:sz w:val="20"/>
          <w:szCs w:val="20"/>
          <w:color w:val="auto"/>
        </w:rPr>
      </w:pPr>
    </w:p>
    <w:p>
      <w:pPr>
        <w:jc w:val="both"/>
        <w:ind w:left="10" w:right="20" w:hanging="10"/>
        <w:spacing w:after="0" w:line="216" w:lineRule="auto"/>
        <w:tabs>
          <w:tab w:leader="none" w:pos="36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equity research and sales in the United States, is registered as a broker-dealer with, and is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State securities regulators also have regulatory or oversight authority over Perella Weinberg Partners LP.</w:t>
      </w:r>
    </w:p>
    <w:p>
      <w:pPr>
        <w:sectPr>
          <w:pgSz w:w="12240" w:h="15840" w:orient="portrait"/>
          <w:cols w:equalWidth="0" w:num="1">
            <w:col w:w="9910"/>
          </w:cols>
          <w:pgMar w:left="117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10"/>
          </w:cols>
          <w:pgMar w:left="1170" w:top="1371" w:right="1160" w:bottom="169" w:gutter="0" w:footer="0" w:header="0"/>
          <w:type w:val="continuous"/>
        </w:sectPr>
      </w:pPr>
    </w:p>
    <w:bookmarkStart w:id="7" w:name="page8"/>
    <w:bookmarkEnd w:id="7"/>
    <w:p>
      <w:pPr>
        <w:jc w:val="both"/>
        <w:ind w:left="10" w:right="20" w:firstLine="360"/>
        <w:spacing w:after="0" w:line="213" w:lineRule="auto"/>
        <w:rPr>
          <w:sz w:val="20"/>
          <w:szCs w:val="20"/>
          <w:color w:val="auto"/>
        </w:rPr>
      </w:pPr>
      <w:r>
        <w:rPr>
          <w:rFonts w:ascii="Times New Roman" w:cs="Times New Roman" w:eastAsia="Times New Roman" w:hAnsi="Times New Roman"/>
          <w:sz w:val="20"/>
          <w:szCs w:val="20"/>
          <w:color w:val="auto"/>
        </w:rPr>
        <w:t>Broker-dealers are subject to regulations that cover all aspects of the securities business, including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87" w:lineRule="exact"/>
        <w:rPr>
          <w:sz w:val="20"/>
          <w:szCs w:val="20"/>
          <w:color w:val="auto"/>
        </w:rPr>
      </w:pPr>
    </w:p>
    <w:p>
      <w:pPr>
        <w:jc w:val="both"/>
        <w:ind w:left="10" w:firstLine="360"/>
        <w:spacing w:after="0" w:line="211" w:lineRule="auto"/>
        <w:rPr>
          <w:sz w:val="20"/>
          <w:szCs w:val="20"/>
          <w:color w:val="auto"/>
        </w:rPr>
      </w:pPr>
      <w:r>
        <w:rPr>
          <w:rFonts w:ascii="Times New Roman" w:cs="Times New Roman" w:eastAsia="Times New Roman" w:hAnsi="Times New Roman"/>
          <w:sz w:val="20"/>
          <w:szCs w:val="20"/>
          <w:color w:val="auto"/>
        </w:rPr>
        <w:t>In addition to the regulation, we are subject to in the United States, we are also subject to regulation internationally. Perella Weinberg UK Limited (“PWP U.K.”) is authorized and regulated by the Financial Conduct Authority (“FCA”) as a Small Non-Interconnected investment firm. Perella Weinberg Partners France SAS (“PWP France”) is authorized and regulated by the Authorite de Controle Prudentiel (“ACPR”) and the Authorite des Marches Financiers (“AMF”) as a class 3 investment firm. Both PWP U.K. and PWP France are subject to regulations applicable to investment firms respectively in the U.K. and in France, including market abuse and insider dealing regulation, anti-money laundering, conflicts management, business conduct, regulatory reporting and minimum regulatory capital requirements. Tudor, Pickering, Holt</w:t>
      </w:r>
    </w:p>
    <w:p>
      <w:pPr>
        <w:spacing w:after="0" w:line="7" w:lineRule="exact"/>
        <w:rPr>
          <w:sz w:val="20"/>
          <w:szCs w:val="20"/>
          <w:color w:val="auto"/>
        </w:rPr>
      </w:pPr>
    </w:p>
    <w:p>
      <w:pPr>
        <w:jc w:val="both"/>
        <w:ind w:left="10" w:right="20" w:hanging="10"/>
        <w:spacing w:after="0" w:line="213" w:lineRule="auto"/>
        <w:tabs>
          <w:tab w:leader="none" w:pos="25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Securities -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Canadian Investment Regulatory Organization (“CIRO”), which adopts and enforces rules overseeing the capital, business conduct, record keeping, individual registration and proficiency, governance, and examines the activities of, its member firms. Per CIRO’s rules, TPH Canada is required to maintain certain minimum capital, with additional capital requirements when TPH Canada participates in deal financings outside of its carrying broker relationship.</w:t>
      </w:r>
    </w:p>
    <w:p>
      <w:pPr>
        <w:spacing w:after="0" w:line="185"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Certain parts of our business are subject to compliance with laws and regulations of U.S. federal and state governments, non-U.S. governments, their respective agencies and/or various self-regulatory organizations relating to, among other things, the privacy of client information, and any failure to comply with these regulations could expose us to liability and/or reputational damage.</w:t>
      </w:r>
    </w:p>
    <w:p>
      <w:pPr>
        <w:spacing w:after="0" w:line="181" w:lineRule="exact"/>
        <w:rPr>
          <w:sz w:val="20"/>
          <w:szCs w:val="20"/>
          <w:color w:val="auto"/>
        </w:rPr>
      </w:pPr>
    </w:p>
    <w:p>
      <w:pPr>
        <w:jc w:val="both"/>
        <w:ind w:left="10" w:firstLine="360"/>
        <w:spacing w:after="0" w:line="213" w:lineRule="auto"/>
        <w:rPr>
          <w:sz w:val="20"/>
          <w:szCs w:val="20"/>
          <w:color w:val="auto"/>
        </w:rPr>
      </w:pPr>
      <w:r>
        <w:rPr>
          <w:rFonts w:ascii="Times New Roman" w:cs="Times New Roman" w:eastAsia="Times New Roman" w:hAnsi="Times New Roman"/>
          <w:sz w:val="20"/>
          <w:szCs w:val="20"/>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191" w:lineRule="exact"/>
        <w:rPr>
          <w:sz w:val="20"/>
          <w:szCs w:val="20"/>
          <w:color w:val="auto"/>
        </w:rPr>
      </w:pPr>
    </w:p>
    <w:p>
      <w:pPr>
        <w:jc w:val="both"/>
        <w:ind w:left="10" w:firstLine="360"/>
        <w:spacing w:after="0" w:line="215" w:lineRule="auto"/>
        <w:rPr>
          <w:sz w:val="20"/>
          <w:szCs w:val="20"/>
          <w:color w:val="auto"/>
        </w:rPr>
      </w:pPr>
      <w:r>
        <w:rPr>
          <w:rFonts w:ascii="Times New Roman" w:cs="Times New Roman" w:eastAsia="Times New Roman" w:hAnsi="Times New Roman"/>
          <w:sz w:val="20"/>
          <w:szCs w:val="20"/>
          <w:color w:val="auto"/>
        </w:rPr>
        <w:t>The Bank Secrecy Act (the “BSA”), as amended by the USA PATRIOT Act of 2001, the Anti-Money Laundering Act of 2021, and the Treasury Department's and FINRA's implementing regulations require Perella Weinberg Partners LP, as a broker-dealer,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ectPr>
          <w:pgSz w:w="12240" w:h="15840" w:orient="portrait"/>
          <w:cols w:equalWidth="0" w:num="1">
            <w:col w:w="9910"/>
          </w:cols>
          <w:pgMar w:left="117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10"/>
          </w:cols>
          <w:pgMar w:left="1170" w:top="1378" w:right="1160" w:bottom="169" w:gutter="0" w:footer="0" w:header="0"/>
          <w:type w:val="continuous"/>
        </w:sectPr>
      </w:pPr>
    </w:p>
    <w:bookmarkStart w:id="8" w:name="page9"/>
    <w:bookmarkEnd w:id="8"/>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86"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offense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1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principal risks and uncertainties affecting our business include (but are not limited to) the following: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below.</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1378" w:right="1160" w:bottom="16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8"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Changing market conditions can adversely affect our business in many ways, including by reducing the volume and value of the transactions involving our business, which could materially reduce our revenue.</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pandemics, terrorism, international hostilities, including the current hostilities between Russia and Ukraine and the conflict between Israel and Hamas,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other advisory services, including recapitalization and restructuring transactions, may decrease, thereby reducing demand for those services on our platform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such other areas. Further, in the period following an economic downturn, the volume and value of M&amp;A transactions typically take time to recover and lag behind a recovery in market and economic conditions. These trends are cyclical in nature and subject to periodic reversal.</w:t>
      </w:r>
    </w:p>
    <w:p>
      <w:pPr>
        <w:spacing w:after="0" w:line="18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and Europe, our operations in the United States have historically provided most of our revenues and earnings. Consequently, our revenues and profitability are particularly affected by market conditions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execute on our growth initiatives, business strategies or operating plans.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are executing on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7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future growth will depend on, among other things, our ability to successfully identify, recruit, develop and retain talent and will require us to commit additional resources.</w:t>
      </w:r>
    </w:p>
    <w:p>
      <w:pPr>
        <w:spacing w:after="0" w:line="178"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We have experienced significant growth over the past several years, which may be difficult to sustain at the same rate. Our business objectives are dependent, in part, on our ability to further grow our business to gain benefits related to scale.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gain benefits related to scale, and our financial results could be materially adversely affected.</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1371" w:right="1160" w:bottom="169" w:gutter="0" w:footer="0" w:header="0"/>
          <w:type w:val="continuous"/>
        </w:sectPr>
      </w:pPr>
    </w:p>
    <w:bookmarkStart w:id="10" w:name="page11"/>
    <w:bookmarkEnd w:id="10"/>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There can be no assurance that we will be able to manage our expanding operations effectively, and any failure to do so could materially adversely affect our ability to grow revenue and control our expenses.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81"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may not be successful in our efforts to retain the required personnel as the market for qualified advisory professionals is extremely competitive. Working partners and other senior professionals have left us in the past and others may do so in the future.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senior professionals provide sufficient incentives or protections to prevent our working partners from resigning to compete with our Company or join our competitors. We may be unable to implement or enforce adequate restrictive covenants, including non-competition arrangements, due to legal and regulatory constraints in the jurisdictions in which we operate, which may currently or in the future apply to our senior professionals.</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7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In addition to recruiting and internal promotions, we may grow our business through strategic transactions, including joint ventures, strategic investments or acquisitions.</w:t>
      </w:r>
    </w:p>
    <w:p>
      <w:pPr>
        <w:spacing w:after="0" w:line="180"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legal, regulatory, financial and business risks. If we are unable to successfully manage these risks, we will not be able to implement our growth strategy, which could ultimately materially adversely affect our business, financial condition and results of operations.</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85"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revenue in any given period is dependent on the number of fee-paying clients in such period. For the year ended December 31, 2024, we earned revenues from 221 advisory clients, 141 of which generated fees equal to or greater than $1.0 million. For the year ended December 31, 2023 we earned revenues from 202 advisory clients, 123 of which generated fees equal to or greater than $1.0 million. For the year ended December 31, 2022, we earned revenues from 200 advisory clients, 127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one individual client that accounted for more than 10% of aggregate revenues for the year ended December 31, 2024, while no individual client accounted for more than 10% of aggregate revenues for the years ended December 31, 2023 and 2022.</w:t>
      </w:r>
    </w:p>
    <w:p>
      <w:pPr>
        <w:sectPr>
          <w:pgSz w:w="12240" w:h="15840" w:orient="portrait"/>
          <w:cols w:equalWidth="0" w:num="1">
            <w:col w:w="9900"/>
          </w:cols>
          <w:pgMar w:left="1180" w:top="1378" w:right="1160" w:bottom="169"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180" w:top="1378" w:right="1160" w:bottom="169" w:gutter="0" w:footer="0" w:header="0"/>
          <w:type w:val="continuous"/>
        </w:sectPr>
      </w:pPr>
    </w:p>
    <w:bookmarkStart w:id="11" w:name="page12"/>
    <w:bookmarkEnd w:id="11"/>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recorded operating losses in the past and may experience operating losses in the future.</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For the years ended December 31, 2024, 2023, and 2022, we recorded operating losses of $78.5 million, $115.1 million, and $47.7 million, respectively. These operating losses were largely due to the amortization of the Professional Partners Awards, which were fully amortized in 2024, and the amortization of equity-based compensation awards granted in connection with the Business Combination. These awards have been and will be recorded as equity-based compensation expense at PWP OpCo pursuant to U.S. GAAP. We need to continue to compensate personnel competitively in order to continue building our business and as a result, we may again experience operating losses in future periods.</w:t>
      </w:r>
    </w:p>
    <w:p>
      <w:pPr>
        <w:spacing w:after="0" w:line="172"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85"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w:t>
      </w:r>
    </w:p>
    <w:p>
      <w:pPr>
        <w:spacing w:after="0" w:line="186"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Because in many cases revenue is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18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addition, our engagements are often singular in nature and do not provide for subsequent engagements, which could cause our revenues to fluctuate materially from period to period.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Further, we have in the past and may in the future face the risk that certain clients may not have the financial resources to pay our agreed-upon fees. Certain clients may also be unwilling to pay our fees in whole or in part, in which case we may have to incur significant costs to bring legal action to enforce our engagement agreements to obtain such fees. On occasion, some of our clients have entered bankruptcy, which has prevented us from collecting amounts owed to us.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the number of debt defaults, bankruptcies or other factors affecting demand for our recapitalization and restructuring advisory services declines, our business related to such services could suffer.</w:t>
      </w:r>
    </w:p>
    <w:p>
      <w:pPr>
        <w:spacing w:after="0" w:line="178"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advisory services related to recapitalization and restructuring activity declines, our business could be adversely affected.</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00"/>
          </w:cols>
          <w:pgMar w:left="1180" w:top="1378" w:right="1160" w:bottom="169" w:gutter="0" w:footer="0" w:header="0"/>
          <w:type w:val="continuous"/>
        </w:sectPr>
      </w:pPr>
    </w:p>
    <w:bookmarkStart w:id="12" w:name="page13"/>
    <w:bookmarkEnd w:id="12"/>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failure to deal appropriately with actual, potential or perceived conflicts of interest could damage our reputation and materially adversely affect our business.</w:t>
      </w:r>
    </w:p>
    <w:p>
      <w:pPr>
        <w:spacing w:after="0" w:line="178"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confront actual, potential or perceived conflicts of interest in our business. Appropriately identifying and managing actual, potential or perceived conflicts of interest is complex and difficult. Accordingly, we face the risk that our policies, controls and procedures may not timely identify or appropriately manage such conflicts of interest. If we fail, or appear to fail, to timely identify or appropriately manage one or more potential or actual conflicts of interest, we could face client dissatisfaction, damage to our reputation, or regulatory or legal risk.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Further, certain members of our management team oversee or are otherwise involved in PWP Capital Holdings LP’s (“PWP Capital”) asset management business or other businesses, which could divert their time and attention away from running our advisory business and create, or appear to create, potential conflicts of interest when they are faced with decisions that could have different implications for us and PWP Capital’s asset management business or other businesses that they may manage or otherwise be involved with.</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may implement or may be required to implement additional policies, controls and procedures to address additional regulatory requirements, including as a result of additional foreign jurisdictions in which we operate, or to mitigate actual or potential conflicts of interest, which could limit our activities, result in increased costs, including for additional personnel and infrastructure and information technology improvements, or reduce the positive synergies that we seek to cultivate across our businesses.</w:t>
      </w:r>
    </w:p>
    <w:p>
      <w:pPr>
        <w:spacing w:after="0" w:line="17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which is difficult to detect and deter, and other labor-related issues could harm us by impairing our ability to attract and retain clients and talent and by subjecting us to legal liability and reputational harm.</w:t>
      </w:r>
    </w:p>
    <w:p>
      <w:pPr>
        <w:spacing w:after="0" w:line="178"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We also face the risk that our employees engage in work place misconduct, such as sexual harassment or discrimination, despite our implementation of policies and training to prevent and detect misconduct. In addition to impairing our ability to attract and retain clients, such misconduct may also impair our ability to attract and retain talent resulting in a materially adverse effect on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ectPr>
          <w:pgSz w:w="12240" w:h="15840" w:orient="portrait"/>
          <w:cols w:equalWidth="0" w:num="1">
            <w:col w:w="9900"/>
          </w:cols>
          <w:pgMar w:left="1180" w:top="1369" w:right="1160" w:bottom="169"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180" w:top="1369" w:right="1160" w:bottom="169" w:gutter="0" w:footer="0" w:header="0"/>
          <w:type w:val="continuous"/>
        </w:sectPr>
      </w:pPr>
    </w:p>
    <w:bookmarkStart w:id="13" w:name="page14"/>
    <w:bookmarkEnd w:id="13"/>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8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have experienced competition in obtaining advisory mandates, including with respect to pricing, and we may experience further pricing pressures in our business in the future as some of our competitors may seek to obtain increased market share by reducing fees.</w:t>
      </w:r>
    </w:p>
    <w:p>
      <w:pPr>
        <w:spacing w:after="0" w:line="182"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Our competitors include large financial institutions, many of which have far greater financial and other resources than we do. Unlike us, these large financial institutions have the ability to support investment banking, including financial advisory services, with commercial lending and other financial services and products we do not offer in an effort to gain market share. This may put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 and earnings.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we are unable to compete successfully with our existing competitors or with any new competitors, we will not be able to implement our growth strategy, which ultimately could materially adversely affect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 a member of the financial services industry, we face substantial litigation risks.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These risks often may be difficult to assess or quantify and their existence and magnitude often remain unknown for substantial periods of time.</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From time to time, we act as an underwriter in public offerings and other distributions of securities. Therefore, we are subject to risks associated with underwriting activity, including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180" w:top="1378" w:right="1160" w:bottom="169" w:gutter="0" w:footer="0" w:header="0"/>
          <w:type w:val="continuous"/>
        </w:sectPr>
      </w:pPr>
    </w:p>
    <w:bookmarkStart w:id="14" w:name="page15"/>
    <w:bookmarkEnd w:id="14"/>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cybersecurity and other operational risks.</w:t>
      </w:r>
    </w:p>
    <w:p>
      <w:pPr>
        <w:spacing w:after="0" w:line="219"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92"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81"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180" w:top="1378" w:right="1160" w:bottom="169"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international operations are subject to certain risks, which may affect our revenue.</w:t>
      </w:r>
    </w:p>
    <w:p>
      <w:pPr>
        <w:spacing w:after="0" w:line="219"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For the years ended December 31, 2024, 2023, and 2022, we earned approximately 14.2%, 18.2%, and 24.3%,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 greater difficulties in managing and staffing foreign operations; language barriers and cultural differences, including the need to adopt different business practices in different geographic areas; fluctuations in foreign currency exchange rates that could adversely affect our results; unexpected, additional and/or costly changes in trading policies, regulatory requirements, tariffs and other barriers; restrictions on travel; longer transaction cycles; higher operating costs; local labor conditions and regulations; adverse consequences or restrictions on the repatriation of earnings; potentially adverse tax consequences, such as trapped foreign losses or profits; potentially less stable political and economic environments; terrorism, international hostilities, war and other civil disturbances or other catastrophic events that reduce business activity; different fee structures for our advisory services; and difficulty collecting fees.</w:t>
      </w:r>
    </w:p>
    <w:p>
      <w:pPr>
        <w:spacing w:after="0" w:line="19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181"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If our international business increases relative to our total business, the materialization of these risks could have a more pronounced effect on our operating results or growth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advisory engagements. However, we may grow our business by entering into new lines of business. Moreover, we currently derive a small portion of revenue through equity research and underwriting services.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could be materially adversely affected.</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180" w:top="1369" w:right="1160" w:bottom="169"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Fluctuations in foreign currency exchange rates could adversely affect our results.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Because our financial statements are denominated in U.S. dollars and we receive a portion of our revenue in other currencies (including the Euro, pound sterling and Canadian dollars), we are exposed to fluctuations in foreign currencies. During the years ended December 31, 2024, 2023, and 2022, 11.8%, 16.9%, and 19.2%, respectively, of revenue was denominated in currencies other than the U.S. dollar. In addition, we pay certain of our expenses in such currencies. Additionally, entering into transactions and holding monetary assets and liabilities that are not denominated in the functional currency of our foreign subsidiaries exposes the Company to exchange rate fluctuations which can result in foreign currency related transaction gains and losses.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80"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Restrictions in the Credit Agreement (as defined below) governing our Revolving Credit Facility (as defined below) may impair our ability to finance our future operations or capital needs or engage in other business activities that may be in our interests.</w:t>
      </w:r>
    </w:p>
    <w:p>
      <w:pPr>
        <w:spacing w:after="0" w:line="185"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have access to a revolving credit facility (the “Revolving Credit Facility”) through an amended and restated credit agreement with Cadence Bank, dated December 11, 2018 (as amended on December 11, 2018, November 11, 2020, December 28, 2020, June 15, 2021, June 30, 2023, and January 24, 2025, the “Credit Agreement”), which provides for a $50.0 million unsecured revolving credit facility that matures on July 1, 2028,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 incur liens; dispose of assets; incur additional indebtedness; make certain restricted payments; engage in business mergers or consolidations; and engage in certain transactions with subsidiaries and affiliates.</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 declare the commitments of all of the lenders under the Revolving Credit Facility (or any replacement credit facility) to be terminated; and declare all outstanding debt, accrued interest and fees to be due and immediately payable.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generate sufficient cash to service any indebtedness.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75"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on the Consolidated Statements of Financial Condition.</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180" w:top="1369" w:right="1160" w:bottom="16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Risks Related to Regulation</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85"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 participant in the financial services industry, we are subject to extensive regulation in the United States and internationally, including regulatory capital and other requirements imposed on our SEC-registered broker-dealer, Perella Weinberg Partners LP. We are subject to regulatory restrictions and requirements imposed by applicable statutes, regulations and policies in the jurisdictions in which we operate. U.S. and non-U.S. government agencies and self-regulatory organizations, including the SEC,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18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Administrators, CIRO, the ACPR, the AMF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New laws or regulations or changes in enforcement of existing laws or regulations applicable to our clients may also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81"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78"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European Union. and the U.K., the GDPR and the U.K. GDPR, took effect on May 25, 2018. As we engage in significant business in Europe and in the U.K.,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180" w:top="1371" w:right="1160" w:bottom="169"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08"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85"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(as defined below), Professional Partners' indemnification claims with respect to the advisory business and dividends, if any, declared by us.</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8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pay our ILPs (as defined below) and/or Limited Partners (as defined below)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86"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Our acquisition of PWP OpCo Class A partnership units in connection with the Business Combination or pursuant to future exchanges of PWP OpCo Class A partnership units for shares of our Class A common stock or cash, and certain other transactions, have or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184"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Our tax receivable agreement (the “TRA” or “Tax Receivable Agreement”)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9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of Professional Partners (“Limited Partners”) will not reimburse us for any payments that may previously have been made under the TRA if such basis increases or other benefits are subsequently disallowed.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180" w:top="1371" w:right="1160" w:bottom="169" w:gutter="0" w:footer="0" w:header="0"/>
          <w:type w:val="continuous"/>
        </w:sectPr>
      </w:pPr>
    </w:p>
    <w:bookmarkStart w:id="19" w:name="page20"/>
    <w:bookmarkEnd w:id="19"/>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84"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7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86"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84" w:lineRule="exact"/>
        <w:rPr>
          <w:sz w:val="20"/>
          <w:szCs w:val="20"/>
          <w:color w:val="auto"/>
        </w:rPr>
      </w:pPr>
    </w:p>
    <w:p>
      <w:pPr>
        <w:jc w:val="both"/>
        <w:ind w:firstLine="360"/>
        <w:spacing w:after="0" w:line="212" w:lineRule="auto"/>
        <w:rPr>
          <w:sz w:val="20"/>
          <w:szCs w:val="20"/>
          <w:color w:val="auto"/>
        </w:rPr>
      </w:pPr>
      <w:r>
        <w:rPr>
          <w:rFonts w:ascii="Times New Roman" w:cs="Times New Roman" w:eastAsia="Times New Roman" w:hAnsi="Times New Roman"/>
          <w:sz w:val="20"/>
          <w:szCs w:val="20"/>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“PWP OpCo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80" w:top="1378" w:right="1160" w:bottom="169" w:gutter="0" w:footer="0" w:header="0"/>
          <w:type w:val="continuous"/>
        </w:sectPr>
      </w:pPr>
    </w:p>
    <w:bookmarkStart w:id="20" w:name="page21"/>
    <w:bookmarkEnd w:id="20"/>
    <w:p>
      <w:pPr>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PWP OpCo and PWP Capital have entered into various arrangements, including a master separation agreement, which contain cross-indemnification obligations of us and PWP Capital.</w:t>
      </w:r>
    </w:p>
    <w:p>
      <w:pPr>
        <w:spacing w:after="0" w:line="178" w:lineRule="exact"/>
        <w:rPr>
          <w:sz w:val="20"/>
          <w:szCs w:val="20"/>
          <w:color w:val="auto"/>
        </w:rPr>
      </w:pPr>
    </w:p>
    <w:p>
      <w:pPr>
        <w:ind w:right="40" w:firstLine="360"/>
        <w:spacing w:after="0" w:line="214" w:lineRule="auto"/>
        <w:rPr>
          <w:sz w:val="20"/>
          <w:szCs w:val="20"/>
          <w:color w:val="auto"/>
        </w:rPr>
      </w:pPr>
      <w:r>
        <w:rPr>
          <w:rFonts w:ascii="Times New Roman" w:cs="Times New Roman" w:eastAsia="Times New Roman" w:hAnsi="Times New Roman"/>
          <w:sz w:val="20"/>
          <w:szCs w:val="20"/>
          <w:color w:val="auto"/>
        </w:rPr>
        <w:t>The master separation agreement that we entered into with PWP Capital, which holds the former asset management business of PWP OpCo prior to the separation of our advisory business from the asset management business of PWP OpCo in February 2019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8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could prevent us from benefiting from corporate opportunities that might have otherwise been available to us.</w:t>
      </w:r>
    </w:p>
    <w:p>
      <w:pPr>
        <w:spacing w:after="0" w:line="178" w:lineRule="exact"/>
        <w:rPr>
          <w:sz w:val="20"/>
          <w:szCs w:val="20"/>
          <w:color w:val="auto"/>
        </w:rPr>
      </w:pPr>
    </w:p>
    <w:p>
      <w:pPr>
        <w:jc w:val="both"/>
        <w:ind w:right="20" w:firstLine="360"/>
        <w:spacing w:after="0" w:line="211" w:lineRule="auto"/>
        <w:rPr>
          <w:sz w:val="20"/>
          <w:szCs w:val="20"/>
          <w:color w:val="auto"/>
        </w:rPr>
      </w:pPr>
      <w:r>
        <w:rPr>
          <w:rFonts w:ascii="Times New Roman" w:cs="Times New Roman" w:eastAsia="Times New Roman" w:hAnsi="Times New Roman"/>
          <w:sz w:val="20"/>
          <w:szCs w:val="20"/>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18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8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80" w:top="1369" w:right="1160" w:bottom="169" w:gutter="0" w:footer="0" w:header="0"/>
          <w:type w:val="continuous"/>
        </w:sectPr>
      </w:pPr>
    </w:p>
    <w:bookmarkStart w:id="21" w:name="page22"/>
    <w:bookmarkEnd w:id="21"/>
    <w:p>
      <w:pPr>
        <w:ind w:right="1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78"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“TPH&amp;Co.” brand names. These risks could impair our operations, affect our reputation and adversely affect our business.</w:t>
      </w:r>
    </w:p>
    <w:p>
      <w:pPr>
        <w:spacing w:after="0" w:line="17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78"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VoteCo Professionals beneficially owns all of the outstanding shares of our Class B-1 common stock, representing approximately 82.3% of our total voting power, and holders of Class A common stock own shares of our Class A common stock, representing approximately 17.7% of our total voting power (in each case as of December 31, 2024).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84"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ectPr>
          <w:pgSz w:w="12240" w:h="15840" w:orient="portrait"/>
          <w:cols w:equalWidth="0" w:num="1">
            <w:col w:w="9880"/>
          </w:cols>
          <w:pgMar w:left="1180" w:top="1369"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80"/>
          </w:cols>
          <w:pgMar w:left="1180" w:top="1369" w:right="1180" w:bottom="169" w:gutter="0" w:footer="0" w:header="0"/>
          <w:type w:val="continuous"/>
        </w:sectPr>
      </w:pPr>
    </w:p>
    <w:bookmarkStart w:id="22" w:name="page23"/>
    <w:bookmarkEnd w:id="22"/>
    <w:p>
      <w:pPr>
        <w:ind w:right="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VoteCo Professionals’ control over us may give rise to actual or perceived conflicts of interest with the Limited Partners who manage VoteCo Professionals.</w:t>
      </w:r>
    </w:p>
    <w:p>
      <w:pPr>
        <w:spacing w:after="0" w:line="178" w:lineRule="exact"/>
        <w:rPr>
          <w:sz w:val="20"/>
          <w:szCs w:val="20"/>
          <w:color w:val="auto"/>
        </w:rPr>
      </w:pPr>
    </w:p>
    <w:p>
      <w:pPr>
        <w:jc w:val="both"/>
        <w:ind w:firstLine="360"/>
        <w:spacing w:after="0" w:line="210" w:lineRule="auto"/>
        <w:rPr>
          <w:sz w:val="20"/>
          <w:szCs w:val="20"/>
          <w:color w:val="auto"/>
        </w:rPr>
      </w:pPr>
      <w:r>
        <w:rPr>
          <w:rFonts w:ascii="Times New Roman" w:cs="Times New Roman" w:eastAsia="Times New Roman" w:hAnsi="Times New Roman"/>
          <w:sz w:val="20"/>
          <w:szCs w:val="20"/>
          <w:color w:val="auto"/>
        </w:rPr>
        <w:t>We are controlled by VoteCo Professionals, which is ultimately managed by a committee of Limited Partners that manages Professionals GP, the general partner of VoteCo Professionals. The interests of the Limited Partners who manage VoteCo Professionals may differ from those of our other stockholders. For example, the Limited Partners who manage VoteCo Professionals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VoteCo Professionals, which is ultimately managed by a committee of Limited Partners that manages Professionals GP, the general partner of VoteCo Professionals, holds all outstanding shares of Class B-1 common stock and thereby control approximately 82.3% of the voting interest in us as of December 31, 2024. The shares of Class B-1 common stock will entitle VoteCo Professionals to (i) for so long as the condition that Professional Partners or its Limited Partners as of the date of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VoteCo Professionals (the “Stockholders Agreement”), pursuant to which, for so long as the Class B Condition is satisfied, VoteCo Professionals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VoteCo Professionals will have the right to designate a number of directors (rounded up to the nearest whole number) equal to one third of our board of directors. As a result, because the Limited Partners who manage VoteCo Professionals have a majority of the voting power in us through their control of VoteCo Professionals,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VoteCo Professionals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VoteCo Professionals could deprive our stockholders of an opportunity to receive a premium for their Class A common stock as part of a sale of us and might ultimately affect the market price of our Class A common stock. As a result of the control exercised by the Limited Partners who manage VoteCo Professionals over us, none of our agreements with them have been negotiated on “arm’s length” terms. We cannot assure you that we would not have received more favorable terms from an unaffiliated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performance does not meet market expectations, the price of our securities may decline.</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our performance does not meet market expectations, the price of our securities may decline.</w:t>
      </w:r>
    </w:p>
    <w:p>
      <w:pPr>
        <w:spacing w:after="0" w:line="21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1369" w:right="1160" w:bottom="169" w:gutter="0" w:footer="0" w:header="0"/>
          <w:type w:val="continuous"/>
        </w:sectPr>
      </w:pPr>
    </w:p>
    <w:bookmarkStart w:id="23" w:name="page24"/>
    <w:bookmarkEnd w:id="23"/>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 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 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 fluctuations, international hostilities and acts of war or terrorism.</w:t>
      </w:r>
    </w:p>
    <w:p>
      <w:pPr>
        <w:spacing w:after="0" w:line="19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Our stockholders may be diluted by the future issuance of common stock, preferred stock or securities convertible or exchangeable into common or preferred stock, in connection with our incentive plans, acquisitions, capital raises or otherwise.</w:t>
      </w:r>
    </w:p>
    <w:p>
      <w:pPr>
        <w:spacing w:after="0" w:line="185"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2024, we had 1,500,000,000 shares of Class A common stock authorized, of which 72,544,696 had been issued and 59,181,721 are outstanding.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81"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83"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sales of our Class A common stock may reduce the market price of our Class A common stock.</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ectPr>
          <w:pgSz w:w="12240" w:h="15840" w:orient="portrait"/>
          <w:cols w:equalWidth="0" w:num="1">
            <w:col w:w="9900"/>
          </w:cols>
          <w:pgMar w:left="1180" w:top="1378" w:right="1160" w:bottom="169" w:gutter="0" w:footer="0" w:header="0"/>
        </w:sectPr>
      </w:pP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1378" w:right="1160" w:bottom="169"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0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 over financial reporting, this could have a material adverse effect on our business.</w:t>
      </w:r>
    </w:p>
    <w:p>
      <w:pPr>
        <w:spacing w:after="0" w:line="178"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a public company, we are required to maintain internal control over financial reporting and to report any material weaknesses in such internal controls. Section 404 of the Sarbanes-Oxley Act of 2002 (the “Sarbanes-Oxley Act”) requires our management report upon the effectiveness of our internal control over financial reporting, and our independent registered public accounting firm is required to attest to the effectiveness of our internal control over financial reporting. If</w:t>
      </w:r>
    </w:p>
    <w:p>
      <w:pPr>
        <w:spacing w:after="0" w:line="224" w:lineRule="auto"/>
        <w:rPr>
          <w:sz w:val="20"/>
          <w:szCs w:val="20"/>
          <w:color w:val="auto"/>
        </w:rPr>
      </w:pPr>
      <w:r>
        <w:rPr>
          <w:rFonts w:ascii="Times New Roman" w:cs="Times New Roman" w:eastAsia="Times New Roman" w:hAnsi="Times New Roman"/>
          <w:sz w:val="20"/>
          <w:szCs w:val="20"/>
          <w:color w:val="auto"/>
        </w:rPr>
        <w:t>we are not able to adequately comply with Section 404 of the Sarbanes-Oxley Act or if our management  or auditors are</w:t>
      </w:r>
    </w:p>
    <w:p>
      <w:pPr>
        <w:jc w:val="both"/>
        <w:ind w:right="20"/>
        <w:spacing w:after="0" w:line="222" w:lineRule="auto"/>
        <w:rPr>
          <w:sz w:val="20"/>
          <w:szCs w:val="20"/>
          <w:color w:val="auto"/>
        </w:rPr>
      </w:pPr>
      <w:r>
        <w:rPr>
          <w:rFonts w:ascii="Times New Roman" w:cs="Times New Roman" w:eastAsia="Times New Roman" w:hAnsi="Times New Roman"/>
          <w:sz w:val="20"/>
          <w:szCs w:val="20"/>
          <w:color w:val="auto"/>
        </w:rPr>
        <w:t>unable to conclude that our internal control over financial reporting is effective, we may become subject to adverse regulatory consequences and/or investors could lose confidence in the accuracy and completeness of our financial reports and that could lead to a decrease in the market price of our Class A common stock.</w:t>
      </w:r>
    </w:p>
    <w:p>
      <w:pPr>
        <w:spacing w:after="0" w:line="180"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Class A common stock is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can give no assurance that material weaknesses or restatements of financial results will not arise in the future due to a failure to maintain adequate internal control over financial reporting or circumvention of these controls, or that any measures we take will be sufficient to remediate such material weaknesses. In addition, even if we are successful in maintaining our controls and procedures, in the future those controls and procedures may not be adequate to prevent or identify irregularities or errors or to facilitate the fair presentation of our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Governance and Governance Documents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85"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81"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7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The classification of our board of directors may have anti-takeover effects, including discouraging, delaying or preventing our change of control.</w:t>
      </w:r>
    </w:p>
    <w:p>
      <w:pPr>
        <w:spacing w:after="0" w:line="17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180" w:top="1371" w:right="1160" w:bottom="169" w:gutter="0" w:footer="0" w:header="0"/>
          <w:type w:val="continuous"/>
        </w:sectPr>
      </w:pPr>
    </w:p>
    <w:bookmarkStart w:id="25" w:name="page26"/>
    <w:bookmarkEnd w:id="25"/>
    <w:p>
      <w:pPr>
        <w:jc w:val="both"/>
        <w:ind w:left="10"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as well as the rules of FINRA, the FCA, the Alberta Commission, CIRO,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87"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84"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81"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172" w:lineRule="exact"/>
        <w:rPr>
          <w:sz w:val="20"/>
          <w:szCs w:val="20"/>
          <w:color w:val="auto"/>
        </w:rPr>
      </w:pPr>
    </w:p>
    <w:p>
      <w:pPr>
        <w:jc w:val="both"/>
        <w:ind w:left="10" w:right="2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87" w:lineRule="exact"/>
        <w:rPr>
          <w:sz w:val="20"/>
          <w:szCs w:val="20"/>
          <w:color w:val="auto"/>
        </w:rPr>
      </w:pPr>
    </w:p>
    <w:p>
      <w:pPr>
        <w:jc w:val="both"/>
        <w:ind w:left="10" w:right="20" w:firstLine="360"/>
        <w:spacing w:after="0" w:line="214"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w:t>
      </w:r>
    </w:p>
    <w:p>
      <w:pPr>
        <w:spacing w:after="0" w:line="2" w:lineRule="exact"/>
        <w:rPr>
          <w:sz w:val="20"/>
          <w:szCs w:val="20"/>
          <w:color w:val="auto"/>
        </w:rPr>
      </w:pPr>
    </w:p>
    <w:p>
      <w:pPr>
        <w:jc w:val="both"/>
        <w:ind w:left="10" w:hanging="10"/>
        <w:spacing w:after="0" w:line="210" w:lineRule="auto"/>
        <w:tabs>
          <w:tab w:leader="none" w:pos="3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ectPr>
          <w:pgSz w:w="12240" w:h="15840" w:orient="portrait"/>
          <w:cols w:equalWidth="0" w:num="1">
            <w:col w:w="9910"/>
          </w:cols>
          <w:pgMar w:left="117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10"/>
          </w:cols>
          <w:pgMar w:left="1170" w:top="1369" w:right="1160" w:bottom="169" w:gutter="0" w:footer="0" w:header="0"/>
          <w:type w:val="continuous"/>
        </w:sectPr>
      </w:pPr>
    </w:p>
    <w:bookmarkStart w:id="26" w:name="page27"/>
    <w:bookmarkEnd w:id="26"/>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1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strive to protect the reputation of our Company by establishing, protecting and defending our data and information systems in a number of ways through a combination of processes, tools, and awareness-building. We aim to adhere to the best practices outlined in the National Institute of Standards and Technology and International Organization for Standardization frameworks, and our policies and procedures in managing personally identifiable information are in compliance with General Data Protection Regulation requirements.</w:t>
      </w:r>
    </w:p>
    <w:p>
      <w:pPr>
        <w:spacing w:after="0" w:line="181" w:lineRule="exact"/>
        <w:rPr>
          <w:sz w:val="20"/>
          <w:szCs w:val="20"/>
          <w:color w:val="auto"/>
        </w:rPr>
      </w:pPr>
    </w:p>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As part of our processes for assessing, identifying and managing material risks from cybersecurity threats, we maintain a process to enhance security and optimize our IT systems, and regularly conduct security assessments and testing of our systems to verify our systems’ integrity to protect them against being compromised from both internal and external sources. We regularly assess risks from cybersecurity threats, monitor our information systems for potential vulnerabilities and test those systems pursuant to our cybersecurity processes and practices. To protect our information systems from cybersecurity threats, we use various security tools that help us identify, escalate, investigate, resolve and recover from security incidents in a timely manner. These efforts include using monitoring tools and services to address the confidentiality, integrity, and availability of our assets and data. Regular internal and third-party reviews are performed on our processes and technologies to help validate the effectiveness of our privacy and data security controls. These safeguards include employing firewalls, intrusion prevention and detection systems, and access controls, which are regularly evaluated and improved based on vulnerability assessments, cybersecurity threat intelligence and incident response experience.</w:t>
      </w:r>
    </w:p>
    <w:p>
      <w:pPr>
        <w:spacing w:after="0" w:line="19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monitor industry best practices and developments in data privacy and security, including increased scrutiny of third-party service providers with access to sensitive data. We prioritize a robust due diligence program for key third-party service providers, utilizing a comprehensive due diligence questionnaire to evaluate potential risks before establishing formal partnerships. This in-depth approach applies to all vendors with access to our sensitive systems or data. Our assessments are customized based on each provider’s risk profile, with heightened scrutiny applied to new engagements and high-risk relationships. Existing vendors are subject to periodic reevaluations according to a predetermined schedule, with increased frequency for those deemed higher risk.</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Information technology risks and controls are regularly assessed as part of our overall self-assessment program, which includes working with a third party organization who regularly tests controls. Observations and outcomes from these self-assessments help drive our internal risk management decision making. Our management and compliance and information technology professionals, including our Chief Information Officer (“CIO”), are responsible for the maintenance and enforcement of our cybersecurity and information security policies and procedures. In addition members of the cybersecurity and information security teams maintain CISSP industry certifications. In addition, we have organizational charts in place to communicate key areas of authority, responsibility, and lines of reporting to personnel related to the design, implementation, operation, maintenance, and monitoring of our cybersecurity environment.</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also have a security incident response plan, with defined roles and responsibilities that are intended to address notification obligations and incident response procedures in the event of a data security breach. We are dedicated to business continuity and resiliency and have strategies, policies, and procedures in place that are designed to protect employee, business, and client data in the event of an emergency or natural disaster.</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80" w:top="1378" w:right="1160" w:bottom="169" w:gutter="0" w:footer="0" w:header="0"/>
          <w:type w:val="continuous"/>
        </w:sectPr>
      </w:pPr>
    </w:p>
    <w:bookmarkStart w:id="27" w:name="page28"/>
    <w:bookmarkEnd w:id="27"/>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In addition to identifying information security risks, we have established robust controls to seek to reduce or mitigate such risks. Cybersecurity training for employees is conducted regularly and we maintain system logs of user activities, exceptions, and security events for a period consistent with industry best practices, unless otherwise required by law, regulation or contractual obligation. We employ rigorous measures to appropriately handle and protect sensitive and confidential data, particularly in light of increased use of remote access technology. We take precautionary measures to minimize, to the extent possible, the use of personally identifiable information and the electronic or courier-based transmission of sensitive and confidential data, relying instead on approved and secured digital data transfer services, which are designed to provide tightly controlled and selective access to such information. We have mechanisms in place to help ensure that our data is secured when at-rest or in-transit, and industry standard encryption is used to the maximum extent possible. We also take steps to help ensure our ability to restore data in the event of data failure, corruption, accidental deletion, or malicious tampering.</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To date, cybersecurity threats, including as a result of any previous cybersecurity incidents, have not materially affected or are reasonably likely to affect us, including our business strategy, results of operations or financial condition. Refer to the risk factor captioned “</w:t>
      </w:r>
      <w:r>
        <w:rPr>
          <w:rFonts w:ascii="Times New Roman" w:cs="Times New Roman" w:eastAsia="Times New Roman" w:hAnsi="Times New Roman"/>
          <w:sz w:val="20"/>
          <w:szCs w:val="20"/>
          <w:b w:val="1"/>
          <w:bCs w:val="1"/>
          <w:i w:val="1"/>
          <w:iCs w:val="1"/>
          <w:color w:val="auto"/>
        </w:rPr>
        <w:t>Our business is subject to various cybersecurity and other operational risks</w:t>
      </w:r>
      <w:r>
        <w:rPr>
          <w:rFonts w:ascii="Times New Roman" w:cs="Times New Roman" w:eastAsia="Times New Roman" w:hAnsi="Times New Roman"/>
          <w:sz w:val="20"/>
          <w:szCs w:val="20"/>
          <w:color w:val="auto"/>
        </w:rPr>
        <w:t>” in Part I, Item 1A. “Risk Factors” for an additional description of cybersecurity risks and potential related impacts on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Our audit committee of the board of directors is responsible for overseeing the guidelines and policies governing the process by which the Company assesses and manages our exposure to risk, including cybersecurity risk, as well as any major litigation, regulatory, financial and reputational risk exposures and the steps management has taken to monitor and control such exposures. This oversight is achieved through a combination of periodic management reports, focused briefings on emerging cyber threats and vulnerabilities, updates on implemented mitigation strategies and periodic reviews of incident response plans.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We take a risk-based approach to cybersecurity and have implemented cybersecurity policies throughout our operations that are designed to address cybersecurity threats and incidents. Our dedicated Information Security Team is responsible for identifying, assessing, detecting, and responding to any threats and vulnerabilities. The team routinely collects and processes information from a variety of sources, including from media reporting, commercial threat intelligence providers (FSARC, FS-ISAC), the Federal Bureau of Investigation and other government and law enforcement agencies. The team provides global mitigation of known cybersecurity threats to help ensure that our data and systems are protected.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17"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17"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contractual and fiduciary breaches and from Defendants’ unfair competition and tortious interference with the PWP Plaintiffs’ contracts and client relationships.</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180" w:top="1378" w:right="1160" w:bottom="169" w:gutter="0" w:footer="0" w:header="0"/>
          <w:type w:val="continuous"/>
        </w:sectPr>
      </w:pPr>
    </w:p>
    <w:bookmarkStart w:id="28" w:name="page29"/>
    <w:bookmarkEnd w:id="28"/>
    <w:p>
      <w:pPr>
        <w:jc w:val="both"/>
        <w:ind w:right="20" w:firstLine="360"/>
        <w:spacing w:after="0" w:line="213" w:lineRule="auto"/>
        <w:rPr>
          <w:sz w:val="20"/>
          <w:szCs w:val="20"/>
          <w:color w:val="auto"/>
        </w:rPr>
      </w:pPr>
      <w:r>
        <w:rPr>
          <w:rFonts w:ascii="Times New Roman" w:cs="Times New Roman" w:eastAsia="Times New Roman" w:hAnsi="Times New Roman"/>
          <w:sz w:val="20"/>
          <w:szCs w:val="20"/>
          <w:color w:val="auto"/>
        </w:rPr>
        <w:t>On November 9, 2015, the Defendants filed an Answer, Counterclaims, Cross-claims and a Third-Party Complaint, which contained 14 causes of action. On July 17, 2016, the Court issued a decision, dismissing half of the Defendants’ - claims with prejudice. On August 18, 2016, the Defendants filed an Amended Answer, Counterclaims, Cross-claims and Third-Party Complaint, with seven counterclaims and cross-claims to the New York Appellate Division, First Department (the “First Department”). On August 29, 2017, the First Department issued a decision denying the Defendants’ appeal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On April 24, 2018, the Defendants filed a Second Amended Answer, Counterclaims, Cross-claims and Third-Party Complaint, which contains eight counterclaims and cross-claims. Defendants are seeking declaratory relief and damages of no less than $60.0 million, as well as statutory interest. In addition, on January 19, 2022, Defendants filed a motion for leave to renew their New York Labor Law counterclaim that the Court dismissed in 2016. On June 30, 2023, the Court issued a decision denying Defendants’ motion for leave. On January 29, 2024, Defendants appealed to the First Department the June 30, 2023 decision denying their motion for leave. On April 16, 2024, the First Department denied Defendants’ appeal.</w:t>
      </w:r>
    </w:p>
    <w:p>
      <w:pPr>
        <w:spacing w:after="0" w:line="183"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After the completion of discovery, both the PWP Plaintiffs and the Defendants subsequently moved for summary judgment. On March 20, 2020 the parties completed briefing of their respective motions (the “Summary Judgment Decision”). The Court granted the PWP Plaintiffs motion with respect to the restrictive covenants in the PWP Plaintiffs’ agreements, finding that they are valid and enforceable, and otherwise denied the motion. The Court denied Defendants’ motion in its entirety. On July 25, 2023, Defendants appealed parts of the Summary Judgment Decision. On August 30, 2024, the First Department issued a decision granting in part and denying in part Defendants’ appeal. The First Department granted Defendants’ appeal only to the extent it found that the PWP Plaintiffs could not pursue a client solicitation claim against two specific clients. The First Department denied Defendants’ appeal to the extent it found that the PWP Plaintiffs’ restrictive covenants were reasonable and enforceable, and Defendants’ counterclaim for deferred compensation needed to be decided at trial.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Trial started on January 24, 2025 and is scheduled to end on March 7, 2025.</w:t>
      </w:r>
    </w:p>
    <w:p>
      <w:pPr>
        <w:spacing w:after="0" w:line="210"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believe that our 14 causes of action are meritorious. Further, we believe that we have meritorious defenses to Defendants’ remaining counterclaims and cross-claims and plan to vigorously contest them. Litigation, however, can be uncertain and there can be no assurance that any judgment for one or more of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details on the current legal proceedings, refer to Note 16—Commitments and Contingencies in the notes to the consolidated financial statements included elsewhere in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137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180" w:top="1378" w:right="1160" w:bottom="169"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Our Class A common stock is listed and traded on the Nasdaq Global Select Market under the stock symbol “PWP.” As of February 24, 2025, there were approximately 12 holders of record of our Class A common stock and 1 holder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We intend to pay dividends quarterly to our common stockholders. For the year ended December 31, 2024, cash dividends of $0.28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w:t>
      </w:r>
    </w:p>
    <w:p>
      <w:pPr>
        <w:spacing w:after="0" w:line="253"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or the Exchange Act except to the extent we specifically incorporate it by reference into such filing. Our stock price performance shown in the graph below is not indicative of future stock price performance.</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stock performance graph below compares the performance of an investment in our Class A common stock, from June 25, 2021 through December 31, 2024, with that of the S&amp;P 500 Index and the S&amp;P Financials Index. The graph assumes $100 was invested at the close of business on June 25, 2021.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286500" cy="3299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286500" cy="3299460"/>
                    </a:xfrm>
                    <a:prstGeom prst="rect">
                      <a:avLst/>
                    </a:prstGeom>
                    <a:noFill/>
                  </pic:spPr>
                </pic:pic>
              </a:graphicData>
            </a:graphic>
          </wp:anchor>
        </w:drawing>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180" w:top="1371" w:right="1160" w:bottom="169"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and Use of Proceeds</w:t>
      </w:r>
    </w:p>
    <w:p>
      <w:pPr>
        <w:spacing w:after="0" w:line="21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Repurchase of Equity Securities</w:t>
      </w:r>
    </w:p>
    <w:p>
      <w:pPr>
        <w:spacing w:after="0" w:line="217" w:lineRule="exact"/>
        <w:rPr>
          <w:sz w:val="20"/>
          <w:szCs w:val="20"/>
          <w:color w:val="auto"/>
        </w:rPr>
      </w:pPr>
    </w:p>
    <w:p>
      <w:pPr>
        <w:ind w:left="10" w:firstLine="360"/>
        <w:spacing w:after="0"/>
        <w:rPr>
          <w:sz w:val="20"/>
          <w:szCs w:val="20"/>
          <w:color w:val="auto"/>
        </w:rPr>
      </w:pPr>
      <w:r>
        <w:rPr>
          <w:rFonts w:ascii="Times New Roman" w:cs="Times New Roman" w:eastAsia="Times New Roman" w:hAnsi="Times New Roman"/>
          <w:sz w:val="20"/>
          <w:szCs w:val="20"/>
          <w:color w:val="auto"/>
        </w:rPr>
        <w:t>The following table summarizes our repurchases of equity securities during the three months ended December 31, 2024:</w:t>
      </w:r>
    </w:p>
    <w:p>
      <w:pPr>
        <w:spacing w:after="0" w:line="23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Dollar Value of</w:t>
            </w: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gridSpan w:val="2"/>
          </w:tcPr>
          <w:p>
            <w:pPr>
              <w:jc w:val="center"/>
              <w:spacing w:after="0" w:line="224" w:lineRule="exact"/>
              <w:rPr>
                <w:sz w:val="20"/>
                <w:szCs w:val="20"/>
                <w:color w:val="auto"/>
              </w:rPr>
            </w:pPr>
            <w:r>
              <w:rPr>
                <w:rFonts w:ascii="Times New Roman" w:cs="Times New Roman" w:eastAsia="Times New Roman" w:hAnsi="Times New Roman"/>
                <w:sz w:val="20"/>
                <w:szCs w:val="20"/>
                <w:b w:val="1"/>
                <w:bCs w:val="1"/>
                <w:color w:val="auto"/>
              </w:rPr>
              <w:t>Shares that may yet</w:t>
            </w:r>
          </w:p>
        </w:tc>
        <w:tc>
          <w:tcPr>
            <w:tcW w:w="0" w:type="dxa"/>
            <w:vAlign w:val="bottom"/>
          </w:tcPr>
          <w:p>
            <w:pPr>
              <w:spacing w:after="0"/>
              <w:rPr>
                <w:sz w:val="1"/>
                <w:szCs w:val="1"/>
                <w:color w:val="auto"/>
              </w:rPr>
            </w:pPr>
          </w:p>
        </w:tc>
      </w:tr>
      <w:tr>
        <w:trPr>
          <w:trHeight w:val="224"/>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jc w:val="right"/>
              <w:ind w:right="140"/>
              <w:spacing w:after="0" w:line="224" w:lineRule="exact"/>
              <w:rPr>
                <w:sz w:val="20"/>
                <w:szCs w:val="20"/>
                <w:color w:val="auto"/>
              </w:rPr>
            </w:pPr>
            <w:r>
              <w:rPr>
                <w:rFonts w:ascii="Times New Roman" w:cs="Times New Roman" w:eastAsia="Times New Roman" w:hAnsi="Times New Roman"/>
                <w:sz w:val="20"/>
                <w:szCs w:val="20"/>
                <w:b w:val="1"/>
                <w:bCs w:val="1"/>
                <w:color w:val="auto"/>
              </w:rPr>
              <w:t>Total Number of</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120"/>
              <w:spacing w:after="0" w:line="224" w:lineRule="exact"/>
              <w:rPr>
                <w:sz w:val="20"/>
                <w:szCs w:val="20"/>
                <w:color w:val="auto"/>
              </w:rPr>
            </w:pPr>
            <w:r>
              <w:rPr>
                <w:rFonts w:ascii="Times New Roman" w:cs="Times New Roman" w:eastAsia="Times New Roman" w:hAnsi="Times New Roman"/>
                <w:sz w:val="20"/>
                <w:szCs w:val="20"/>
                <w:b w:val="1"/>
                <w:bCs w:val="1"/>
                <w:color w:val="auto"/>
              </w:rPr>
              <w:t>to be Purchased</w:t>
            </w:r>
          </w:p>
        </w:tc>
        <w:tc>
          <w:tcPr>
            <w:tcW w:w="0" w:type="dxa"/>
            <w:vAlign w:val="bottom"/>
          </w:tcPr>
          <w:p>
            <w:pPr>
              <w:spacing w:after="0"/>
              <w:rPr>
                <w:sz w:val="1"/>
                <w:szCs w:val="1"/>
                <w:color w:val="auto"/>
              </w:rPr>
            </w:pPr>
          </w:p>
        </w:tc>
      </w:tr>
      <w:tr>
        <w:trPr>
          <w:trHeight w:val="52"/>
        </w:trPr>
        <w:tc>
          <w:tcPr>
            <w:tcW w:w="3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60" w:type="dxa"/>
            <w:vAlign w:val="bottom"/>
          </w:tcPr>
          <w:p>
            <w:pPr>
              <w:spacing w:after="0"/>
              <w:rPr>
                <w:sz w:val="4"/>
                <w:szCs w:val="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Shares Purchased as</w:t>
            </w:r>
          </w:p>
        </w:tc>
        <w:tc>
          <w:tcPr>
            <w:tcW w:w="60" w:type="dxa"/>
            <w:vAlign w:val="bottom"/>
          </w:tcPr>
          <w:p>
            <w:pPr>
              <w:spacing w:after="0"/>
              <w:rPr>
                <w:sz w:val="4"/>
                <w:szCs w:val="4"/>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Under the Publicly</w:t>
            </w: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17"/>
                <w:szCs w:val="17"/>
                <w:color w:val="auto"/>
              </w:rPr>
            </w:pPr>
          </w:p>
        </w:tc>
        <w:tc>
          <w:tcPr>
            <w:tcW w:w="116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20"/>
                <w:szCs w:val="20"/>
                <w:b w:val="1"/>
                <w:bCs w:val="1"/>
                <w:color w:val="auto"/>
              </w:rPr>
              <w:t>Price Paid</w:t>
            </w:r>
          </w:p>
        </w:tc>
        <w:tc>
          <w:tcPr>
            <w:tcW w:w="60" w:type="dxa"/>
            <w:vAlign w:val="bottom"/>
          </w:tcPr>
          <w:p>
            <w:pPr>
              <w:spacing w:after="0"/>
              <w:rPr>
                <w:sz w:val="17"/>
                <w:szCs w:val="17"/>
                <w:color w:val="auto"/>
              </w:rPr>
            </w:pPr>
          </w:p>
        </w:tc>
        <w:tc>
          <w:tcPr>
            <w:tcW w:w="1900" w:type="dxa"/>
            <w:vAlign w:val="bottom"/>
          </w:tcPr>
          <w:p>
            <w:pPr>
              <w:jc w:val="right"/>
              <w:ind w:right="180"/>
              <w:spacing w:after="0" w:line="200" w:lineRule="exact"/>
              <w:rPr>
                <w:sz w:val="20"/>
                <w:szCs w:val="20"/>
                <w:color w:val="auto"/>
              </w:rPr>
            </w:pPr>
            <w:r>
              <w:rPr>
                <w:rFonts w:ascii="Times New Roman" w:cs="Times New Roman" w:eastAsia="Times New Roman" w:hAnsi="Times New Roman"/>
                <w:sz w:val="20"/>
                <w:szCs w:val="20"/>
                <w:b w:val="1"/>
                <w:bCs w:val="1"/>
                <w:color w:val="auto"/>
              </w:rPr>
              <w:t>Part of Publicly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Announced</w:t>
            </w:r>
          </w:p>
        </w:tc>
        <w:tc>
          <w:tcPr>
            <w:tcW w:w="0" w:type="dxa"/>
            <w:vAlign w:val="bottom"/>
          </w:tcPr>
          <w:p>
            <w:pPr>
              <w:spacing w:after="0"/>
              <w:rPr>
                <w:sz w:val="1"/>
                <w:szCs w:val="1"/>
                <w:color w:val="auto"/>
              </w:rPr>
            </w:pPr>
          </w:p>
        </w:tc>
      </w:tr>
      <w:tr>
        <w:trPr>
          <w:trHeight w:val="266"/>
        </w:trPr>
        <w:tc>
          <w:tcPr>
            <w:tcW w:w="33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Repurchased</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per Unit</w:t>
            </w:r>
          </w:p>
        </w:tc>
        <w:tc>
          <w:tcPr>
            <w:tcW w:w="60" w:type="dxa"/>
            <w:vAlign w:val="bottom"/>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Announced Program</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center"/>
              <w:ind w:right="100"/>
              <w:spacing w:after="0" w:line="266" w:lineRule="exact"/>
              <w:rPr>
                <w:sz w:val="20"/>
                <w:szCs w:val="20"/>
                <w:color w:val="auto"/>
              </w:rPr>
            </w:pPr>
            <w:r>
              <w:rPr>
                <w:rFonts w:ascii="Times New Roman" w:cs="Times New Roman" w:eastAsia="Times New Roman" w:hAnsi="Times New Roman"/>
                <w:sz w:val="20"/>
                <w:szCs w:val="20"/>
                <w:b w:val="1"/>
                <w:bCs w:val="1"/>
                <w:color w:val="auto"/>
                <w:w w:val="94"/>
              </w:rPr>
              <w:t>Program</w:t>
            </w:r>
            <w:r>
              <w:rPr>
                <w:rFonts w:ascii="Times New Roman" w:cs="Times New Roman" w:eastAsia="Times New Roman" w:hAnsi="Times New Roman"/>
                <w:sz w:val="26"/>
                <w:szCs w:val="26"/>
                <w:b w:val="1"/>
                <w:bCs w:val="1"/>
                <w:color w:val="auto"/>
                <w:w w:val="94"/>
                <w:vertAlign w:val="superscript"/>
              </w:rPr>
              <w:t>(1)</w:t>
            </w:r>
          </w:p>
        </w:tc>
        <w:tc>
          <w:tcPr>
            <w:tcW w:w="0" w:type="dxa"/>
            <w:vAlign w:val="bottom"/>
          </w:tcPr>
          <w:p>
            <w:pPr>
              <w:spacing w:after="0"/>
              <w:rPr>
                <w:sz w:val="1"/>
                <w:szCs w:val="1"/>
                <w:color w:val="auto"/>
              </w:rPr>
            </w:pPr>
          </w:p>
        </w:tc>
      </w:tr>
      <w:tr>
        <w:trPr>
          <w:trHeight w:val="259"/>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October 1, 2024 - October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93,823,525</w:t>
            </w:r>
          </w:p>
        </w:tc>
        <w:tc>
          <w:tcPr>
            <w:tcW w:w="0" w:type="dxa"/>
            <w:vAlign w:val="bottom"/>
          </w:tcPr>
          <w:p>
            <w:pPr>
              <w:spacing w:after="0"/>
              <w:rPr>
                <w:sz w:val="1"/>
                <w:szCs w:val="1"/>
                <w:color w:val="auto"/>
              </w:rPr>
            </w:pPr>
          </w:p>
        </w:tc>
      </w:tr>
      <w:tr>
        <w:trPr>
          <w:trHeight w:val="205"/>
        </w:trPr>
        <w:tc>
          <w:tcPr>
            <w:tcW w:w="332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November 1, 2024 - November 30,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93,823,525</w:t>
            </w:r>
          </w:p>
        </w:tc>
        <w:tc>
          <w:tcPr>
            <w:tcW w:w="0" w:type="dxa"/>
            <w:vAlign w:val="bottom"/>
          </w:tcPr>
          <w:p>
            <w:pPr>
              <w:spacing w:after="0"/>
              <w:rPr>
                <w:sz w:val="1"/>
                <w:szCs w:val="1"/>
                <w:color w:val="auto"/>
              </w:rPr>
            </w:pPr>
          </w:p>
        </w:tc>
      </w:tr>
      <w:tr>
        <w:trPr>
          <w:trHeight w:val="260"/>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9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1, 2024 - December 31, 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93,823,525</w:t>
            </w:r>
          </w:p>
        </w:tc>
        <w:tc>
          <w:tcPr>
            <w:tcW w:w="0" w:type="dxa"/>
            <w:vAlign w:val="bottom"/>
          </w:tcPr>
          <w:p>
            <w:pPr>
              <w:spacing w:after="0"/>
              <w:rPr>
                <w:sz w:val="1"/>
                <w:szCs w:val="1"/>
                <w:color w:val="auto"/>
              </w:rPr>
            </w:pPr>
          </w:p>
        </w:tc>
      </w:tr>
      <w:tr>
        <w:trPr>
          <w:trHeight w:val="248"/>
        </w:trPr>
        <w:tc>
          <w:tcPr>
            <w:tcW w:w="3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-869315</wp:posOffset>
            </wp:positionV>
            <wp:extent cx="6254750" cy="88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254750" cy="8890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hanging="370"/>
        <w:spacing w:after="0" w:line="255" w:lineRule="auto"/>
        <w:tabs>
          <w:tab w:leader="none" w:pos="3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16, 2022, the Company’s Board of Directors initially approved a stock repurchase program and the authorized amounts under such program was increased on February 8, 2023 such that the Company is authorized to repurchase up to $200.0 million of the Company’s Class A common stock.</w:t>
      </w:r>
    </w:p>
    <w:p>
      <w:pPr>
        <w:spacing w:after="0" w:line="1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890"/>
          </w:cols>
          <w:pgMar w:left="1170" w:top="137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890"/>
          </w:cols>
          <w:pgMar w:left="1170" w:top="1371" w:right="1180" w:bottom="169"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13" w:lineRule="exact"/>
        <w:rPr>
          <w:sz w:val="20"/>
          <w:szCs w:val="20"/>
          <w:color w:val="auto"/>
        </w:rPr>
      </w:pPr>
    </w:p>
    <w:p>
      <w:pPr>
        <w:jc w:val="both"/>
        <w:ind w:right="20" w:firstLine="3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of our financial condition and results of operations should be read in conjunction with our Consolidated Financial Statements and related notes included elsewhere in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17"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We are a leading global independent advisory firm that provides strategic and financial advice to clients across some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further information regarding our business, refer to “Part I. Item 1. Business” and “Part I. Item 1A. Risk Factors” of this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w:t>
      </w:r>
    </w:p>
    <w:p>
      <w:pPr>
        <w:spacing w:after="0" w:line="217"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Economic and global financial market conditions impact our financial performance. The market environment for advisory services is improving, driving increased dialogue and activity levels across the traditional M&amp;A markets.</w:t>
      </w:r>
    </w:p>
    <w:p>
      <w:pPr>
        <w:spacing w:after="0" w:line="18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178"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Part I — Item 1A. Risk Factors</w:t>
      </w:r>
      <w:r>
        <w:rPr>
          <w:rFonts w:ascii="Times New Roman" w:cs="Times New Roman" w:eastAsia="Times New Roman" w:hAnsi="Times New Roman"/>
          <w:sz w:val="20"/>
          <w:szCs w:val="20"/>
          <w:color w:val="auto"/>
        </w:rPr>
        <w:t>” included elsewhere in this Form 10-K for a discussion of some of the factors that can affect our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81"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84"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180" w:top="1371" w:right="1160" w:bottom="169"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operating expenses are classified as (i) total compensation and benefits expenses including equity-based compensation, and (ii) non-compensation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Our compensation and benefits expenses consist of salaries, bonuses (discretionary awards and guaranteed amounts), severance, payroll and related 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spacing w:after="0" w:line="182"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At the time of the Merger, the Company entered into vesting acceleration agreements with certain holders of Professional Partners Awards to accelerate vesting for all Professional Partners Awards during the second quarter of 2024 (the “Vesting Acceleration”). Prior to the Merger, the amortization expense for the Professional Partners Awards was allocated fully to non-controlling interests. As a result of the Merger, these awards are considered granted by PWP OpCo and PWP OpCo as a whole bore the cost of the cash settlement feature of the awards, which was added in conjunction with the Merger. As a result, subsequent to the Merger, the Company allocated the costs associated with these awards between Perella Weinberg Partners and non-controlling interests in proportion to their ownership interests, which is consistent with the allocation of the other profit and loss activity of PWP OpCo.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180" w:top="1369" w:right="1160" w:bottom="169"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17"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The following is a discussion of our results of operations for the years ended December 31, 2024 and 2023. For a discussion of the year ended December 31, 2023 versus 2022, refer to Item 7, “Management’s Discussion and Analysis of Financial Condition and Results of Operations – Results of Operations” in our Form 10-K for the year ended December 31, 2023.</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33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 vs. 2023</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 vs. 2022</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Revenues </w:t>
            </w:r>
            <w:r>
              <w:rPr>
                <w:rFonts w:ascii="Times New Roman" w:cs="Times New Roman" w:eastAsia="Times New Roman" w:hAnsi="Times New Roman"/>
                <w:sz w:val="20"/>
                <w:szCs w:val="20"/>
                <w:color w:val="B4B4B4"/>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525,941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0" w:type="dxa"/>
            <w:vAlign w:val="bottom"/>
          </w:tcPr>
          <w:p>
            <w:pPr>
              <w:spacing w:after="0"/>
              <w:rPr>
                <w:sz w:val="1"/>
                <w:szCs w:val="1"/>
                <w:color w:val="auto"/>
              </w:rPr>
            </w:pPr>
          </w:p>
        </w:tc>
      </w:tr>
      <w:tr>
        <w:trPr>
          <w:trHeight w:val="286"/>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0" w:type="dxa"/>
            <w:vAlign w:val="bottom"/>
          </w:tcPr>
          <w:p>
            <w:pPr>
              <w:spacing w:after="0"/>
              <w:rPr>
                <w:sz w:val="1"/>
                <w:szCs w:val="1"/>
                <w:color w:val="auto"/>
              </w:rPr>
            </w:pPr>
          </w:p>
        </w:tc>
      </w:tr>
      <w:tr>
        <w:trPr>
          <w:trHeight w:val="264"/>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compensation and benefits</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784,237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545,491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286"/>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Non-compensation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172,334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154,805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133,749</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Total operating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956,571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679,240</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Operating income (loss)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(78,532)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85"/>
        </w:trPr>
        <w:tc>
          <w:tcPr>
            <w:tcW w:w="3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Related party income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income (expense)</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5"/>
        </w:trPr>
        <w:tc>
          <w:tcPr>
            <w:tcW w:w="3360" w:type="dxa"/>
            <w:vAlign w:val="bottom"/>
          </w:tcPr>
          <w:p>
            <w:pPr>
              <w:jc w:val="right"/>
              <w:ind w:right="580"/>
              <w:spacing w:after="0" w:line="205" w:lineRule="exact"/>
              <w:rPr>
                <w:sz w:val="20"/>
                <w:szCs w:val="20"/>
                <w:color w:val="auto"/>
              </w:rPr>
            </w:pPr>
            <w:r>
              <w:rPr>
                <w:rFonts w:ascii="Times New Roman" w:cs="Times New Roman" w:eastAsia="Times New Roman" w:hAnsi="Times New Roman"/>
                <w:sz w:val="20"/>
                <w:szCs w:val="20"/>
                <w:color w:val="auto"/>
              </w:rPr>
              <w:t>Change in fair value of warrant</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15,806</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360" w:type="dxa"/>
            <w:vAlign w:val="bottom"/>
          </w:tcPr>
          <w:p>
            <w:pPr>
              <w:jc w:val="right"/>
              <w:ind w:right="740"/>
              <w:spacing w:after="0" w:line="184" w:lineRule="exact"/>
              <w:rPr>
                <w:sz w:val="20"/>
                <w:szCs w:val="20"/>
                <w:color w:val="auto"/>
              </w:rPr>
            </w:pPr>
            <w:r>
              <w:rPr>
                <w:rFonts w:ascii="Times New Roman" w:cs="Times New Roman" w:eastAsia="Times New Roman" w:hAnsi="Times New Roman"/>
                <w:sz w:val="20"/>
                <w:szCs w:val="20"/>
                <w:color w:val="auto"/>
              </w:rPr>
              <w:t>Total non-operating income</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26,313</w:t>
            </w:r>
          </w:p>
        </w:tc>
        <w:tc>
          <w:tcPr>
            <w:tcW w:w="60" w:type="dxa"/>
            <w:vAlign w:val="bottom"/>
            <w:vMerge w:val="restart"/>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351 %</w:t>
            </w:r>
          </w:p>
        </w:tc>
        <w:tc>
          <w:tcPr>
            <w:tcW w:w="60" w:type="dxa"/>
            <w:vAlign w:val="bottom"/>
            <w:vMerge w:val="restart"/>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Income (loss) before income taxes </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0" w:type="dxa"/>
            <w:vAlign w:val="bottom"/>
          </w:tcPr>
          <w:p>
            <w:pPr>
              <w:spacing w:after="0"/>
              <w:rPr>
                <w:sz w:val="1"/>
                <w:szCs w:val="1"/>
                <w:color w:val="auto"/>
              </w:rPr>
            </w:pPr>
          </w:p>
        </w:tc>
      </w:tr>
      <w:tr>
        <w:trPr>
          <w:trHeight w:val="28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Income tax expense (benefit)</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10,327</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5"/>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 xml:space="preserve">Net income (loss) </w:t>
            </w:r>
            <w:r>
              <w:rPr>
                <w:rFonts w:ascii="Times New Roman" w:cs="Times New Roman" w:eastAsia="Times New Roman" w:hAnsi="Times New Roman"/>
                <w:sz w:val="20"/>
                <w:szCs w:val="20"/>
                <w:color w:val="B4B4B4"/>
                <w:w w:val="98"/>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05"/>
        </w:trPr>
        <w:tc>
          <w:tcPr>
            <w:tcW w:w="33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Net income (loss) attributable to</w:t>
            </w: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(24,616)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(49,625)</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60"/>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non-controlling interests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line="184" w:lineRule="exact"/>
              <w:rPr>
                <w:sz w:val="20"/>
                <w:szCs w:val="20"/>
                <w:color w:val="auto"/>
              </w:rPr>
            </w:pPr>
            <w:r>
              <w:rPr>
                <w:rFonts w:ascii="Times New Roman" w:cs="Times New Roman" w:eastAsia="Times New Roman" w:hAnsi="Times New Roman"/>
                <w:sz w:val="20"/>
                <w:szCs w:val="20"/>
                <w:b w:val="1"/>
                <w:bCs w:val="1"/>
                <w:color w:val="auto"/>
              </w:rPr>
              <w:t>Net income (loss) attributable to</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43"/>
        </w:trPr>
        <w:tc>
          <w:tcPr>
            <w:tcW w:w="33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Perella Weinberg Partners </w:t>
            </w:r>
            <w:r>
              <w:rPr>
                <w:rFonts w:ascii="Times New Roman" w:cs="Times New Roman" w:eastAsia="Times New Roman" w:hAnsi="Times New Roman"/>
                <w:sz w:val="20"/>
                <w:szCs w:val="20"/>
                <w:b w:val="1"/>
                <w:bCs w:val="1"/>
                <w:color w:val="B4B4B4"/>
              </w:rPr>
              <w:t>...............</w:t>
            </w:r>
          </w:p>
        </w:tc>
        <w:tc>
          <w:tcPr>
            <w:tcW w:w="2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-3926840</wp:posOffset>
            </wp:positionV>
            <wp:extent cx="6315075" cy="4102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315075" cy="410210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NM = Not meaningful</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180" w:top="1371" w:right="1160" w:bottom="169"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provides revenue statistics for the years ended December 31, 2024, 2023, and 2022:</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36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65"/>
        </w:trPr>
        <w:tc>
          <w:tcPr>
            <w:tcW w:w="336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 vs. 2023</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 vs. 2022</w:t>
            </w:r>
          </w:p>
        </w:tc>
      </w:tr>
      <w:tr>
        <w:trPr>
          <w:trHeight w:val="262"/>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Total Advisory Clients </w:t>
            </w:r>
            <w:r>
              <w:rPr>
                <w:rFonts w:ascii="Times New Roman" w:cs="Times New Roman" w:eastAsia="Times New Roman" w:hAnsi="Times New Roman"/>
                <w:sz w:val="20"/>
                <w:szCs w:val="20"/>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221</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5"/>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Clients with Fees Greater than</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0"/>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$1.0 million </w:t>
            </w:r>
            <w:r>
              <w:rPr>
                <w:rFonts w:ascii="Times New Roman" w:cs="Times New Roman" w:eastAsia="Times New Roman" w:hAnsi="Times New Roman"/>
                <w:sz w:val="20"/>
                <w:szCs w:val="20"/>
                <w:color w:val="B4B4B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141</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-518160</wp:posOffset>
            </wp:positionV>
            <wp:extent cx="6292850"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292850" cy="539750"/>
                    </a:xfrm>
                    <a:prstGeom prst="rect">
                      <a:avLst/>
                    </a:prstGeom>
                    <a:noFill/>
                  </pic:spPr>
                </pic:pic>
              </a:graphicData>
            </a:graphic>
          </wp:anchor>
        </w:drawing>
      </w:r>
    </w:p>
    <w:p>
      <w:pPr>
        <w:spacing w:after="0" w:line="27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Revenues were $878.0 million for the year ended December 31, 2024 as compared with $648.7 million for the year ended December 31, 2023, representing an increase of 35%. The increase was attributable to increased mergers and acquisition and financing and capital solutions activity, driven by larger transactions in size and number across the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 Expenses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For the year ended December 31, 2024, total compensation and benefits expenses were $784.2 million, an increase of 29% compared with $608.9 million for the year ended December 31, 2023. The increase in total compensation and benefits expenses was primarily the result of a higher bonus accrual in the current year period due to a higher revenue base, despite a lower compensation margin. The increase was also driven by higher equity-based compensation expense from the phase-in of our annual incentive award grants, as well as the Vesting Acceleration, which resulted in $144.2 million of equity-based compensation expense for the Professional Partners Awards in the current year period as compared to $68.5 million in the prior year period for the same awards. The increase in total compensation and benefits was partially offset by higher costs incurred in the prior year related to headcount reductions associated with a business realignment.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Non-Compensation Expenses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For the year ended December 31, 2024, total non-compensation expenses were $172.3 million, an increase of 11% compared with $154.8 million for the year ended December 31, 2023. The increase in non-compensation expenses was primarily the result of an increase in professional fees, including consulting fees tied to revenue contribution, bad debt write-offs, and higher depreciation expense due to new assets being placed in service subsequent to the second quarter of 2023 related to the renovation of the New York office space and relocation of the London office space. These increases were partially offset by reduced rent and occupancy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(Expenses)</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For the year ended December 31, 2024, non-operating income was $10.3 million compared with non-operating income of $2.3 million for the year ended December 31, 2023. In the current period, non-operating income primarily included interest income, which increased from the prior year due to higher interest rates and larger interest-bearing cash balances, and a net gain from foreign exchange rate fluctuations, compared to a net loss in the prior year. For both periods, foreign exchange rate fluctuations largely related to U.S. dollar-denominated cash and intercompany balances held by our foreign subsidiaries, including the settlement of such balances. The year ended December 31, 2023 also included a non-operating loss on investment that did not recur in the current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 (Benefit)</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Company’s income tax expense and effective tax rate were $21.1 million and (30.9)%, respectively, for the year ended December 31, 2024 compared to an income tax benefit and an effective tax rate of $1.0 million and 0.9%, respectively, for the year ended December 31, 2023. The change in the effective tax rate was primarily due to the relative size of our permanent differences in relation to the pre-tax loss in the respective periods, the Vesting Acceleration, and the recognition of tax benefits associated with the appreciation in our share price upon vesting of RSUs above the original grant price during the year ended December 31, 2024.</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180" w:top="1369" w:right="1160" w:bottom="169"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19"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19"/>
          <w:szCs w:val="19"/>
          <w:color w:val="auto"/>
        </w:rPr>
        <w:t>We regularly monitor our liquidity position, including cash and cash equivalents, working capital assets and liabilities, commitments and other liquidity requirements. Our primary sources of liquidity are generally our cash and cash equivalent balances, investments in short-term marketable debt securities, the net cash generated from operations, and the available borrowing capacity under our Revolving Credit Facility. Our primary cash needs are for working capital, operating expenses (including cash compensation for our employees), repurchasing shares of the Company’s Class A common stock, withholding tax payments for vested incentive compensation awards, including restricted stock units and performance stock units (the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levels of cash and cash equivalents and/or investments in short-term marketable debt securities generally decline during the first quarter and build over the remainder of the year.</w:t>
      </w:r>
    </w:p>
    <w:p>
      <w:pPr>
        <w:spacing w:after="0" w:line="187"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Our current assets are primarily composed of cash and cash equivalents, investments in short-term marketable debt securities,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short-term highly liquid investments that have original maturities of three months or less from the date of purchase. We had cash balances of $331.6 million and $247.2 million as of December 31, 2024 and 2023, respectively, and cash equivalents of $20.2 million as of December 31, 2024, which included investments in U.S. Treasury securities. As of December 31, 2023, we held no cash equivalents. Additionally, as of December 31, 2024 and 2023, we held U.S. Treasury securities of $75.8 million and $91.2 million, respectively, which are classified as Investments in short-term marketable debt securities within the consolidated financial statements.</w:t>
      </w:r>
    </w:p>
    <w:p>
      <w:pPr>
        <w:spacing w:after="0" w:line="18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Our liquidity is highly dependent upon cash receipts from clients, which generally require the successful completion of transactions. Accounts receivable typically have net terms of 30 days. Accounts receivable, net of allowance for credit losses, were $73.3 million and $47.8 million as of December 31, 2024 and 2023, respectively.</w:t>
      </w:r>
    </w:p>
    <w:p>
      <w:pPr>
        <w:spacing w:after="0" w:line="182" w:lineRule="exact"/>
        <w:rPr>
          <w:sz w:val="20"/>
          <w:szCs w:val="20"/>
          <w:color w:val="auto"/>
        </w:rPr>
      </w:pPr>
    </w:p>
    <w:p>
      <w:pPr>
        <w:jc w:val="both"/>
        <w:ind w:right="20" w:firstLine="360"/>
        <w:spacing w:after="0" w:line="232" w:lineRule="auto"/>
        <w:rPr>
          <w:sz w:val="20"/>
          <w:szCs w:val="20"/>
          <w:color w:val="auto"/>
        </w:rPr>
      </w:pPr>
      <w:r>
        <w:rPr>
          <w:rFonts w:ascii="Times New Roman" w:cs="Times New Roman" w:eastAsia="Times New Roman" w:hAnsi="Times New Roman"/>
          <w:sz w:val="19"/>
          <w:szCs w:val="19"/>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December 31, 2024 and 2023, we had no outstanding balance related to the Revolving Credit Facility and no incremental revolving commitments were incurred. For further information on the Revolving Credit Facility, refer to Note 9—Debt in the notes to consolidated financial statements included elsewhere in this Form 10-K.</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On March 1, 2024, we issued and sold 5,750,000 shares of Class A common stock at a price of $12.00 per share for net proceeds of $66.0 million after deducting underwriting discounts and offering costs.</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During the second quarter of 2024, we paid or accrued a combined $86.6 million in settlement of certain Professional Partners Awards in connection with the Vesting Acceleration. Refer to Note 11—Equity-Based Compensation in the notes to the consolidated financial statements for further information regarding the Vesting Acceleration. Also during the year ended December 31, 2024, we elected to settle exchanges of certain PWP OpCo Units and corresponding shares of Class B common stock for $63.4 million in cash.</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During the year ended December 31, 2024, we made $70.4 million of withholding tax payments for vested PWP Incentive Plan Awards. Withholding tax payments for vested equity-classified Professional Partners Awards are included in the above-disclosed amount paid or accrued in settlement of certain Professional Partners Awards in connection with the Vesting Acceleration.</w:t>
      </w:r>
    </w:p>
    <w:p>
      <w:pPr>
        <w:spacing w:after="0" w:line="181"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Based on current market conditions, we believe that our cash on hand, cash equivalents, investments in short-term marketable debt securities,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180" w:top="1371" w:right="1160" w:bottom="16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summary of our operating, investing and financing cash flows is as follows: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Provided By (Used In)</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income (loss)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Non-cash charges and other operating activity adjustments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162,414</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activities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88,630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44,499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(148,440)</w:t>
            </w:r>
          </w:p>
        </w:tc>
        <w:tc>
          <w:tcPr>
            <w:tcW w:w="0" w:type="dxa"/>
            <w:vAlign w:val="bottom"/>
          </w:tcPr>
          <w:p>
            <w:pPr>
              <w:spacing w:after="0"/>
              <w:rPr>
                <w:sz w:val="1"/>
                <w:szCs w:val="1"/>
                <w:color w:val="auto"/>
              </w:rPr>
            </w:pPr>
          </w:p>
        </w:tc>
      </w:tr>
      <w:tr>
        <w:trPr>
          <w:trHeight w:val="264"/>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operating activities </w:t>
            </w:r>
            <w:r>
              <w:rPr>
                <w:rFonts w:ascii="Times New Roman" w:cs="Times New Roman" w:eastAsia="Times New Roman" w:hAnsi="Times New Roman"/>
                <w:sz w:val="20"/>
                <w:szCs w:val="20"/>
                <w:color w:val="B4B4B4"/>
                <w:w w:val="99"/>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223,359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145,883</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(17,773)</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Investing Activities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(166,231)</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Financing Activities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(67,018)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(136,768)</w:t>
            </w:r>
          </w:p>
        </w:tc>
        <w:tc>
          <w:tcPr>
            <w:tcW w:w="0" w:type="dxa"/>
            <w:vAlign w:val="bottom"/>
          </w:tcPr>
          <w:p>
            <w:pPr>
              <w:spacing w:after="0"/>
              <w:rPr>
                <w:sz w:val="1"/>
                <w:szCs w:val="1"/>
                <w:color w:val="auto"/>
              </w:rPr>
            </w:pPr>
          </w:p>
        </w:tc>
      </w:tr>
      <w:tr>
        <w:trPr>
          <w:trHeight w:val="205"/>
        </w:trPr>
        <w:tc>
          <w:tcPr>
            <w:tcW w:w="54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Effect of exchange rate changes on cash, cash equivalents and</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(3,340)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(9,837)</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increase (decrease) in cash, cash equivalents and restricted cash</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82,669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75,936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(330,609)</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cash equivalents and restricted cash, beginning of period</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250,102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504,775</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cash equivalents and restricted cash, end of period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332,771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250,102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174,166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-2498090</wp:posOffset>
            </wp:positionV>
            <wp:extent cx="6286500" cy="251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286500" cy="25177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w:t>
      </w:r>
    </w:p>
    <w:p>
      <w:pPr>
        <w:spacing w:after="0" w:line="214"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Operating activities resulted in a net cash inflow of $223.4 million primarily attributable to cash collections from clients, net of cash operating expense outflows, including the settlement of liability-classified Professional Partners Awards during the second quarter and discretionary bonuses paid during the first quarter of 2024 with respect to prior year compensation expense.</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Investing activities resulted in a net cash outflow of $0.1 million attributable to the purchase of investments in U.S. Treasury securities and payments for additional investments and capital expenditures related to office space renovations, which was almost fully offset by a cash inflow from the maturation of investments in U.S. Treasury securities.</w:t>
      </w:r>
    </w:p>
    <w:p>
      <w:pPr>
        <w:spacing w:after="0" w:line="182"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Financing activities resulted in a net cash outflow of $137.3 million primarily due to withholding tax payments for vested PWP Incentive Plan Awards and equity-classified Professional Partners Awards, the cash settlement of exchanges of PWP OpCo Units, share repurchases, dividend payments, and distributions to partners, all of which was partially offset by the issuance of 5,750,000 shares of Class A common stock for net proceeds of $66.0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w:t>
      </w:r>
    </w:p>
    <w:p>
      <w:pPr>
        <w:spacing w:after="0" w:line="214"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Operating activities resulted in a net cash inflow of $145.9 million primarily attributable to cash collected from clients, net of cash operating expense outflows, including discretionary bonuses paid during the first quarter of 2023 with respect to prior year compensation expense.</w:t>
      </w:r>
    </w:p>
    <w:p>
      <w:pPr>
        <w:spacing w:after="0" w:line="182"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Investing activities resulted in a net cash outflow of $5.8 million largely attributable to the purchase of investments in U.S. Treasury securities and the purchase of leasehold improvement fixed assets associated with the renovation of the New York office space and relocation of the London office space, partially offset by a cash inflow from the maturation of investments in U.S. Treasury securities.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Financing activities resulted in a net cash outflow of $67.0 million primarily related to withholding tax payments for vested PWP Incentive Plan Awards, the repurchase of shares pursuant to the stock repurchase program, dividend payments, and distributions to partners.</w:t>
      </w:r>
    </w:p>
    <w:p>
      <w:pPr>
        <w:spacing w:after="0" w:line="182"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For a discussion of the year ended December 31, 2022, refer to Item 7, “Management’s Discussion and Analysis of Financial Condition and Results of Operations – Cash Flows” in our Form 10-K for the year ended December 31, 2023.</w:t>
      </w:r>
    </w:p>
    <w:p>
      <w:pPr>
        <w:sectPr>
          <w:pgSz w:w="12240" w:h="15840" w:orient="portrait"/>
          <w:cols w:equalWidth="0" w:num="1">
            <w:col w:w="9880"/>
          </w:cols>
          <w:pgMar w:left="1180" w:top="1369"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880"/>
          </w:cols>
          <w:pgMar w:left="1180" w:top="1369" w:right="1180" w:bottom="169"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Our board of directors approved a stock repurchase program under which we are authorized to repurchase up to $200.0 million of our Class A common stock with no requirement to purchase any minimum number of shares. During the year ended December 31, 2024, we repurchased 1,000,000 founder shares at a purchase price of $15.00 per share. As of December 31, 2024, $93.8 million remains of the $200.0 million authorized for share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In accordance with the limited partnership agreement of PWP OpCo, holders of PWP OpCo Units (other than the Company) may exchange these units for (i) shares of Class A common stock on a one-for-one basis or (ii) cash from an offering of shares of Class A common stock and (iii) subsequent to the Merger,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10— Stockholders’ Equity and Redeemable Non-Controlling Interests in the notes to consolidated financial statements included elsewhere in the Form 10-K for further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Capital</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2024, we had an amount due of $65.5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consolidated financial statements included elsewhere in this Form 10-K for further information as well as the expected timing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We have various non-cancelable operating leases for our office space and certain equipment. As of December 31, 2024, we had $187.3 million of operating lease liabilities. See Note 4—Leases in the notes to consolidated financial statements included elsewhere in this Form 10-K for further information as well as the expected timing of payments.</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180" w:top="1369" w:right="1160" w:bottom="169"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Market Risk and Credit Risk</w:t>
      </w:r>
    </w:p>
    <w:p>
      <w:pPr>
        <w:spacing w:after="0" w:line="217"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Our business is not capital-intensive and we do not invest in derivative instruments. We are not subject to significant market risk (including interest rate risk and commodity price risk) or significant credit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Cash and Cash Equivalents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When we invest our excess cash, we manage our credit risk exposure by holding investments primarily with investment grade credit quality. As of December 31, 2024, the Company held investments of $96.0 million in U.S. Treasury securities with maturities of less than 12 months. Of this amount, $20.2 million is presented in Cash and cash equivalents and $75.8 million is presented in Investments in short-term marketable debt securities on the Consolidated Statements of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Risk</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We are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 sterling, euro, and Canadian dollar and our reporting currency, the U.S. dollar. For the years ended December 31, 2024 and 2023, the net impact of non-functional currency-related transaction gains and losses recorded in Other income (expense) on our Consolidated Statements of Operations was a $1.3 million gain and a $3.3 million loss, respectively, primarily related to U.S. dollar-denominated cash and intercompany receivables held by our foreign subsidiaries as the strength of the U.S. dollar fluctuated. For the years ended December 31, 2024 and 2023, the net impact from the fluctuation of foreign currencies recorded in Foreign currency translation gain (loss) on our Consolidated Statements of Comprehensive Income (Loss) was a $2.5 million loss and a $4.1 million gain, respectively. We have not entered into any transactions to hedge our exposure to these foreign currency fluctuations using derivative instruments or other methods but may do so if we deem appropriate in the future. As of December 31, 2024, we held cash balances of $37.7 million in non-U.S. dollar currencies, composed of pound sterling, euros, and Canadian dollars.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180" w:top="1371" w:right="1160" w:bottom="169"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17"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preparation of our consolidated financial statements and related disclosures in conformity with U.S. GAAP requires management to make estimates and assumptions that affect the reported amounts of assets, liabilities, revenues, expenses, and the disclosure of contingent assets and liabilities. The following are our critical accounting estimates and judgments used in the preparation of our consolidated financial statements. We believe that these critical accounting estimates represent those that are most important to the presentation of our financial condition and results of operations and require management's most difficult, subjective and complex judgment. Due to their subjectivity, actual results could differ from those estimates. Estimates and the assumptions underlying these estimates are reviewed periodically, and the effects of revisions are reflected in the period in which they are determined to be necessary.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underwriting services. The fee structures for the Company’s transaction-related advisory services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especially when assessed near the end of a reporting period, and/or involve material amounts. Due to this constraint, a significant portion of revenue recognized for advisory services in any given period often relates to services performed in prior periods.</w:t>
      </w:r>
    </w:p>
    <w:p>
      <w:pPr>
        <w:spacing w:after="0" w:line="184"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records deferred revenue when it receives fees from clients that have not yet been earned or when the Company has an unconditional right to consideration before all performance obligations are complete (e.g., when announcement fees are received but additional services are expected to be provided between transaction announcement and transaction close). In these cases, the deferred amount is often based on an estimate of the services remaining to be completed, if any.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Certain fixed fees specified in the Company’s contracts, which may include upfront fees and retainers, are recognized on a systematic basis over the estimated period in which the related services are performed. Estimating contract terms may require significant judgment and often change over the course of an engagement.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We regularly assess the likelihood that we will be able to recover our deferred tax assets. We believe that we will ultimately recover the deferred tax assets recorded on our Consolidated Statements of Financial Condition. However, should there be a change in the likelihood of our ability to recover our deferred tax assets, our tax provision would increase with the recording of a valuation allowance in the period in which we determined that the recovery is not likely. In evaluating our ability to recover our deferred tax assets in the jurisdiction from which they arise, we consider all available positive and negative evidence, including projected future taxable income. In projecting future taxable income, we begin with historical results and incorporate certain assumptions, including revenue growth and operating margin. The assumptions about future taxable income require the use of significant judgment and are consistent with the plans and estimates we are using to manage the underlying business.</w:t>
      </w:r>
    </w:p>
    <w:p>
      <w:pPr>
        <w:spacing w:after="0" w:line="186"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calculation of our tax liabilities involves dealing with uncertainties in the application of complex tax laws and regulations. 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 It is inherently difficult and subjective to estimate such amounts, as we must determine the probability of various possible outcomes.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Refer to Note 8—Income Taxes in the notes to the consolidated financial statements.</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180" w:top="1371" w:right="1160" w:bottom="169"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portion of the PWP Incentive Plan Awards granted to certain employees vest upon the occurrence of both service and market conditions being achieved. Compensation expense is recognized for these equity-based awards over the requisite vesting period in an amount equal to the fair value of the awards at the grant date, provided the requisite service period is completed, irrespective of whether the market condition is satisfied. The effect of the market condition is reflected in the grant date fair value of the award. The Company utilized a Monte-Carlo simulation valuation model to determine the grant date fair value which required significant judgment for various inputs including the risk-free interest rate, dividend yield and the volatility factor.</w:t>
      </w:r>
    </w:p>
    <w:p>
      <w:pPr>
        <w:spacing w:after="0" w:line="184" w:lineRule="exact"/>
        <w:rPr>
          <w:sz w:val="20"/>
          <w:szCs w:val="20"/>
          <w:color w:val="auto"/>
        </w:rPr>
      </w:pPr>
    </w:p>
    <w:p>
      <w:pPr>
        <w:ind w:right="1500" w:firstLine="360"/>
        <w:spacing w:after="0" w:line="478" w:lineRule="auto"/>
        <w:rPr>
          <w:sz w:val="20"/>
          <w:szCs w:val="20"/>
          <w:color w:val="auto"/>
        </w:rPr>
      </w:pPr>
      <w:r>
        <w:rPr>
          <w:rFonts w:ascii="Times New Roman" w:cs="Times New Roman" w:eastAsia="Times New Roman" w:hAnsi="Times New Roman"/>
          <w:sz w:val="20"/>
          <w:szCs w:val="20"/>
          <w:color w:val="auto"/>
        </w:rPr>
        <w:t xml:space="preserve">Refer to Note 11—Equity-Based Compensation in the notes to the consolidated financial statements. </w:t>
      </w:r>
      <w:r>
        <w:rPr>
          <w:rFonts w:ascii="Times New Roman" w:cs="Times New Roman" w:eastAsia="Times New Roman" w:hAnsi="Times New Roman"/>
          <w:sz w:val="20"/>
          <w:szCs w:val="20"/>
          <w:b w:val="1"/>
          <w:bCs w:val="1"/>
          <w:color w:val="auto"/>
        </w:rPr>
        <w:t>Item 7A. Quantitative and Qualitative Disclosures About Market Risk</w:t>
      </w:r>
    </w:p>
    <w:p>
      <w:pPr>
        <w:jc w:val="both"/>
        <w:ind w:right="20" w:firstLine="360"/>
        <w:spacing w:after="0" w:line="244" w:lineRule="auto"/>
        <w:rPr>
          <w:sz w:val="20"/>
          <w:szCs w:val="20"/>
          <w:color w:val="auto"/>
        </w:rPr>
      </w:pPr>
      <w:r>
        <w:rPr>
          <w:rFonts w:ascii="Times New Roman" w:cs="Times New Roman" w:eastAsia="Times New Roman" w:hAnsi="Times New Roman"/>
          <w:sz w:val="20"/>
          <w:szCs w:val="20"/>
          <w:color w:val="auto"/>
        </w:rPr>
        <w:t>Quantitative and qualitative disclosures about market risk are set forth above in “</w:t>
      </w:r>
      <w:r>
        <w:rPr>
          <w:rFonts w:ascii="Times New Roman" w:cs="Times New Roman" w:eastAsia="Times New Roman" w:hAnsi="Times New Roman"/>
          <w:sz w:val="20"/>
          <w:szCs w:val="20"/>
          <w:b w:val="1"/>
          <w:bCs w:val="1"/>
          <w:i w:val="1"/>
          <w:iCs w:val="1"/>
          <w:color w:val="auto"/>
        </w:rPr>
        <w:t>Item 7—Management’s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Analysis of Financial Condition and Results of Operations—Market Risk and Credit Risk.</w:t>
      </w:r>
      <w:r>
        <w:rPr>
          <w:rFonts w:ascii="Times New Roman" w:cs="Times New Roman" w:eastAsia="Times New Roman" w:hAnsi="Times New Roman"/>
          <w:sz w:val="20"/>
          <w:szCs w:val="20"/>
          <w:color w:val="auto"/>
        </w:rPr>
        <w:t>”</w:t>
      </w:r>
    </w:p>
    <w:p>
      <w:pPr>
        <w:sectPr>
          <w:pgSz w:w="12240" w:h="15840" w:orient="portrait"/>
          <w:cols w:equalWidth="0" w:num="1">
            <w:col w:w="9900"/>
          </w:cols>
          <w:pgMar w:left="1180" w:top="1369"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180" w:top="1369" w:right="1160" w:bottom="169"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Report of Independent Registered Public Accounting Firm (PCAOB ID: 42)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Financial Condition as of December 31, 2024 and 2023</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Operations for the Years Ended December 31, 2024, 2023, and 2022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051F2"/>
        </w:rPr>
        <w:t>Consolidated Statements of Comprehensive Income (Loss) for the Years Ended December 31, 2024, 2023, and</w:t>
      </w:r>
    </w:p>
    <w:p>
      <w:pPr>
        <w:ind w:left="40"/>
        <w:spacing w:after="0"/>
        <w:rPr>
          <w:sz w:val="20"/>
          <w:szCs w:val="20"/>
          <w:color w:val="auto"/>
        </w:rPr>
      </w:pPr>
      <w:r>
        <w:rPr>
          <w:rFonts w:ascii="Times New Roman" w:cs="Times New Roman" w:eastAsia="Times New Roman" w:hAnsi="Times New Roman"/>
          <w:sz w:val="19"/>
          <w:szCs w:val="19"/>
          <w:u w:val="single" w:color="auto"/>
          <w:color w:val="3051F2"/>
        </w:rPr>
        <w:t>2022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3051F2"/>
        </w:rPr>
        <w:t>Consolidated Statements of Changes in Equity and Redeemable Non-Controlling Interests for the Years Ended</w:t>
      </w:r>
    </w:p>
    <w:p>
      <w:pPr>
        <w:ind w:left="40"/>
        <w:spacing w:after="0"/>
        <w:rPr>
          <w:sz w:val="20"/>
          <w:szCs w:val="20"/>
          <w:color w:val="auto"/>
        </w:rPr>
      </w:pPr>
      <w:r>
        <w:rPr>
          <w:rFonts w:ascii="Times New Roman" w:cs="Times New Roman" w:eastAsia="Times New Roman" w:hAnsi="Times New Roman"/>
          <w:sz w:val="19"/>
          <w:szCs w:val="19"/>
          <w:u w:val="single" w:color="auto"/>
          <w:color w:val="3051F2"/>
        </w:rPr>
        <w:t>December 31, 2024, 2023, and 2022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Consolidated Statements of Cash Flows for the Years Ended December 31, 2024, 2023, and 2022</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u w:val="single" w:color="auto"/>
          <w:color w:val="3051F2"/>
        </w:rPr>
        <w:t>Notes to Consolidated Financial Statements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B4B4B4"/>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47</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49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51</w:t>
      </w:r>
    </w:p>
    <w:p>
      <w:pPr>
        <w:spacing w:after="0" w:line="200" w:lineRule="exact"/>
        <w:rPr>
          <w:sz w:val="20"/>
          <w:szCs w:val="20"/>
          <w:color w:val="auto"/>
        </w:rPr>
      </w:pPr>
    </w:p>
    <w:p>
      <w:pPr>
        <w:sectPr>
          <w:pgSz w:w="12240" w:h="15840" w:orient="portrait"/>
          <w:cols w:equalWidth="0" w:num="2">
            <w:col w:w="9240" w:space="400"/>
            <w:col w:w="200"/>
          </w:cols>
          <w:pgMar w:left="1180" w:top="137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840"/>
          </w:cols>
          <w:pgMar w:left="1180" w:top="1371" w:right="1220" w:bottom="169" w:gutter="0" w:footer="0" w:header="0"/>
          <w:type w:val="continuous"/>
        </w:sectPr>
      </w:pPr>
    </w:p>
    <w:bookmarkStart w:id="42" w:name="page43"/>
    <w:bookmarkEnd w:id="42"/>
    <w:p>
      <w:pPr>
        <w:ind w:right="2460" w:firstLine="244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Perella Weinberg Partners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financial condition of Perella Weinberg Partners (the “Company”) as of December 31, 2024 and 2023, the related consolidated statements of operations, comprehensive income (loss), changes in equity and redeemable non-controlling interests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4"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180" w:top="1371" w:right="1160" w:bottom="169" w:gutter="0" w:footer="0" w:header="0"/>
          <w:type w:val="continuous"/>
        </w:sectPr>
      </w:pPr>
    </w:p>
    <w:bookmarkStart w:id="43" w:name="page44"/>
    <w:bookmarkEnd w:id="43"/>
    <w:p>
      <w:pPr>
        <w:ind w:left="2240"/>
        <w:spacing w:after="0"/>
        <w:rPr>
          <w:sz w:val="20"/>
          <w:szCs w:val="20"/>
          <w:color w:val="auto"/>
        </w:rPr>
      </w:pPr>
      <w:r>
        <w:rPr>
          <w:rFonts w:ascii="Times New Roman" w:cs="Times New Roman" w:eastAsia="Times New Roman" w:hAnsi="Times New Roman"/>
          <w:sz w:val="20"/>
          <w:szCs w:val="20"/>
          <w:b w:val="1"/>
          <w:bCs w:val="1"/>
          <w:color w:val="auto"/>
        </w:rPr>
        <w:t>Transaction-related Advisory Service Revenue</w:t>
      </w:r>
    </w:p>
    <w:p>
      <w:pPr>
        <w:spacing w:after="0" w:line="58" w:lineRule="exact"/>
        <w:rPr>
          <w:sz w:val="20"/>
          <w:szCs w:val="20"/>
          <w:color w:val="auto"/>
        </w:rPr>
      </w:pPr>
    </w:p>
    <w:p>
      <w:pPr>
        <w:jc w:val="both"/>
        <w:ind w:left="2240" w:right="360" w:hanging="2234"/>
        <w:spacing w:after="0" w:line="236"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For the year ended December 31, 2024, the Company’s revenues totaled $878.0 million, a portion of which resulted from transaction-related advisory services. As explained in Note 2 to the consolidated financial statements, the Company provides transaction-related advisory services to its clients to assist with corporate finance activities that include, but are not limited to, mergers and acquisitions, reorganizations, tender offers, leveraged buyouts, and the pricing of securities to be issued. The Company recognizes revenue from transaction-related advisory services when or as its performance obligations are fulfilled. The recognition of transaction-related advisory services is often constrained until substantially all services have been provided, specified conditions have been met and/or certain milestones have been achieved, and it is probable that a significant revenue reversal will not occur in a future period. The determination of when and to what extent to recognize transaction-related advisory service revenues may require judgment, particularly when milestones are met near the end of a reporting period and in cases where additional services are expected to be provided subsequent to the achievement of the milestone.</w:t>
      </w:r>
    </w:p>
    <w:p>
      <w:pPr>
        <w:spacing w:after="0" w:line="196" w:lineRule="exact"/>
        <w:rPr>
          <w:sz w:val="20"/>
          <w:szCs w:val="20"/>
          <w:color w:val="auto"/>
        </w:rPr>
      </w:pPr>
    </w:p>
    <w:p>
      <w:pPr>
        <w:jc w:val="both"/>
        <w:ind w:left="2240" w:right="360"/>
        <w:spacing w:after="0" w:line="241" w:lineRule="auto"/>
        <w:rPr>
          <w:sz w:val="20"/>
          <w:szCs w:val="20"/>
          <w:color w:val="auto"/>
        </w:rPr>
      </w:pPr>
      <w:r>
        <w:rPr>
          <w:rFonts w:ascii="Times New Roman" w:cs="Times New Roman" w:eastAsia="Times New Roman" w:hAnsi="Times New Roman"/>
          <w:sz w:val="20"/>
          <w:szCs w:val="20"/>
          <w:color w:val="auto"/>
        </w:rPr>
        <w:t>Auditing transaction-related advisory services revenue involved significant effort and was especially challenging due to the judgment involved to assess whether (1) all services have been provided, specified conditions have been met and/or certain milestones have been achieved and (2) it is probable a significant revenue reversal will not occur in a future period.</w:t>
      </w:r>
    </w:p>
    <w:p>
      <w:pPr>
        <w:spacing w:after="0" w:line="13"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w:t>
      </w:r>
    </w:p>
    <w:p>
      <w:pPr>
        <w:spacing w:after="0" w:line="20" w:lineRule="exact"/>
        <w:rPr>
          <w:sz w:val="20"/>
          <w:szCs w:val="20"/>
          <w:color w:val="auto"/>
        </w:rPr>
      </w:pPr>
    </w:p>
    <w:p>
      <w:pPr>
        <w:jc w:val="both"/>
        <w:ind w:left="2240" w:right="360" w:hanging="2234"/>
        <w:spacing w:after="0" w:line="237"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effectiveness of the Company's controls over transaction-related advisory services revenue. This included, among others, testing management’s controls over the assessment of the fulfillment of its performance obligations and the evaluation of the revenue constraint for transactions that closed subsequent to the reporting period.</w:t>
      </w:r>
    </w:p>
    <w:p>
      <w:pPr>
        <w:spacing w:after="0" w:line="190" w:lineRule="exact"/>
        <w:rPr>
          <w:sz w:val="20"/>
          <w:szCs w:val="20"/>
          <w:color w:val="auto"/>
        </w:rPr>
      </w:pPr>
    </w:p>
    <w:p>
      <w:pPr>
        <w:jc w:val="both"/>
        <w:ind w:left="2240" w:right="360"/>
        <w:spacing w:after="0" w:line="237" w:lineRule="auto"/>
        <w:rPr>
          <w:sz w:val="20"/>
          <w:szCs w:val="20"/>
          <w:color w:val="auto"/>
        </w:rPr>
      </w:pPr>
      <w:r>
        <w:rPr>
          <w:rFonts w:ascii="Times New Roman" w:cs="Times New Roman" w:eastAsia="Times New Roman" w:hAnsi="Times New Roman"/>
          <w:sz w:val="20"/>
          <w:szCs w:val="20"/>
          <w:color w:val="auto"/>
        </w:rPr>
        <w:t>To test the Company’s transaction-related advisory service revenue, our procedures included, among others, testing a sample of revenue transactions, including transactions occurring near the end of the reporting period to evaluate management’s assessment that it had met the conditions for revenue recognition. We made inquiries of management relating to their assessment of the satisfaction of performance obligations pursuant to the terms of the engagement letter and the probability of a significant revenue reversal in the future. We obtained and read the engagement letters and identified the services to be provided and the compensation to be received. We inspected relevant documentation such as transaction close documents, press releases, court approvals, executed agreements and correspondence between third parties and the Company.</w:t>
      </w:r>
    </w:p>
    <w:p>
      <w:pPr>
        <w:sectPr>
          <w:pgSz w:w="12240" w:h="15840" w:orient="portrait"/>
          <w:cols w:equalWidth="0" w:num="1">
            <w:col w:w="9580"/>
          </w:cols>
          <w:pgMar w:left="1220" w:top="1423"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580"/>
          </w:cols>
          <w:pgMar w:left="1220" w:top="1423" w:right="1440" w:bottom="169" w:gutter="0" w:footer="0" w:header="0"/>
          <w:type w:val="continuous"/>
        </w:sectPr>
      </w:pPr>
    </w:p>
    <w:bookmarkStart w:id="44" w:name="page45"/>
    <w:bookmarkEnd w:id="44"/>
    <w:p>
      <w:pPr>
        <w:ind w:left="2240"/>
        <w:spacing w:after="0"/>
        <w:rPr>
          <w:sz w:val="20"/>
          <w:szCs w:val="20"/>
          <w:color w:val="auto"/>
        </w:rPr>
      </w:pPr>
      <w:r>
        <w:rPr>
          <w:rFonts w:ascii="Times New Roman" w:cs="Times New Roman" w:eastAsia="Times New Roman" w:hAnsi="Times New Roman"/>
          <w:sz w:val="20"/>
          <w:szCs w:val="20"/>
          <w:b w:val="1"/>
          <w:bCs w:val="1"/>
          <w:color w:val="auto"/>
        </w:rPr>
        <w:t>Internal Reorganization Accounting and Reporting</w:t>
      </w:r>
    </w:p>
    <w:p>
      <w:pPr>
        <w:spacing w:after="0" w:line="58" w:lineRule="exact"/>
        <w:rPr>
          <w:sz w:val="20"/>
          <w:szCs w:val="20"/>
          <w:color w:val="auto"/>
        </w:rPr>
      </w:pPr>
    </w:p>
    <w:p>
      <w:pPr>
        <w:jc w:val="both"/>
        <w:ind w:left="2240" w:right="360" w:hanging="2234"/>
        <w:spacing w:after="0" w:line="235"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On April 1, 2024, as part of an internal reorganization, PWP AdCo Professionals LP (“AdCo Professionals”) merged with and into PWP Holdings LP (“PWP OpCo”) (the “Merger”). As a result of the Merger, (i) the partnership units of AdCo Professionals were converted into an equivalent number of partnership units of PWP OpCo, (ii) the net assets of AdCo Professionals became the net assets of PWP OpCo and (iii) PWP OpCo adopted an amended and restated limited partnership agreement that permits the Company to settle quarterly exchanges in cash or shares at the Company’s discretion. As disclosed in notes 1 and 11 to the consolidated financial statements, at the time of the Merger, the Company entered into vesting acceleration agreements with certain holders of AdCo Professionals partnership units which accelerated the vesting. The Merger and accelerated vesting resulted in certain of these partnership unit awards being modified from equity-classified to liability-classified awards with changes in fair value generally recorded as incremental equity-based compensation expense through the date of vesting. For the year ended December 31, 2024, the Company recorded $130.3 million of equity-based compensation expense related to the acceleration of these partnership unit awards. Of that amount, $69.5 million was related to liability-classified awards. In addition, as disclosed in Note 10 to the consolidated financial statements as a result of the Merger, the Non-controlling interests on the Company’s Consolidated Statements of Financial Condition were reclassified to Redeemable non-controlling interests within temporary equity. Further, subsequent to the Merger, the Company began allocating the remaining expense associated with these partnership unit awards between Perella Weinberg Partners and Non-controlling interests in proportion to their ownership interests of PWP OpCo, which is consistent with the allocation of the other profit and loss activity.</w:t>
      </w:r>
    </w:p>
    <w:p>
      <w:pPr>
        <w:spacing w:after="0" w:line="199" w:lineRule="exact"/>
        <w:rPr>
          <w:sz w:val="20"/>
          <w:szCs w:val="20"/>
          <w:color w:val="auto"/>
        </w:rPr>
      </w:pPr>
    </w:p>
    <w:p>
      <w:pPr>
        <w:jc w:val="both"/>
        <w:ind w:left="2240" w:right="360"/>
        <w:spacing w:after="0" w:line="247" w:lineRule="auto"/>
        <w:rPr>
          <w:sz w:val="20"/>
          <w:szCs w:val="20"/>
          <w:color w:val="auto"/>
        </w:rPr>
      </w:pPr>
      <w:r>
        <w:rPr>
          <w:rFonts w:ascii="Times New Roman" w:cs="Times New Roman" w:eastAsia="Times New Roman" w:hAnsi="Times New Roman"/>
          <w:sz w:val="20"/>
          <w:szCs w:val="20"/>
          <w:color w:val="auto"/>
        </w:rPr>
        <w:t>Auditing the internal reorganization was especially challenging because of the complexity of the transaction and the related accounting guidance and reporting considerations.</w:t>
      </w:r>
    </w:p>
    <w:p>
      <w:pPr>
        <w:spacing w:after="0" w:line="1"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w:t>
      </w:r>
    </w:p>
    <w:p>
      <w:pPr>
        <w:spacing w:after="0" w:line="20" w:lineRule="exact"/>
        <w:rPr>
          <w:sz w:val="20"/>
          <w:szCs w:val="20"/>
          <w:color w:val="auto"/>
        </w:rPr>
      </w:pPr>
    </w:p>
    <w:p>
      <w:pPr>
        <w:jc w:val="both"/>
        <w:ind w:left="2240" w:right="360" w:hanging="2234"/>
        <w:spacing w:after="0" w:line="237"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effectiveness of the Company's controls related to the internal reorganization. This included, among others, testing management’s controls over the evaluation and application of accounting and reporting guidance in recording and reporting the financial statement impacts of the internal reorganization.</w:t>
      </w:r>
    </w:p>
    <w:p>
      <w:pPr>
        <w:spacing w:after="0" w:line="190" w:lineRule="exact"/>
        <w:rPr>
          <w:sz w:val="20"/>
          <w:szCs w:val="20"/>
          <w:color w:val="auto"/>
        </w:rPr>
      </w:pPr>
    </w:p>
    <w:p>
      <w:pPr>
        <w:jc w:val="both"/>
        <w:ind w:left="2240" w:right="360"/>
        <w:spacing w:after="0" w:line="238" w:lineRule="auto"/>
        <w:rPr>
          <w:sz w:val="20"/>
          <w:szCs w:val="20"/>
          <w:color w:val="auto"/>
        </w:rPr>
      </w:pPr>
      <w:r>
        <w:rPr>
          <w:rFonts w:ascii="Times New Roman" w:cs="Times New Roman" w:eastAsia="Times New Roman" w:hAnsi="Times New Roman"/>
          <w:sz w:val="20"/>
          <w:szCs w:val="20"/>
          <w:color w:val="auto"/>
        </w:rPr>
        <w:t>To test the Company’s evaluation of and accounting and reporting for the internal reorganization, our procedures included, among others, obtaining and reading the amended and restated PWP OpCo limited partnership agreement, vesting acceleration agreements and other relevant documents, assessing settlement and acceleration provisions, considering management’s conclusions regarding the accounting and reporting, and evaluating the Company’s financial statement presentation and disclosures, including equity-based compensation expense and non-controlling interest classification and measurement.</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9580"/>
          </w:cols>
          <w:pgMar w:left="1220" w:top="1423" w:right="144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580"/>
          </w:cols>
          <w:pgMar w:left="1220" w:top="1423" w:right="1440" w:bottom="169" w:gutter="0" w:footer="0" w:header="0"/>
          <w:type w:val="continuous"/>
        </w:sectPr>
      </w:pPr>
    </w:p>
    <w:bookmarkStart w:id="45" w:name="page46"/>
    <w:bookmarkEnd w:id="4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Condition</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78"/>
        </w:trPr>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79"/>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331,558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247,171</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2,931</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Investments in short-term marketable debt securities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receivable, net of allowance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73,293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47,771</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Due from related parties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Fixed assets, net of accumulated depreciation and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84,886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93,652</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Intangible assets, net of accumulated amortization</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34,383</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Prepaid expenses and other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30,871</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143,935</w:t>
            </w:r>
          </w:p>
        </w:tc>
        <w:tc>
          <w:tcPr>
            <w:tcW w:w="0" w:type="dxa"/>
            <w:vAlign w:val="bottom"/>
          </w:tcPr>
          <w:p>
            <w:pPr>
              <w:spacing w:after="0"/>
              <w:rPr>
                <w:sz w:val="1"/>
                <w:szCs w:val="1"/>
                <w:color w:val="auto"/>
              </w:rPr>
            </w:pPr>
          </w:p>
        </w:tc>
      </w:tr>
      <w:tr>
        <w:trPr>
          <w:trHeight w:val="30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tax asset, net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92,969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46,453</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Redeemable Non-Controlling Interests,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compensation and benefits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233,927</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payable, accrued expenses and other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52,106</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175,901</w:t>
            </w:r>
          </w:p>
        </w:tc>
        <w:tc>
          <w:tcPr>
            <w:tcW w:w="0" w:type="dxa"/>
            <w:vAlign w:val="bottom"/>
          </w:tcPr>
          <w:p>
            <w:pPr>
              <w:spacing w:after="0"/>
              <w:rPr>
                <w:sz w:val="1"/>
                <w:szCs w:val="1"/>
                <w:color w:val="auto"/>
              </w:rPr>
            </w:pPr>
          </w:p>
        </w:tc>
      </w:tr>
      <w:tr>
        <w:trPr>
          <w:trHeight w:val="30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Amount due pursuant to tax receivable agreement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30,928</w:t>
            </w:r>
          </w:p>
        </w:tc>
        <w:tc>
          <w:tcPr>
            <w:tcW w:w="0" w:type="dxa"/>
            <w:vAlign w:val="bottom"/>
          </w:tcPr>
          <w:p>
            <w:pPr>
              <w:spacing w:after="0"/>
              <w:rPr>
                <w:sz w:val="1"/>
                <w:szCs w:val="1"/>
                <w:color w:val="auto"/>
              </w:rPr>
            </w:pPr>
          </w:p>
        </w:tc>
      </w:tr>
      <w:tr>
        <w:trPr>
          <w:trHeight w:val="278"/>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646,986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492,862</w:t>
            </w:r>
          </w:p>
        </w:tc>
        <w:tc>
          <w:tcPr>
            <w:tcW w:w="0" w:type="dxa"/>
            <w:vAlign w:val="bottom"/>
          </w:tcPr>
          <w:p>
            <w:pPr>
              <w:spacing w:after="0"/>
              <w:rPr>
                <w:sz w:val="1"/>
                <w:szCs w:val="1"/>
                <w:color w:val="auto"/>
              </w:rPr>
            </w:pPr>
          </w:p>
        </w:tc>
      </w:tr>
      <w:tr>
        <w:trPr>
          <w:trHeight w:val="279"/>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16)</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Redeemable non-controlling interests, 27,460,600 units at redemption value of $23.71</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per unit as of December 31, 2024 </w:t>
            </w:r>
            <w:r>
              <w:rPr>
                <w:rFonts w:ascii="Times New Roman" w:cs="Times New Roman" w:eastAsia="Times New Roman" w:hAnsi="Times New Roman"/>
                <w:sz w:val="20"/>
                <w:szCs w:val="20"/>
                <w:color w:val="B4B4B4"/>
                <w:w w:val="99"/>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651,140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Equity </w:t>
            </w:r>
            <w:r>
              <w:rPr>
                <w:rFonts w:ascii="Times New Roman" w:cs="Times New Roman" w:eastAsia="Times New Roman" w:hAnsi="Times New Roman"/>
                <w:sz w:val="20"/>
                <w:szCs w:val="20"/>
                <w:color w:val="B4B4B4"/>
                <w:w w:val="99"/>
              </w:rPr>
              <w: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Class A common stock, par value $0.0001 per share (1,500,000,000 shares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authorized, 72,544,696 issued and 59,181,721 outstanding at December 31, 2024;</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1,500,000,000 shares authorized, 57,361,073 issued and 44,642,849 outstanding at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December 31, 2023)</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7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Class B common stock, par value $0.0001 per share (600,000,000 shares authorized,</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27,460,600 issued and outstanding at December 31, 2024; 600,000,000 shares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authorized, 41,589,339 issued and outstanding at December 31, 2023)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5"/>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Preferred stock, par value $0.0001 per share (100,000,000 shares authorized, no</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shares issued and outstanding at December 31, 2024 and December 31, 2023) </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Additional paid-in-capital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312,523</w:t>
            </w:r>
          </w:p>
        </w:tc>
        <w:tc>
          <w:tcPr>
            <w:tcW w:w="0" w:type="dxa"/>
            <w:vAlign w:val="bottom"/>
          </w:tcPr>
          <w:p>
            <w:pPr>
              <w:spacing w:after="0"/>
              <w:rPr>
                <w:sz w:val="1"/>
                <w:szCs w:val="1"/>
                <w:color w:val="auto"/>
              </w:rPr>
            </w:pPr>
          </w:p>
        </w:tc>
      </w:tr>
      <w:tr>
        <w:trPr>
          <w:trHeight w:val="30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Retained earnings (accumulated deficit)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(303,708)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(54,650)</w:t>
            </w:r>
          </w:p>
        </w:tc>
        <w:tc>
          <w:tcPr>
            <w:tcW w:w="0" w:type="dxa"/>
            <w:vAlign w:val="bottom"/>
          </w:tcPr>
          <w:p>
            <w:pPr>
              <w:spacing w:after="0"/>
              <w:rPr>
                <w:sz w:val="1"/>
                <w:szCs w:val="1"/>
                <w:color w:val="auto"/>
              </w:rPr>
            </w:pPr>
          </w:p>
        </w:tc>
      </w:tr>
      <w:tr>
        <w:trPr>
          <w:trHeight w:val="301"/>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Accumulated other comprehensive income (loss)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(4,480)</w:t>
            </w:r>
          </w:p>
        </w:tc>
        <w:tc>
          <w:tcPr>
            <w:tcW w:w="0" w:type="dxa"/>
            <w:vAlign w:val="bottom"/>
          </w:tcPr>
          <w:p>
            <w:pPr>
              <w:spacing w:after="0"/>
              <w:rPr>
                <w:sz w:val="1"/>
                <w:szCs w:val="1"/>
                <w:color w:val="auto"/>
              </w:rPr>
            </w:pPr>
          </w:p>
        </w:tc>
      </w:tr>
      <w:tr>
        <w:trPr>
          <w:trHeight w:val="244"/>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Treasury stock, at cost (13,362,975 and 12,718,224 shares of Class A common stock</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at December 31, 2024 and December 31, 2023, respectively)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(111,484)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(100,747)</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Perella Weinberg Partners equity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(421,375)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152,656</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Non-controlling interests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115,590</w:t>
            </w:r>
          </w:p>
        </w:tc>
        <w:tc>
          <w:tcPr>
            <w:tcW w:w="0" w:type="dxa"/>
            <w:vAlign w:val="bottom"/>
          </w:tcPr>
          <w:p>
            <w:pPr>
              <w:spacing w:after="0"/>
              <w:rPr>
                <w:sz w:val="1"/>
                <w:szCs w:val="1"/>
                <w:color w:val="auto"/>
              </w:rPr>
            </w:pPr>
          </w:p>
        </w:tc>
      </w:tr>
      <w:tr>
        <w:trPr>
          <w:trHeight w:val="28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equity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(421,375)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268,246</w:t>
            </w:r>
          </w:p>
        </w:tc>
        <w:tc>
          <w:tcPr>
            <w:tcW w:w="0" w:type="dxa"/>
            <w:vAlign w:val="bottom"/>
          </w:tcPr>
          <w:p>
            <w:pPr>
              <w:spacing w:after="0"/>
              <w:rPr>
                <w:sz w:val="1"/>
                <w:szCs w:val="1"/>
                <w:color w:val="auto"/>
              </w:rPr>
            </w:pP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liabilities, redeemable non-controlling interests, and equity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-7346315</wp:posOffset>
            </wp:positionV>
            <wp:extent cx="6296025" cy="7366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296025" cy="736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00"/>
          </w:cols>
          <w:pgMar w:left="1240" w:top="201" w:right="1200" w:bottom="0" w:gutter="0" w:footer="0" w:header="0"/>
        </w:sectPr>
      </w:pP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800"/>
          </w:cols>
          <w:pgMar w:left="1240" w:top="201" w:right="1200" w:bottom="0" w:gutter="0" w:footer="0" w:header="0"/>
          <w:type w:val="continuous"/>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Revenues </w:t>
            </w:r>
            <w:r>
              <w:rPr>
                <w:rFonts w:ascii="Times New Roman" w:cs="Times New Roman" w:eastAsia="Times New Roman" w:hAnsi="Times New Roman"/>
                <w:sz w:val="20"/>
                <w:szCs w:val="20"/>
                <w:color w:val="B4B4B4"/>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525,941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426,572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391,333</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Equity-based compensation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c>
          <w:tcPr>
            <w:tcW w:w="0" w:type="dxa"/>
            <w:vAlign w:val="bottom"/>
          </w:tcPr>
          <w:p>
            <w:pPr>
              <w:spacing w:after="0"/>
              <w:rPr>
                <w:sz w:val="1"/>
                <w:szCs w:val="1"/>
                <w:color w:val="auto"/>
              </w:rPr>
            </w:pPr>
          </w:p>
        </w:tc>
      </w:tr>
      <w:tr>
        <w:trPr>
          <w:trHeight w:val="264"/>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compensation and benefits </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784,237</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608,947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545,491</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Professional fees</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34,824</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Technology and infrastructure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34,462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30,084</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Rent and occupancy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24,898</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Travel and related expenses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19,030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13,034</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administrative and other expenses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20,103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20,215</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Depreciation and amortization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20,379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14,679</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10,694</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956,571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763,752</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679,240</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Operating income (loss) </w:t>
            </w:r>
            <w:r>
              <w:rPr>
                <w:rFonts w:ascii="Times New Roman" w:cs="Times New Roman" w:eastAsia="Times New Roman" w:hAnsi="Times New Roman"/>
                <w:sz w:val="20"/>
                <w:szCs w:val="20"/>
                <w:color w:val="B4B4B4"/>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(78,532)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(47,733)</w:t>
            </w:r>
          </w:p>
        </w:tc>
        <w:tc>
          <w:tcPr>
            <w:tcW w:w="0" w:type="dxa"/>
            <w:vAlign w:val="bottom"/>
          </w:tcPr>
          <w:p>
            <w:pPr>
              <w:spacing w:after="0"/>
              <w:rPr>
                <w:sz w:val="1"/>
                <w:szCs w:val="1"/>
                <w:color w:val="auto"/>
              </w:rPr>
            </w:pP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Non-operating income (expenses)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Related party income</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income (expense)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7,702</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Change in fair value of warrant liabilities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15,806</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non-operating income (expenses)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26,313</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Income (loss) before income taxes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Income tax expense (benefit)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10,327</w:t>
            </w:r>
          </w:p>
        </w:tc>
        <w:tc>
          <w:tcPr>
            <w:tcW w:w="0" w:type="dxa"/>
            <w:vAlign w:val="bottom"/>
          </w:tcPr>
          <w:p>
            <w:pPr>
              <w:spacing w:after="0"/>
              <w:rPr>
                <w:sz w:val="1"/>
                <w:szCs w:val="1"/>
                <w:color w:val="auto"/>
              </w:rPr>
            </w:pP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income (loss) </w:t>
            </w:r>
            <w:r>
              <w:rPr>
                <w:rFonts w:ascii="Times New Roman" w:cs="Times New Roman" w:eastAsia="Times New Roman" w:hAnsi="Times New Roman"/>
                <w:sz w:val="20"/>
                <w:szCs w:val="20"/>
                <w:color w:val="B4B4B4"/>
                <w:w w:val="99"/>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Less: Net income (loss) attributable to non-controlling interests </w:t>
            </w:r>
            <w:r>
              <w:rPr>
                <w:rFonts w:ascii="Times New Roman" w:cs="Times New Roman" w:eastAsia="Times New Roman" w:hAnsi="Times New Roman"/>
                <w:sz w:val="20"/>
                <w:szCs w:val="20"/>
                <w:color w:val="B4B4B4"/>
                <w:w w:val="98"/>
              </w:rPr>
              <w:t>.......</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(24,616)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(94,617)</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(49,625)</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Net income (loss) attributable to Perella Weinberg Partners</w:t>
            </w:r>
            <w:r>
              <w:rPr>
                <w:rFonts w:ascii="Times New Roman" w:cs="Times New Roman" w:eastAsia="Times New Roman" w:hAnsi="Times New Roman"/>
                <w:sz w:val="20"/>
                <w:szCs w:val="20"/>
                <w:b w:val="1"/>
                <w:bCs w:val="1"/>
                <w:color w:val="B4B4B4"/>
                <w:w w:val="99"/>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Weighted-average shares of Class A common stock outstanding</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43,273,939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43,837,640</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86,779,052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89,755,632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-5366385</wp:posOffset>
            </wp:positionV>
            <wp:extent cx="6286500" cy="5387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286500" cy="538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780"/>
          </w:cols>
          <w:pgMar w:left="1260" w:top="201" w:right="120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780"/>
          </w:cols>
          <w:pgMar w:left="1260" w:top="201" w:right="1200" w:bottom="169"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b w:val="1"/>
                <w:bCs w:val="1"/>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(111,840)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(31,747)</w:t>
            </w:r>
          </w:p>
        </w:tc>
        <w:tc>
          <w:tcPr>
            <w:tcW w:w="0" w:type="dxa"/>
            <w:vAlign w:val="bottom"/>
          </w:tcPr>
          <w:p>
            <w:pPr>
              <w:spacing w:after="0"/>
              <w:rPr>
                <w:sz w:val="1"/>
                <w:szCs w:val="1"/>
                <w:color w:val="auto"/>
              </w:rPr>
            </w:pP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gain (loss), net of tax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Comprehensive income (loss) </w:t>
            </w:r>
            <w:r>
              <w:rPr>
                <w:rFonts w:ascii="Times New Roman" w:cs="Times New Roman" w:eastAsia="Times New Roman" w:hAnsi="Times New Roman"/>
                <w:sz w:val="20"/>
                <w:szCs w:val="20"/>
                <w:b w:val="1"/>
                <w:bCs w:val="1"/>
                <w:color w:val="B4B4B4"/>
              </w:rPr>
              <w:t>.........................................................</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(91,878)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(107,709)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(41,429)</w:t>
            </w:r>
          </w:p>
        </w:tc>
        <w:tc>
          <w:tcPr>
            <w:tcW w:w="0" w:type="dxa"/>
            <w:vAlign w:val="bottom"/>
          </w:tcPr>
          <w:p>
            <w:pPr>
              <w:spacing w:after="0"/>
              <w:rPr>
                <w:sz w:val="1"/>
                <w:szCs w:val="1"/>
                <w:color w:val="auto"/>
              </w:rPr>
            </w:pPr>
          </w:p>
        </w:tc>
      </w:tr>
      <w:tr>
        <w:trPr>
          <w:trHeight w:val="205"/>
        </w:trPr>
        <w:tc>
          <w:tcPr>
            <w:tcW w:w="548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Comprehensive income (loss) attributable to non-controlling</w:t>
            </w: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(25,437)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(92,544)</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(54,515)</w:t>
            </w:r>
          </w:p>
        </w:tc>
        <w:tc>
          <w:tcPr>
            <w:tcW w:w="0" w:type="dxa"/>
            <w:vAlign w:val="bottom"/>
          </w:tcPr>
          <w:p>
            <w:pPr>
              <w:spacing w:after="0"/>
              <w:rPr>
                <w:sz w:val="1"/>
                <w:szCs w:val="1"/>
                <w:color w:val="auto"/>
              </w:rPr>
            </w:pPr>
          </w:p>
        </w:tc>
      </w:tr>
      <w:tr>
        <w:trPr>
          <w:trHeight w:val="261"/>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interests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line="184" w:lineRule="exact"/>
              <w:rPr>
                <w:sz w:val="20"/>
                <w:szCs w:val="20"/>
                <w:color w:val="auto"/>
              </w:rPr>
            </w:pPr>
            <w:r>
              <w:rPr>
                <w:rFonts w:ascii="Times New Roman" w:cs="Times New Roman" w:eastAsia="Times New Roman" w:hAnsi="Times New Roman"/>
                <w:sz w:val="20"/>
                <w:szCs w:val="20"/>
                <w:b w:val="1"/>
                <w:bCs w:val="1"/>
                <w:color w:val="auto"/>
              </w:rPr>
              <w:t>Comprehensive income (loss) attributable to Perella Weinberg</w:t>
            </w:r>
          </w:p>
        </w:tc>
        <w:tc>
          <w:tcPr>
            <w:tcW w:w="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(66,441)</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(15,165)</w:t>
            </w:r>
          </w:p>
        </w:tc>
        <w:tc>
          <w:tcPr>
            <w:tcW w:w="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13,086</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Partners </w:t>
            </w:r>
            <w:r>
              <w:rPr>
                <w:rFonts w:ascii="Times New Roman" w:cs="Times New Roman" w:eastAsia="Times New Roman" w:hAnsi="Times New Roman"/>
                <w:sz w:val="20"/>
                <w:szCs w:val="20"/>
                <w:b w:val="1"/>
                <w:bCs w:val="1"/>
                <w:color w:val="B4B4B4"/>
              </w:rPr>
              <w:t>............................................................................................</w:t>
            </w:r>
          </w:p>
        </w:tc>
        <w:tc>
          <w:tcPr>
            <w:tcW w:w="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-1164590</wp:posOffset>
            </wp:positionV>
            <wp:extent cx="6286500" cy="1184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286500" cy="1184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00"/>
          </w:cols>
          <w:pgMar w:left="1220" w:top="201" w:right="1220" w:bottom="169"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800"/>
          </w:cols>
          <w:pgMar w:left="1220" w:top="201" w:right="1220" w:bottom="169" w:gutter="0" w:footer="0" w:header="0"/>
          <w:type w:val="continuous"/>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and Redeemable Non-Controlling Interests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Accumulate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89"/>
              </w:rPr>
              <w:t>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60" w:type="dxa"/>
            <w:vAlign w:val="bottom"/>
          </w:tcPr>
          <w:p>
            <w:pPr>
              <w:spacing w:after="0"/>
              <w:rPr>
                <w:sz w:val="13"/>
                <w:szCs w:val="13"/>
                <w:color w:val="auto"/>
              </w:rPr>
            </w:pPr>
          </w:p>
        </w:tc>
        <w:tc>
          <w:tcPr>
            <w:tcW w:w="10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Comprehens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(Accumulate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ive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Non-</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7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Common</w:t>
            </w: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Income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2021 </w:t>
            </w:r>
            <w:r>
              <w:rPr>
                <w:rFonts w:ascii="Times New Roman" w:cs="Times New Roman" w:eastAsia="Times New Roman" w:hAnsi="Times New Roman"/>
                <w:sz w:val="16"/>
                <w:szCs w:val="16"/>
                <w:b w:val="1"/>
                <w:bCs w:val="1"/>
                <w:color w:val="B4B4B4"/>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43,649,319</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50,154,199</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(1,000,000)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(loss)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Equity-based awards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partners</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for vested</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w w:val="99"/>
              </w:rPr>
              <w:t xml:space="preserve">PWP Incentive Plan Awards </w:t>
            </w:r>
            <w:r>
              <w:rPr>
                <w:rFonts w:ascii="Times New Roman" w:cs="Times New Roman" w:eastAsia="Times New Roman" w:hAnsi="Times New Roman"/>
                <w:sz w:val="16"/>
                <w:szCs w:val="16"/>
                <w:color w:val="B4B4B4"/>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1,426,073</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Incentive Plan Awards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($0.28 per share of Class A</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Foreign currency translation gain (loss)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and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with</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 cash</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using 2022 Offering proceeds (Note 10—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and Redeemable Non-</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Controlling Interests)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3,502,033</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(3,498,534)</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 Class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 (Note 10—Stockholders’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Equity and Redeemable Non-Controlling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2,093,874</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6"/>
              </w:rPr>
              <w:t>(2,091,788)</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Warrant exchange for Class A common stock</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1,565,948</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Treasury stock purchases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(9,544,016)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Change in ownership interests </w:t>
            </w:r>
            <w:r>
              <w:rPr>
                <w:rFonts w:ascii="Times New Roman" w:cs="Times New Roman" w:eastAsia="Times New Roman" w:hAnsi="Times New Roman"/>
                <w:sz w:val="16"/>
                <w:szCs w:val="16"/>
                <w:color w:val="B4B4B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2022 </w:t>
            </w:r>
            <w:r>
              <w:rPr>
                <w:rFonts w:ascii="Times New Roman" w:cs="Times New Roman" w:eastAsia="Times New Roman" w:hAnsi="Times New Roman"/>
                <w:sz w:val="16"/>
                <w:szCs w:val="16"/>
                <w:b w:val="1"/>
                <w:bCs w:val="1"/>
                <w:color w:val="B4B4B4"/>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52,237,247</w:t>
            </w:r>
          </w:p>
        </w:tc>
        <w:tc>
          <w:tcPr>
            <w:tcW w:w="84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44,563,877</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(10,492,28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122,678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Equity-based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partners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A common stock for vested</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w w:val="99"/>
              </w:rPr>
              <w:t xml:space="preserve">PWP Incentive Plan Awards </w:t>
            </w:r>
            <w:r>
              <w:rPr>
                <w:rFonts w:ascii="Times New Roman" w:cs="Times New Roman" w:eastAsia="Times New Roman" w:hAnsi="Times New Roman"/>
                <w:sz w:val="16"/>
                <w:szCs w:val="16"/>
                <w:color w:val="B4B4B4"/>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2,146,320</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Incentive Plan Awards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($0.28 per share of Class A</w:t>
            </w:r>
          </w:p>
        </w:tc>
        <w:tc>
          <w:tcPr>
            <w:tcW w:w="7940" w:type="dxa"/>
            <w:vAlign w:val="bottom"/>
            <w:gridSpan w:val="23"/>
            <w:vMerge w:val="restart"/>
          </w:tcPr>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3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7940" w:type="dxa"/>
            <w:vAlign w:val="bottom"/>
            <w:gridSpan w:val="23"/>
            <w:vMerge w:val="continue"/>
          </w:tcPr>
          <w:p>
            <w:pPr>
              <w:spacing w:after="0"/>
              <w:rPr>
                <w:sz w:val="8"/>
                <w:szCs w:val="8"/>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(18,715)</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-5299075</wp:posOffset>
            </wp:positionV>
            <wp:extent cx="9264650" cy="5264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9264650" cy="5264150"/>
                    </a:xfrm>
                    <a:prstGeom prst="rect">
                      <a:avLst/>
                    </a:prstGeom>
                    <a:noFill/>
                  </pic:spPr>
                </pic:pic>
              </a:graphicData>
            </a:graphic>
          </wp:anchor>
        </w:drawing>
      </w:r>
    </w:p>
    <w:p>
      <w:pPr>
        <w:sectPr>
          <w:pgSz w:w="15840" w:h="12240" w:orient="landscape"/>
          <w:cols w:equalWidth="0" w:num="1">
            <w:col w:w="14500"/>
          </w:cols>
          <w:pgMar w:left="700" w:top="201" w:right="640" w:bottom="169" w:gutter="0" w:footer="0" w:header="0"/>
        </w:sectPr>
      </w:pPr>
    </w:p>
    <w:p>
      <w:pPr>
        <w:spacing w:after="0" w:line="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47</w:t>
      </w:r>
    </w:p>
    <w:p>
      <w:pPr>
        <w:sectPr>
          <w:pgSz w:w="15840" w:h="12240" w:orient="landscape"/>
          <w:cols w:equalWidth="0" w:num="1">
            <w:col w:w="14500"/>
          </w:cols>
          <w:pgMar w:left="700" w:top="201" w:right="640" w:bottom="169" w:gutter="0" w:footer="0" w:header="0"/>
          <w:type w:val="continuous"/>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 and Redeemable Non-Controlling Interests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corresponding Class B common stock for Class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A common stock (Note 10—Stockholders’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Equity and Redeemable Non-Controlling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2,977,506</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(2,974,538)</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purchase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(2,376,683)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Change in ownership interests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at December 31, 2023 </w:t>
            </w:r>
            <w:r>
              <w:rPr>
                <w:rFonts w:ascii="Times New Roman" w:cs="Times New Roman" w:eastAsia="Times New Roman" w:hAnsi="Times New Roman"/>
                <w:sz w:val="16"/>
                <w:szCs w:val="16"/>
                <w:b w:val="1"/>
                <w:bCs w:val="1"/>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57,361,073</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7"/>
              </w:rPr>
              <w:t>41,589,339</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(12,718,22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(100,747)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312,523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268,246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(64,728)</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xml:space="preserve">Effect of the Merger and related transactions </w:t>
            </w:r>
            <w:r>
              <w:rPr>
                <w:rFonts w:ascii="Times New Roman" w:cs="Times New Roman" w:eastAsia="Times New Roman" w:hAnsi="Times New Roman"/>
                <w:sz w:val="16"/>
                <w:szCs w:val="16"/>
                <w:color w:val="B4B4B4"/>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(6,149,211)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97,496</w:t>
            </w:r>
          </w:p>
        </w:tc>
        <w:tc>
          <w:tcPr>
            <w:tcW w:w="0" w:type="dxa"/>
            <w:vAlign w:val="bottom"/>
          </w:tcPr>
          <w:p>
            <w:pPr>
              <w:spacing w:after="0"/>
              <w:rPr>
                <w:sz w:val="1"/>
                <w:szCs w:val="1"/>
                <w:color w:val="auto"/>
              </w:rPr>
            </w:pPr>
          </w:p>
        </w:tc>
      </w:tr>
      <w:tr>
        <w:trPr>
          <w:trHeight w:val="25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Reclassification of liability-classified equity-</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based awards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Equity-based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115,558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60,794</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0" w:type="dxa"/>
            <w:vAlign w:val="bottom"/>
          </w:tcPr>
          <w:p>
            <w:pPr>
              <w:spacing w:after="0"/>
              <w:rPr>
                <w:sz w:val="1"/>
                <w:szCs w:val="1"/>
                <w:color w:val="auto"/>
              </w:rPr>
            </w:pPr>
          </w:p>
        </w:tc>
      </w:tr>
      <w:tr>
        <w:trPr>
          <w:trHeight w:val="25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Class A common stock for vested</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PWP Incentive Plan Awards</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4,654,302</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355,249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 tax payments on vested PWP</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Incentive Plan Awards and equity-classified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ACUs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0" w:type="dxa"/>
            <w:vAlign w:val="bottom"/>
          </w:tcPr>
          <w:p>
            <w:pPr>
              <w:spacing w:after="0"/>
              <w:rPr>
                <w:sz w:val="1"/>
                <w:szCs w:val="1"/>
                <w:color w:val="auto"/>
              </w:rPr>
            </w:pPr>
          </w:p>
        </w:tc>
      </w:tr>
      <w:tr>
        <w:trPr>
          <w:trHeight w:val="25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($0.28 per share of Class</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2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Class A common stock in public</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offering (Note 10—Stockholders’ Equity and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Redeemable Non-Controlling Interests)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5,750,000</w:t>
            </w:r>
          </w:p>
        </w:tc>
        <w:tc>
          <w:tcPr>
            <w:tcW w:w="6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corresponding Class B common stock for cash</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 10—Stockholders’ Equity and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Redeemable Non-Controlling Interests) </w:t>
            </w:r>
            <w:r>
              <w:rPr>
                <w:rFonts w:ascii="Times New Roman" w:cs="Times New Roman" w:eastAsia="Times New Roman" w:hAnsi="Times New Roman"/>
                <w:sz w:val="16"/>
                <w:szCs w:val="16"/>
                <w:color w:val="B4B4B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(3,204,979)</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(57,105)</w:t>
            </w:r>
          </w:p>
        </w:tc>
        <w:tc>
          <w:tcPr>
            <w:tcW w:w="0" w:type="dxa"/>
            <w:vAlign w:val="bottom"/>
          </w:tcPr>
          <w:p>
            <w:pPr>
              <w:spacing w:after="0"/>
              <w:rPr>
                <w:sz w:val="1"/>
                <w:szCs w:val="1"/>
                <w:color w:val="auto"/>
              </w:rPr>
            </w:pPr>
          </w:p>
        </w:tc>
      </w:tr>
      <w:tr>
        <w:trPr>
          <w:trHeight w:val="23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Exchange of PWP OpCo Units and</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corresponding Class B common stock for</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Class A common stock (Note 10—</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 and Redeemable Non-</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Controlling 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4,779,321</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(4,774,549)</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purchase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3"/>
              </w:rPr>
              <w:t>(1,000,000)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ownership 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(22,352)</w:t>
            </w:r>
          </w:p>
        </w:tc>
        <w:tc>
          <w:tcPr>
            <w:tcW w:w="0" w:type="dxa"/>
            <w:vAlign w:val="bottom"/>
          </w:tcPr>
          <w:p>
            <w:pPr>
              <w:spacing w:after="0"/>
              <w:rPr>
                <w:sz w:val="1"/>
                <w:szCs w:val="1"/>
                <w:color w:val="auto"/>
              </w:rPr>
            </w:pPr>
          </w:p>
        </w:tc>
      </w:tr>
      <w:tr>
        <w:trPr>
          <w:trHeight w:val="256"/>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redemption value of redeemable</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non-controlling interests </w:t>
            </w:r>
            <w:r>
              <w:rPr>
                <w:rFonts w:ascii="Times New Roman" w:cs="Times New Roman" w:eastAsia="Times New Roman" w:hAnsi="Times New Roman"/>
                <w:sz w:val="16"/>
                <w:szCs w:val="16"/>
                <w:color w:val="B4B4B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(426,573)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(161,599)</w:t>
            </w: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(588,172)</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588,172</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 xml:space="preserve">Balance at December 31, 2024 </w:t>
            </w:r>
            <w:r>
              <w:rPr>
                <w:rFonts w:ascii="Times New Roman" w:cs="Times New Roman" w:eastAsia="Times New Roman" w:hAnsi="Times New Roman"/>
                <w:sz w:val="16"/>
                <w:szCs w:val="16"/>
                <w:b w:val="1"/>
                <w:bCs w:val="1"/>
                <w:color w:val="B4B4B4"/>
              </w:rPr>
              <w:t>.........................</w:t>
            </w: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u w:val="single" w:color="auto"/>
                <w:color w:val="auto"/>
              </w:rPr>
              <w:t>72,544,696</w:t>
            </w:r>
          </w:p>
        </w:tc>
        <w:tc>
          <w:tcPr>
            <w:tcW w:w="84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6"/>
                <w:szCs w:val="16"/>
                <w:u w:val="single" w:color="auto"/>
                <w:color w:val="auto"/>
                <w:w w:val="97"/>
              </w:rPr>
              <w:t>27,460,600</w:t>
            </w:r>
          </w:p>
        </w:tc>
        <w:tc>
          <w:tcPr>
            <w:tcW w:w="84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6"/>
                <w:szCs w:val="16"/>
                <w:u w:val="single" w:color="auto"/>
                <w:color w:val="auto"/>
              </w:rPr>
              <w:t>(13,362,97</w:t>
            </w:r>
          </w:p>
        </w:tc>
        <w:tc>
          <w:tcPr>
            <w:tcW w:w="400" w:type="dxa"/>
            <w:vAlign w:val="bottom"/>
            <w:gridSpan w:val="2"/>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 (111,484)</w:t>
            </w:r>
          </w:p>
        </w:tc>
        <w:tc>
          <w:tcPr>
            <w:tcW w:w="320" w:type="dxa"/>
            <w:vAlign w:val="bottom"/>
            <w:gridSpan w:val="2"/>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(303,708)</w:t>
            </w:r>
          </w:p>
        </w:tc>
        <w:tc>
          <w:tcPr>
            <w:tcW w:w="540" w:type="dxa"/>
            <w:vAlign w:val="bottom"/>
            <w:gridSpan w:val="2"/>
          </w:tcPr>
          <w:p>
            <w:pPr>
              <w:jc w:val="right"/>
              <w:ind w:right="2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(6,193)</w:t>
            </w:r>
          </w:p>
        </w:tc>
        <w:tc>
          <w:tcPr>
            <w:tcW w:w="300" w:type="dxa"/>
            <w:vAlign w:val="bottom"/>
            <w:gridSpan w:val="2"/>
          </w:tcPr>
          <w:p>
            <w:pPr>
              <w:jc w:val="right"/>
              <w:ind w:right="100"/>
              <w:spacing w:after="0" w:line="16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(421,375)</w:t>
            </w:r>
          </w:p>
        </w:tc>
        <w:tc>
          <w:tcPr>
            <w:tcW w:w="320" w:type="dxa"/>
            <w:vAlign w:val="bottom"/>
            <w:gridSpan w:val="2"/>
          </w:tcPr>
          <w:p>
            <w:pPr>
              <w:jc w:val="right"/>
              <w:ind w:right="1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651,140</w:t>
            </w:r>
          </w:p>
        </w:tc>
        <w:tc>
          <w:tcPr>
            <w:tcW w:w="0" w:type="dxa"/>
            <w:vAlign w:val="bottom"/>
          </w:tcPr>
          <w:p>
            <w:pPr>
              <w:spacing w:after="0"/>
              <w:rPr>
                <w:sz w:val="1"/>
                <w:szCs w:val="1"/>
                <w:color w:val="auto"/>
              </w:rPr>
            </w:pPr>
          </w:p>
        </w:tc>
      </w:tr>
      <w:tr>
        <w:trPr>
          <w:trHeight w:val="34"/>
        </w:trPr>
        <w:tc>
          <w:tcPr>
            <w:tcW w:w="3120" w:type="dxa"/>
            <w:vAlign w:val="bottom"/>
          </w:tcPr>
          <w:p>
            <w:pPr>
              <w:spacing w:after="0"/>
              <w:rPr>
                <w:sz w:val="2"/>
                <w:szCs w:val="2"/>
                <w:color w:val="auto"/>
              </w:rPr>
            </w:pP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w w:val="74"/>
              </w:rPr>
              <w:t>The</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i w:val="1"/>
                <w:iCs w:val="1"/>
                <w:color w:val="auto"/>
                <w:strike w:val="1"/>
                <w:w w:val="92"/>
              </w:rPr>
              <w:t>accompa</w:t>
            </w:r>
          </w:p>
        </w:tc>
        <w:tc>
          <w:tcPr>
            <w:tcW w:w="60" w:type="dxa"/>
            <w:vAlign w:val="bottom"/>
            <w:vMerge w:val="restart"/>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strike w:val="1"/>
                <w:w w:val="87"/>
              </w:rPr>
              <w:t>nying note</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w w:val="92"/>
              </w:rPr>
              <w:t>s are an int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strike w:val="1"/>
              </w:rPr>
              <w:t>egral par</w:t>
            </w:r>
          </w:p>
        </w:tc>
        <w:tc>
          <w:tcPr>
            <w:tcW w:w="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w w:val="71"/>
              </w:rPr>
              <w:t>t</w:t>
            </w:r>
          </w:p>
        </w:tc>
        <w:tc>
          <w:tcPr>
            <w:tcW w:w="1920" w:type="dxa"/>
            <w:vAlign w:val="bottom"/>
            <w:gridSpan w:val="5"/>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w w:val="98"/>
              </w:rPr>
              <w:t>of these co</w:t>
            </w:r>
            <w:r>
              <w:rPr>
                <w:rFonts w:ascii="Times New Roman" w:cs="Times New Roman" w:eastAsia="Times New Roman" w:hAnsi="Times New Roman"/>
                <w:sz w:val="20"/>
                <w:szCs w:val="20"/>
                <w:b w:val="1"/>
                <w:bCs w:val="1"/>
                <w:i w:val="1"/>
                <w:iCs w:val="1"/>
                <w:color w:val="auto"/>
                <w:strike w:val="1"/>
                <w:w w:val="98"/>
              </w:rPr>
              <w:t>nsolidated f</w:t>
            </w:r>
            <w:r>
              <w:rPr>
                <w:rFonts w:ascii="Times New Roman" w:cs="Times New Roman" w:eastAsia="Times New Roman" w:hAnsi="Times New Roman"/>
                <w:sz w:val="20"/>
                <w:szCs w:val="20"/>
                <w:b w:val="1"/>
                <w:bCs w:val="1"/>
                <w:i w:val="1"/>
                <w:iCs w:val="1"/>
                <w:color w:val="auto"/>
                <w:w w:val="98"/>
              </w:rPr>
              <w:t>i</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strike w:val="1"/>
                <w:w w:val="93"/>
              </w:rPr>
              <w:t>nancial state</w:t>
            </w:r>
          </w:p>
        </w:tc>
        <w:tc>
          <w:tcPr>
            <w:tcW w:w="60" w:type="dxa"/>
            <w:vAlign w:val="bottom"/>
            <w:vMerge w:val="restart"/>
          </w:tcPr>
          <w:p>
            <w:pPr>
              <w:spacing w:after="0"/>
              <w:rPr>
                <w:sz w:val="2"/>
                <w:szCs w:val="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w w:val="81"/>
              </w:rPr>
              <w:t>ments.</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920" w:type="dxa"/>
            <w:vAlign w:val="bottom"/>
            <w:gridSpan w:val="5"/>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-6015990</wp:posOffset>
            </wp:positionV>
            <wp:extent cx="9277350" cy="5927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9277350" cy="5927725"/>
                    </a:xfrm>
                    <a:prstGeom prst="rect">
                      <a:avLst/>
                    </a:prstGeom>
                    <a:noFill/>
                  </pic:spPr>
                </pic:pic>
              </a:graphicData>
            </a:graphic>
          </wp:anchor>
        </w:drawing>
      </w:r>
    </w:p>
    <w:p>
      <w:pPr>
        <w:sectPr>
          <w:pgSz w:w="15840" w:h="12240" w:orient="landscape"/>
          <w:cols w:equalWidth="0" w:num="1">
            <w:col w:w="14500"/>
          </w:cols>
          <w:pgMar w:left="700" w:top="201" w:right="640" w:bottom="169" w:gutter="0" w:footer="0" w:header="0"/>
        </w:sectPr>
      </w:pPr>
    </w:p>
    <w:p>
      <w:pPr>
        <w:spacing w:after="0" w:line="1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48</w:t>
      </w:r>
    </w:p>
    <w:p>
      <w:pPr>
        <w:sectPr>
          <w:pgSz w:w="15840" w:h="12240" w:orient="landscape"/>
          <w:cols w:equalWidth="0" w:num="1">
            <w:col w:w="14500"/>
          </w:cols>
          <w:pgMar w:left="700" w:top="201" w:right="640" w:bottom="169" w:gutter="0" w:footer="0" w:header="0"/>
          <w:type w:val="continuous"/>
        </w:sectPr>
      </w:pPr>
    </w:p>
    <w:bookmarkStart w:id="50" w:name="page51"/>
    <w:bookmarkEnd w:id="5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r>
              <w:rPr>
                <w:rFonts w:ascii="Times New Roman" w:cs="Times New Roman" w:eastAsia="Times New Roman" w:hAnsi="Times New Roman"/>
                <w:sz w:val="16"/>
                <w:szCs w:val="16"/>
                <w:color w:val="B4B4B4"/>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0" w:type="dxa"/>
            <w:vAlign w:val="bottom"/>
          </w:tcPr>
          <w:p>
            <w:pPr>
              <w:spacing w:after="0"/>
              <w:rPr>
                <w:sz w:val="1"/>
                <w:szCs w:val="1"/>
                <w:color w:val="auto"/>
              </w:rPr>
            </w:pPr>
          </w:p>
        </w:tc>
      </w:tr>
      <w:tr>
        <w:trPr>
          <w:trHeight w:val="19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Equity-based awards vesting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156,420</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10,694</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Change in fair value of warrant liabilities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Non-cash operating lease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15,948</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Deferred taxes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Bad debt expense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40"/>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receivable, net of allowance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(24,339)</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Due from related parties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Prepaid expenses and other assets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(14,440)</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Increase (decrease) in operating liabilities: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Accrued compensation and benefits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(97,135)</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Accounts payable, accrued expenses and other liabilities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Lease liabilities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provided by (used in) operating activities: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223,359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145,883</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Purchases of fixed assets </w:t>
            </w:r>
            <w:r>
              <w:rPr>
                <w:rFonts w:ascii="Times New Roman" w:cs="Times New Roman" w:eastAsia="Times New Roman" w:hAnsi="Times New Roman"/>
                <w:sz w:val="16"/>
                <w:szCs w:val="16"/>
                <w:color w:val="B4B4B4"/>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(26,560)</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Purchases of investments in short-term marketable debt securities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(89,259)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(139,171)</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Maturities of investments in short-term marketable debt securities</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cash provided by (used in) investing activities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(166,231)</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2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Proceeds from issuance of Class A common stock in public offering, net of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underwriting discount and offering costs </w:t>
            </w:r>
            <w:r>
              <w:rPr>
                <w:rFonts w:ascii="Times New Roman" w:cs="Times New Roman" w:eastAsia="Times New Roman" w:hAnsi="Times New Roman"/>
                <w:sz w:val="16"/>
                <w:szCs w:val="16"/>
                <w:color w:val="B4B4B4"/>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35,208</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Exchange of PWP OpCo Units and corresponding Class B common stock for cash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(36,526)</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Distributions to partners </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(44,455)</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Dividends paid on Class A and Class B common stock</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(12,840)</w:t>
            </w:r>
          </w:p>
        </w:tc>
        <w:tc>
          <w:tcPr>
            <w:tcW w:w="0" w:type="dxa"/>
            <w:vAlign w:val="bottom"/>
          </w:tcPr>
          <w:p>
            <w:pPr>
              <w:spacing w:after="0"/>
              <w:rPr>
                <w:sz w:val="1"/>
                <w:szCs w:val="1"/>
                <w:color w:val="auto"/>
              </w:rPr>
            </w:pPr>
          </w:p>
        </w:tc>
      </w:tr>
      <w:tr>
        <w:trPr>
          <w:trHeight w:val="197"/>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 payments for vested PWP Incentive Plan Awards and equity-</w:t>
            </w: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(82,901)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0" w:type="dxa"/>
            <w:vAlign w:val="bottom"/>
          </w:tcPr>
          <w:p>
            <w:pPr>
              <w:spacing w:after="0"/>
              <w:rPr>
                <w:sz w:val="1"/>
                <w:szCs w:val="1"/>
                <w:color w:val="auto"/>
              </w:rPr>
            </w:pPr>
          </w:p>
        </w:tc>
      </w:tr>
      <w:tr>
        <w:trPr>
          <w:trHeight w:val="20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classified ACUs </w:t>
            </w:r>
            <w:r>
              <w:rPr>
                <w:rFonts w:ascii="Times New Roman" w:cs="Times New Roman" w:eastAsia="Times New Roman" w:hAnsi="Times New Roman"/>
                <w:sz w:val="16"/>
                <w:szCs w:val="16"/>
                <w:color w:val="B4B4B4"/>
              </w:rPr>
              <w:t>...........................................................................................................</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Treasury stock purchases</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(68,452)</w:t>
            </w:r>
          </w:p>
        </w:tc>
        <w:tc>
          <w:tcPr>
            <w:tcW w:w="0" w:type="dxa"/>
            <w:vAlign w:val="bottom"/>
          </w:tcPr>
          <w:p>
            <w:pPr>
              <w:spacing w:after="0"/>
              <w:rPr>
                <w:sz w:val="1"/>
                <w:szCs w:val="1"/>
                <w:color w:val="auto"/>
              </w:rPr>
            </w:pPr>
          </w:p>
        </w:tc>
      </w:tr>
      <w:tr>
        <w:trPr>
          <w:trHeight w:val="24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Payments pursuant to tax receivable agreement</w:t>
            </w:r>
            <w:r>
              <w:rPr>
                <w:rFonts w:ascii="Times New Roman" w:cs="Times New Roman" w:eastAsia="Times New Roman" w:hAnsi="Times New Roman"/>
                <w:sz w:val="16"/>
                <w:szCs w:val="16"/>
                <w:color w:val="B4B4B4"/>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color w:val="B4B4B4"/>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cash provided by (used in) financing activities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(137,252)</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(136,768)</w:t>
            </w:r>
          </w:p>
        </w:tc>
        <w:tc>
          <w:tcPr>
            <w:tcW w:w="0" w:type="dxa"/>
            <w:vAlign w:val="bottom"/>
          </w:tcPr>
          <w:p>
            <w:pPr>
              <w:spacing w:after="0"/>
              <w:rPr>
                <w:sz w:val="1"/>
                <w:szCs w:val="1"/>
                <w:color w:val="auto"/>
              </w:rPr>
            </w:pPr>
          </w:p>
        </w:tc>
      </w:tr>
      <w:tr>
        <w:trPr>
          <w:trHeight w:val="220"/>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Effect of exchange rate changes on cash, cash equivalents and restricted cash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(9,837)</w:t>
            </w:r>
          </w:p>
        </w:tc>
        <w:tc>
          <w:tcPr>
            <w:tcW w:w="0" w:type="dxa"/>
            <w:vAlign w:val="bottom"/>
          </w:tcPr>
          <w:p>
            <w:pPr>
              <w:spacing w:after="0"/>
              <w:rPr>
                <w:sz w:val="1"/>
                <w:szCs w:val="1"/>
                <w:color w:val="auto"/>
              </w:rPr>
            </w:pPr>
          </w:p>
        </w:tc>
      </w:tr>
      <w:tr>
        <w:trPr>
          <w:trHeight w:val="216"/>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Net increase (decrease) in cash, cash equivalents and restricted cash </w:t>
            </w:r>
            <w:r>
              <w:rPr>
                <w:rFonts w:ascii="Times New Roman" w:cs="Times New Roman" w:eastAsia="Times New Roman" w:hAnsi="Times New Roman"/>
                <w:sz w:val="16"/>
                <w:szCs w:val="16"/>
                <w:color w:val="B4B4B4"/>
                <w:w w:val="99"/>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(330,609)</w:t>
            </w:r>
          </w:p>
        </w:tc>
        <w:tc>
          <w:tcPr>
            <w:tcW w:w="0" w:type="dxa"/>
            <w:vAlign w:val="bottom"/>
          </w:tcPr>
          <w:p>
            <w:pPr>
              <w:spacing w:after="0"/>
              <w:rPr>
                <w:sz w:val="1"/>
                <w:szCs w:val="1"/>
                <w:color w:val="auto"/>
              </w:rPr>
            </w:pPr>
          </w:p>
        </w:tc>
      </w:tr>
      <w:tr>
        <w:trPr>
          <w:trHeight w:val="244"/>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Cash, cash equivalents and restricted cash, beginning of period </w:t>
            </w:r>
            <w:r>
              <w:rPr>
                <w:rFonts w:ascii="Times New Roman" w:cs="Times New Roman" w:eastAsia="Times New Roman" w:hAnsi="Times New Roman"/>
                <w:sz w:val="16"/>
                <w:szCs w:val="16"/>
                <w:color w:val="B4B4B4"/>
                <w:w w:val="99"/>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250,102</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174,166</w:t>
            </w: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504,775</w:t>
            </w:r>
          </w:p>
        </w:tc>
        <w:tc>
          <w:tcPr>
            <w:tcW w:w="0" w:type="dxa"/>
            <w:vAlign w:val="bottom"/>
          </w:tcPr>
          <w:p>
            <w:pPr>
              <w:spacing w:after="0"/>
              <w:rPr>
                <w:sz w:val="1"/>
                <w:szCs w:val="1"/>
                <w:color w:val="auto"/>
              </w:rPr>
            </w:pPr>
          </w:p>
        </w:tc>
      </w:tr>
      <w:tr>
        <w:trPr>
          <w:trHeight w:val="202"/>
        </w:trPr>
        <w:tc>
          <w:tcPr>
            <w:tcW w:w="5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Cash, cash equivalents and restricted cash, end of period</w:t>
            </w:r>
            <w:r>
              <w:rPr>
                <w:rFonts w:ascii="Times New Roman" w:cs="Times New Roman" w:eastAsia="Times New Roman" w:hAnsi="Times New Roman"/>
                <w:sz w:val="16"/>
                <w:szCs w:val="16"/>
                <w:color w:val="B4B4B4"/>
                <w:w w:val="99"/>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-6327140</wp:posOffset>
            </wp:positionV>
            <wp:extent cx="6305550" cy="6346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305550" cy="634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20"/>
          </w:cols>
          <w:pgMar w:left="1240" w:top="291" w:right="118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820"/>
          </w:cols>
          <w:pgMar w:left="1240" w:top="291" w:right="1180" w:bottom="169" w:gutter="0" w:footer="0" w:header="0"/>
          <w:type w:val="continuous"/>
        </w:sectPr>
      </w:pPr>
    </w:p>
    <w:bookmarkStart w:id="51" w:name="page52"/>
    <w:bookmarkEnd w:id="5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194"/>
        </w:trPr>
        <w:tc>
          <w:tcPr>
            <w:tcW w:w="5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Lease liabilities arising from obtaining right-of-use lease assets </w:t>
            </w:r>
            <w:r>
              <w:rPr>
                <w:rFonts w:ascii="Times New Roman" w:cs="Times New Roman" w:eastAsia="Times New Roman" w:hAnsi="Times New Roman"/>
                <w:sz w:val="20"/>
                <w:szCs w:val="20"/>
                <w:color w:val="B4B4B4"/>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131,232</w:t>
            </w:r>
          </w:p>
        </w:tc>
        <w:tc>
          <w:tcPr>
            <w:tcW w:w="0" w:type="dxa"/>
            <w:vAlign w:val="bottom"/>
          </w:tcPr>
          <w:p>
            <w:pPr>
              <w:spacing w:after="0"/>
              <w:rPr>
                <w:sz w:val="1"/>
                <w:szCs w:val="1"/>
                <w:color w:val="auto"/>
              </w:rPr>
            </w:pPr>
          </w:p>
        </w:tc>
      </w:tr>
      <w:tr>
        <w:trPr>
          <w:trHeight w:val="285"/>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Accrued distributions to partners </w:t>
            </w:r>
            <w:r>
              <w:rPr>
                <w:rFonts w:ascii="Times New Roman" w:cs="Times New Roman" w:eastAsia="Times New Roman" w:hAnsi="Times New Roman"/>
                <w:sz w:val="20"/>
                <w:szCs w:val="20"/>
                <w:color w:val="B4B4B4"/>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Accrued capital expenditures </w:t>
            </w:r>
            <w:r>
              <w:rPr>
                <w:rFonts w:ascii="Times New Roman" w:cs="Times New Roman" w:eastAsia="Times New Roman" w:hAnsi="Times New Roman"/>
                <w:sz w:val="20"/>
                <w:szCs w:val="20"/>
                <w:color w:val="B4B4B4"/>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16,395</w:t>
            </w:r>
          </w:p>
        </w:tc>
        <w:tc>
          <w:tcPr>
            <w:tcW w:w="0" w:type="dxa"/>
            <w:vAlign w:val="bottom"/>
          </w:tcPr>
          <w:p>
            <w:pPr>
              <w:spacing w:after="0"/>
              <w:rPr>
                <w:sz w:val="1"/>
                <w:szCs w:val="1"/>
                <w:color w:val="auto"/>
              </w:rPr>
            </w:pPr>
          </w:p>
        </w:tc>
      </w:tr>
      <w:tr>
        <w:trPr>
          <w:trHeight w:val="205"/>
        </w:trPr>
        <w:tc>
          <w:tcPr>
            <w:tcW w:w="548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Accrued dividend equivalents and dividend equivalent units on</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6,796</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7,278</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5,711</w:t>
            </w:r>
          </w:p>
        </w:tc>
        <w:tc>
          <w:tcPr>
            <w:tcW w:w="0" w:type="dxa"/>
            <w:vAlign w:val="bottom"/>
          </w:tcPr>
          <w:p>
            <w:pPr>
              <w:spacing w:after="0"/>
              <w:rPr>
                <w:sz w:val="1"/>
                <w:szCs w:val="1"/>
                <w:color w:val="auto"/>
              </w:rPr>
            </w:pPr>
          </w:p>
        </w:tc>
      </w:tr>
      <w:tr>
        <w:trPr>
          <w:trHeight w:val="260"/>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unvested PWP Incentive Plan Awards </w:t>
            </w:r>
            <w:r>
              <w:rPr>
                <w:rFonts w:ascii="Times New Roman" w:cs="Times New Roman" w:eastAsia="Times New Roman" w:hAnsi="Times New Roman"/>
                <w:sz w:val="20"/>
                <w:szCs w:val="20"/>
                <w:color w:val="B4B4B4"/>
              </w:rPr>
              <w:t>..........................................</w:t>
            </w:r>
          </w:p>
        </w:tc>
        <w:tc>
          <w:tcPr>
            <w:tcW w:w="3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Non-cash paydown of Partner promissory notes </w:t>
            </w:r>
            <w:r>
              <w:rPr>
                <w:rFonts w:ascii="Times New Roman" w:cs="Times New Roman" w:eastAsia="Times New Roman" w:hAnsi="Times New Roman"/>
                <w:sz w:val="20"/>
                <w:szCs w:val="20"/>
                <w:color w:val="B4B4B4"/>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2,567</w:t>
            </w:r>
          </w:p>
        </w:tc>
        <w:tc>
          <w:tcPr>
            <w:tcW w:w="0" w:type="dxa"/>
            <w:vAlign w:val="bottom"/>
          </w:tcPr>
          <w:p>
            <w:pPr>
              <w:spacing w:after="0"/>
              <w:rPr>
                <w:sz w:val="1"/>
                <w:szCs w:val="1"/>
                <w:color w:val="auto"/>
              </w:rPr>
            </w:pPr>
          </w:p>
        </w:tc>
      </w:tr>
      <w:tr>
        <w:trPr>
          <w:trHeight w:val="215"/>
        </w:trPr>
        <w:tc>
          <w:tcPr>
            <w:tcW w:w="5480" w:type="dxa"/>
            <w:vAlign w:val="bottom"/>
          </w:tcPr>
          <w:p>
            <w:pPr>
              <w:ind w:left="240"/>
              <w:spacing w:after="0" w:line="215" w:lineRule="exact"/>
              <w:rPr>
                <w:sz w:val="20"/>
                <w:szCs w:val="20"/>
                <w:color w:val="auto"/>
              </w:rPr>
            </w:pPr>
            <w:r>
              <w:rPr>
                <w:rFonts w:ascii="Times New Roman" w:cs="Times New Roman" w:eastAsia="Times New Roman" w:hAnsi="Times New Roman"/>
                <w:sz w:val="20"/>
                <w:szCs w:val="20"/>
                <w:color w:val="auto"/>
              </w:rPr>
              <w:t>Deferred tax effect resulting from changes in ownership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exchanges of PWP OpCo Units, net of amounts payable under</w:t>
            </w: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8,525</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1,485</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1,362</w:t>
            </w:r>
          </w:p>
        </w:tc>
        <w:tc>
          <w:tcPr>
            <w:tcW w:w="0" w:type="dxa"/>
            <w:vAlign w:val="bottom"/>
          </w:tcPr>
          <w:p>
            <w:pPr>
              <w:spacing w:after="0"/>
              <w:rPr>
                <w:sz w:val="1"/>
                <w:szCs w:val="1"/>
                <w:color w:val="auto"/>
              </w:rPr>
            </w:pPr>
          </w:p>
        </w:tc>
      </w:tr>
      <w:tr>
        <w:trPr>
          <w:trHeight w:val="260"/>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 xml:space="preserve">tax receivable agreement </w:t>
            </w:r>
            <w:r>
              <w:rPr>
                <w:rFonts w:ascii="Times New Roman" w:cs="Times New Roman" w:eastAsia="Times New Roman" w:hAnsi="Times New Roman"/>
                <w:sz w:val="20"/>
                <w:szCs w:val="20"/>
                <w:color w:val="B4B4B4"/>
              </w:rPr>
              <w:t>...............................................................</w:t>
            </w:r>
          </w:p>
        </w:tc>
        <w:tc>
          <w:tcPr>
            <w:tcW w:w="32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Accrued treasury stock purchases </w:t>
            </w:r>
            <w:r>
              <w:rPr>
                <w:rFonts w:ascii="Times New Roman" w:cs="Times New Roman" w:eastAsia="Times New Roman" w:hAnsi="Times New Roman"/>
                <w:sz w:val="20"/>
                <w:szCs w:val="20"/>
                <w:color w:val="B4B4B4"/>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0" w:type="dxa"/>
            <w:vAlign w:val="bottom"/>
          </w:tcPr>
          <w:p>
            <w:pPr>
              <w:spacing w:after="0"/>
              <w:rPr>
                <w:sz w:val="1"/>
                <w:szCs w:val="1"/>
                <w:color w:val="auto"/>
              </w:rPr>
            </w:pPr>
          </w:p>
        </w:tc>
      </w:tr>
      <w:tr>
        <w:trPr>
          <w:trHeight w:val="285"/>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Reclassification of liability-classified equity-based awards </w:t>
            </w:r>
            <w:r>
              <w:rPr>
                <w:rFonts w:ascii="Times New Roman" w:cs="Times New Roman" w:eastAsia="Times New Roman" w:hAnsi="Times New Roman"/>
                <w:sz w:val="20"/>
                <w:szCs w:val="20"/>
                <w:color w:val="B4B4B4"/>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3"/>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 xml:space="preserve">Cash paid for income taxes </w:t>
            </w:r>
            <w:r>
              <w:rPr>
                <w:rFonts w:ascii="Times New Roman" w:cs="Times New Roman" w:eastAsia="Times New Roman" w:hAnsi="Times New Roman"/>
                <w:sz w:val="20"/>
                <w:szCs w:val="20"/>
                <w:color w:val="B4B4B4"/>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-2175510</wp:posOffset>
            </wp:positionV>
            <wp:extent cx="6273800" cy="2197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273800" cy="219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780"/>
          </w:cols>
          <w:pgMar w:left="1260" w:top="291" w:right="1200" w:bottom="169" w:gutter="0" w:footer="0" w:header="0"/>
        </w:sect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780"/>
          </w:cols>
          <w:pgMar w:left="1260" w:top="291" w:right="1200" w:bottom="169"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1—Organization and Nature of Business</w:t>
      </w:r>
    </w:p>
    <w:p>
      <w:pPr>
        <w:spacing w:after="0" w:line="217"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and private capital placement, as well as specialized underwriting and research services primarily for the energy and related industries.</w:t>
      </w:r>
    </w:p>
    <w:p>
      <w:pPr>
        <w:spacing w:after="0" w:line="18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On June 24, 2021, the Company consummated a business combination pursuant to a Business Combination Agreement that resulted in PWP OpCo 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8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Professionals LP.</w:t>
      </w:r>
    </w:p>
    <w:p>
      <w:pPr>
        <w:spacing w:after="0" w:line="181"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On April 1, 2024, as part of this internal reorganization, AdCo Professionals merged with and into PWP OpCo (the “Merger”). At the time of the Merger, (i) the original capital units (“OCUs”), value capital units (“VCUs”), and alignment capital units (“ACUs”) of AdCo Professionals were converted into an equivalent number of newly created OCUs, VCUs and ACUs of PWP OpCo, (ii) the net assets of AdCo Professionals became the net assets of PWP OpCo and (iii) PWP OpCo adopted an amended and restated limited partnership agreement (the “PWP OpCo LPA”) that permits the Company to settle quarterly exchanges in cash or shares at the Company’s discretion. The principal purpose of the internal reorganization was to simplify the structure for the partners in Professional Partners with respect to their indirect interests in PWP OpCo. There was no consideration exchanged in connection with the Division or the Merger, and neither the Division nor the Merger affected the respective rights or economic interests of the Company, PWP GP LLC (“PWP GP”), or any limited partner with respect to PWP OpCo. Refer to Note 10—Stockholders’ Equity and Redeemable Non-Controlling Interests and Note 11—Equity-Based Compensation for additional information on the Merger and related transactions.</w:t>
      </w:r>
    </w:p>
    <w:p>
      <w:pPr>
        <w:spacing w:after="0" w:line="191"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consolidated financial statements of the Company have been prepared in accordance with generally accepted accounting principles in the United States (“U.S. GAAP”) and all intercompany balances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180" w:top="201" w:right="1160" w:bottom="169"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In preparing the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consolidated financial statements and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219"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December 31, 2024 and 2023, the Company had restricted cash of $1.2 million and $2.9 million, respectively, maintained as collateral for letters of credit related to certain office leases. As of December 31, 2024, the company held cash equivalents of $20.2 million, which included investments in U.S. Treasury securities with an original maturity from the date of purchase of three months or less. The Company held no cash equivalents as of December 31, 2023. The sum of Cash and cash equivalents and Restricted cash on the Consolidated Statements of Financial Condition corresponds to the total cash, cash equivalents, and restricted cash presented on the Consolidated Statements of Cash Flows.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Short-Term Marketable Debt Securities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invests in short-term marketable debt securities to manage excess liquidity. In general, these investments are recorded on the Consolidated Statements of Financial Condition within Cash and cash equivalents for investments with an original maturity from the date of purchase of three months or less, and within Investments in short-term marketable debt securities for those with original maturities longer than three months but less than one year. As of December 31, 2024 and 2023, Investments in short-term marketable debt securities on the Consolidated Statements of Financial Condition consist solely of U.S. Treasury securities held by a consolidated broker-dealer subsidiary. The investments are carried at fair value as is required for broker-dealers.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of Allowance</w:t>
      </w:r>
    </w:p>
    <w:p>
      <w:pPr>
        <w:spacing w:after="0" w:line="219"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20"/>
          <w:szCs w:val="20"/>
          <w:color w:val="auto"/>
        </w:rPr>
        <w:t>Accounts receivable are presented net of allowance for credit losses based on the Company’s assessment of collectability. The Company regularly reviews its accounts receivable for collectability and an allowance is recognized for expected credit losses, if required. The Company maintains an allowance for credit losses that, in management’s opinion, provides for an adequate reserve to cover estimated losses on accounts receivable. The Company determines the adequacy of the allowance by reviewing specific client receivables as well as estimating the probability of loss on total client receivables based on the Company’s historical credit loss experience and taking into consideration current market conditions and supportable forecasts that affect the collectability of the reported amount. The Company updates its expected credit loss rates periodically and maintains a quarterly allowance review process to consider current factors that would require an adjustment to the credit loss allowance. Changes to expected credit losses during the period are included in General, administrative and other expenses on the Consolidated Statements of Operations. After concluding that a reserved accounts receivable is no longer collectible, the Company reduces both the gross receivable and the allowance for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Fixed Assets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219"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 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tests intangible assets for impairment whenever events or circumstances indicate that the carrying amount of such assets may not be recoverable.</w:t>
      </w:r>
    </w:p>
    <w:p>
      <w:pPr>
        <w:sectPr>
          <w:pgSz w:w="12240" w:h="15840" w:orient="portrait"/>
          <w:cols w:equalWidth="0" w:num="1">
            <w:col w:w="9900"/>
          </w:cols>
          <w:pgMar w:left="1180" w:top="201" w:right="1160" w:bottom="169"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180" w:top="201" w:right="1160" w:bottom="169"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Assets</w:t>
      </w:r>
    </w:p>
    <w:p>
      <w:pPr>
        <w:spacing w:after="0" w:line="21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Generally, prepaid expenses comprise the majority of Prepaid expenses and other assets on the Consolidated Statements of Financial Condition and represent upfront payments for various services, including subscriptions, cloud computing arrangements, software licenses and insurance, which are amortized over the related service period or policy term. Income tax receivables and expected insurance reimbursements related to litigation costs are other key components of Prepaid expenses and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Company leases office space and certain office equipment, which are classified as operating leases. Right-of-use assets represent the Company’s right to use the underlying assets for their lease terms and lease liabilities represent the Company’s obligation to make lease payments arising from these leases. Certain non-U.S. lease payments are variable as they are subject to change based on the prevailing applicable index. The Company does not recognize right-of-use assets and lease liabilities for short-term leases with a lease term of 12 months or less. The Company elected the practical expedient not to separate lease components and non-lease components in calculating the net present value of its lease payments; thus, the measurement of the right-of-use asset and corresponding lease obligation uses one single combined component. Lease expense is recognized on a straight-line basis over the lease term. The Company subleased certain portions its office space through October 2023 and such income was recognized on a straight-line basis over the term of the lease.</w:t>
      </w:r>
    </w:p>
    <w:p>
      <w:pPr>
        <w:spacing w:after="0" w:line="189"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and is calculated based on multiple factors, including current market conditions, the Company’s credit rating, the terms of the Company’s recent debt issuances and/or current revolving credit facilities, and the expected lease term. The Company estimates the expected lease terms by assuming the exercise of renewal options and extensions where a significant penalty could be incurred and such renewal or extension is at the sole discretion of the Company. Certain lease agreements are secured by security deposits, which are reflected in Prepaid expenses and other assets on the Consolidated Statements of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Management’s best estimate of the amounts expected to be owed in connection with the tax receivable agreement at each reporting date are reported within Amount due pursuant to tax receivable agreement on the Consolidated Statements of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Consolidation</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2024 and December 31, 2023, the net assets of PWP OpCo were $197.6 million and $249.6 million, respectively. As of December 31, 2024 and December 31, 2023, the Company did not consolidate any VIEs other than PWP OpCo.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Company’s financial instruments are generally recorded at fair value or at amounts that approximate fair value. The carrying values of cash, restricted cash, accounts receivable, amounts due from related parties, accounts payable and certain accrued liabilities approximate their fair values due to the short-term nature of these items.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80" w:top="201" w:right="1160" w:bottom="169"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 and Litigation</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with an exception for certain equity-based compensation expense which was fully attributed to non-controlling interests prior to the Merger. Refer to Note 11—Equity-Based Compensation for further information.</w:t>
      </w:r>
    </w:p>
    <w:p>
      <w:pPr>
        <w:spacing w:after="0" w:line="181"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As a result of the Merger, Non-controlling interests presented within equity on the Consolidated Statements of Financial Condition were reclassified to Redeemable non-controlling interests within temporary equity. Redeemable non-controlling interests are recorded at the higher of: (i) their redemption value as of the reporting date, which corresponds to the price of the Company’s Class A common stock, or (ii) their measurement pursuant to Accounting Standards Codification (“ASC” or the “Codification”) Topic 810, Consolidation. Changes in the current redemption value are recorded to Additional paid-in capital, or Retained earnings (deficit) to the extent there is insufficient Additional paid-in capital, immediately as they occur. When the Company has an unconditional obligation to purchase the Redeemable non-controlling interests for cash, the mandatorily redeemable interests are reclassified from temporary equity to a liability with changes in fair value recorded to Other income (expense) on the Consolidated Statements of Operations. As of December 31, 2024, there were no non-controlling interests considered mandatorily redeemable.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Repurchases of Common Stock</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Shares of the Company’s Class A common stock may be repurchased from time to time in open market transactions, in privately negotiated transactions or otherwise. The Company may structure such repurchases as either a purchase of treasury stock or a retirement of shares. The Company records its purchases of treasury stock at cost as a separate component of equity. The Company may re-issue treasury stock using the first-in-first-out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services provided under contracts with clients include transaction-related advisory services, fairness opinion services, research,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Transaction-Related Advisory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Company provides transaction-related advisory services to its clients to assist with corporate finance activities that include, but are not limited to,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180" w:top="201" w:right="1160" w:bottom="169"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1" w:lineRule="auto"/>
        <w:rPr>
          <w:sz w:val="20"/>
          <w:szCs w:val="20"/>
          <w:color w:val="auto"/>
        </w:rPr>
      </w:pPr>
      <w:r>
        <w:rPr>
          <w:rFonts w:ascii="Times New Roman" w:cs="Times New Roman" w:eastAsia="Times New Roman" w:hAnsi="Times New Roman"/>
          <w:sz w:val="20"/>
          <w:szCs w:val="20"/>
          <w:color w:val="auto"/>
        </w:rPr>
        <w:t>The Company recognizes revenue from providing advisory services when or as its performance obligations are fulfilled. The majority of the Company’s advisory revenue is recognized over time since the Company provides most of its advisory services on an ongoing basis, which, for example, may include evaluating and selecting one of multiple strategies. During such engagements, the Company’s clients continuously benefit from the ongoing financial and strategic advice throughout the engagement.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these fees are often constrained until substantially all services have been provided, specified conditions have been met and/or certain milestones have been achieved, and it is probable that a significant revenue reversal will not occur in a future period, the determination of which may require significant judgment and/or involve material amounts. Due to this constraint, a significant portion of revenue recognized for advisory services in any given period often relates to services performed in prior periods. In some cases, a portion of the variable fees received may be deferred and recognized as a contract liability based on an estimate of the services remaining to be completed, if any (e.g., when announcement fees are earned but additional services are expected to be provided between transaction announcement and transaction close). The determination of when and to what extent to subsequently recognize deferred variable fees may require significant judgment, particularly when milestones are met near the end of a reporting period and in cases where additional services are expected to be provided subsequent to the achievement of the milestone. Certain fixed fees specified in the Company’s contracts, which may include upfront fees and retainers, are recognized on a systematic basis over the estimated period in which the related services are performed. Payments for transaction-related advisory services are generally due upon completion of a specified event or, for retainer fees, periodically over the course of the engagement.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Fairness Opinion Services</w:t>
      </w:r>
    </w:p>
    <w:p>
      <w:pPr>
        <w:spacing w:after="0" w:line="21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that the fairness opinion is delivered at which time the client receives the benefit of the fairness opinion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Underwriting Services</w:t>
      </w:r>
    </w:p>
    <w:p>
      <w:pPr>
        <w:spacing w:after="0" w:line="21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provides research on the energy and related industries and associated equity and commodity markets. The Company’s research clients continuously benefit from the research provided throughout arrangements between the Company and such clients, and, accordingly, over time revenue recognition matches the transfer of such benefits. Research clients compensate the Company via direct payment or commission sharing agreements.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The Company recognizes underwriting revenue at a point in time, typically on the pricing date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Costs and Contract Balances</w:t>
      </w:r>
    </w:p>
    <w:p>
      <w:pPr>
        <w:spacing w:after="0" w:line="214"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reimbursed by the client for certain of these out-of-pocket expenses, which are recognized over time and recorded within Revenues on the Consolidated Statements of Operations.</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180" w:top="201" w:right="1160" w:bottom="169"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Consolidated Statements of Operations and equity-based compensation expense for non-employees is included in Professional fees on the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typically earns interest on cash at banks and short-term investments, which is recorded on an accrual basis. The Company earned $10.3 million, $7.4 million, and $2.3 million of interest income, inclusive of net unrealized gains (losses) on U.S. Treasury securities, during the years ended December 31, 2024, 2023, and 2022, respectively, which is presented within Other income (expense) on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Currencies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In the normal course of business, the Company and its subsidiaries may enter into transactions denominated in a non-functional currency. The Company recognized net foreign exchange gains (losses) arising from such transactions of $1.3 million, $(3.3) million, and $6.8 million during the years ended December 31, 2024, 2023, and 2022, respectively, which are included in Other income (expense) on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Consolidated Statements of Changes in Equity and Redeemable Non-Controlling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Prior to the Business Combination, the Company operated as a partnership, and therefore, was generally not subject to U.S. federal or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Certain non-U.S. subsidiaries are subject to income taxes in their respective local jurisdictions.</w:t>
      </w:r>
    </w:p>
    <w:p>
      <w:pPr>
        <w:spacing w:after="0" w:line="18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expense (benefit)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taxable temporary differences and tax planning strategies.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180" w:top="201" w:right="1160" w:bottom="169"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analyzes its tax positions for all U.S. federal, state and local and foreign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Income tax expense (benefit) on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Basic net income (loss) per share is calculated by dividing net income (loss) attributable to Class A common shareholders by the weighted-average shares of Class A common stock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Comprehensive income (loss) consists of Net income (loss) and Other comprehensive income (loss). The Company’s Other comprehensive income (loss) is composed of foreign currency translation gains and losses.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15"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—Effective for the year ended December 31, 2024, the Company retrospectively adopted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Accounting Standards Update 2023-07, </w:t>
      </w:r>
      <w:r>
        <w:rPr>
          <w:rFonts w:ascii="Times New Roman" w:cs="Times New Roman" w:eastAsia="Times New Roman" w:hAnsi="Times New Roman"/>
          <w:sz w:val="20"/>
          <w:szCs w:val="20"/>
          <w:b w:val="1"/>
          <w:bCs w:val="1"/>
          <w:i w:val="1"/>
          <w:iCs w:val="1"/>
          <w:color w:val="auto"/>
        </w:rPr>
        <w:t>Improvements to Reportable Segment Disclosures</w:t>
      </w:r>
      <w:r>
        <w:rPr>
          <w:rFonts w:ascii="Times New Roman" w:cs="Times New Roman" w:eastAsia="Times New Roman" w:hAnsi="Times New Roman"/>
          <w:sz w:val="20"/>
          <w:szCs w:val="20"/>
          <w:color w:val="auto"/>
        </w:rPr>
        <w:t xml:space="preserve"> (“ASU 2023-07”), which amends the guidance in ASC Topic 280, Segment Reporting (“ASC 280”). ASU 2023-07 requires enhanced disclosures about reportable segments on an annual and interim basis and clarifies that an entity with a single reportable segment is subject to all existing and amended disclosure requirements in ASC 280. Refer to Note 17—Segment and Geographic Information for the Company’s segment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Adoption of Accounting Pronouncements</w:t>
      </w:r>
    </w:p>
    <w:p>
      <w:pPr>
        <w:spacing w:after="0" w:line="215"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—In December 2023, the Financial Accounting Standards Board (“FASB”) issued Accounting Standards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Update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(“ASU 2023-09”), which amends the guidance in ASC Topic 740, Income Taxes (“ASC 740”), to improve the transparency of income tax disclosures by requiring (1) consistent 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 the consolidated financial statements.</w:t>
      </w:r>
    </w:p>
    <w:p>
      <w:pPr>
        <w:spacing w:after="0" w:line="176" w:lineRule="exact"/>
        <w:rPr>
          <w:sz w:val="20"/>
          <w:szCs w:val="20"/>
          <w:color w:val="auto"/>
        </w:rPr>
      </w:pPr>
    </w:p>
    <w:p>
      <w:pPr>
        <w:jc w:val="both"/>
        <w:ind w:right="20" w:firstLine="360"/>
        <w:spacing w:after="0" w:line="218" w:lineRule="auto"/>
        <w:rPr>
          <w:sz w:val="20"/>
          <w:szCs w:val="20"/>
          <w:color w:val="auto"/>
        </w:rPr>
      </w:pPr>
      <w:r>
        <w:rPr>
          <w:rFonts w:ascii="Times New Roman" w:cs="Times New Roman" w:eastAsia="Times New Roman" w:hAnsi="Times New Roman"/>
          <w:sz w:val="20"/>
          <w:szCs w:val="20"/>
          <w:b w:val="1"/>
          <w:bCs w:val="1"/>
          <w:i w:val="1"/>
          <w:iCs w:val="1"/>
          <w:color w:val="auto"/>
        </w:rPr>
        <w:t>Expense Disaggregation</w:t>
      </w:r>
      <w:r>
        <w:rPr>
          <w:rFonts w:ascii="Times New Roman" w:cs="Times New Roman" w:eastAsia="Times New Roman" w:hAnsi="Times New Roman"/>
          <w:sz w:val="20"/>
          <w:szCs w:val="20"/>
          <w:color w:val="auto"/>
        </w:rPr>
        <w:t>—In November 2024, the FASB issued Accounting Standards Update 2024-03,</w:t>
      </w:r>
      <w:r>
        <w:rPr>
          <w:rFonts w:ascii="Times New Roman" w:cs="Times New Roman" w:eastAsia="Times New Roman" w:hAnsi="Times New Roman"/>
          <w:sz w:val="20"/>
          <w:szCs w:val="20"/>
          <w:b w:val="1"/>
          <w:bCs w:val="1"/>
          <w:i w:val="1"/>
          <w:iCs w:val="1"/>
          <w:color w:val="auto"/>
        </w:rPr>
        <w:t xml:space="preserve"> Disaggregation of Income Statement Expenses </w:t>
      </w:r>
      <w:r>
        <w:rPr>
          <w:rFonts w:ascii="Times New Roman" w:cs="Times New Roman" w:eastAsia="Times New Roman" w:hAnsi="Times New Roman"/>
          <w:sz w:val="20"/>
          <w:szCs w:val="20"/>
          <w:color w:val="auto"/>
        </w:rPr>
        <w:t>(“ASU 2024-03”), which amends the guidance in ASC Topic 220, Income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Statement—Reporting Comprehensive Income (“ASC 220”),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3—Revenue and Receivables from Contracts with Customers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disaggregates the Company’s revenue between over time and point in time recognition:</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Over time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848,302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609,598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609,392</w:t>
            </w: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Point in time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29,737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39,054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22,115</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revenues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631,507</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180" w:top="201" w:right="1160" w:bottom="169"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Reimbursable expenses billed to clients were $7.4 million, $6.2 million, and $3.2 million for the years ended December 31, 2024,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Obligations and Contract Balances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As of December 31, 2024, the aggregate amount of the transaction price, as defined in the Codification, allocated to performance obligations yet to be satisfied was $0.5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spacing w:after="0" w:line="184"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As of December 31, 2024 and 2023, the Company recorded $0.6 million and $0.9 million, respectively, for contract liabilities which are presented within Accounts payable, accrued expenses and other liabilities on the Consolidated Statements of Financial Condition. The Company recognized previously deferred revenue of $0.7 million, $4.6 million, and $5.6 million for the years ended December 31, 2024, 2023, and 2022, respectively, which was primarily related to transaction-related advisory services that are recognized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and Allowance for Credit Losses</w:t>
      </w:r>
    </w:p>
    <w:p>
      <w:pPr>
        <w:spacing w:after="0" w:line="219" w:lineRule="exact"/>
        <w:rPr>
          <w:sz w:val="20"/>
          <w:szCs w:val="20"/>
          <w:color w:val="auto"/>
        </w:rPr>
      </w:pPr>
    </w:p>
    <w:p>
      <w:pPr>
        <w:jc w:val="both"/>
        <w:ind w:right="20" w:firstLine="416"/>
        <w:spacing w:after="0" w:line="216" w:lineRule="auto"/>
        <w:rPr>
          <w:sz w:val="20"/>
          <w:szCs w:val="20"/>
          <w:color w:val="auto"/>
        </w:rPr>
      </w:pPr>
      <w:r>
        <w:rPr>
          <w:rFonts w:ascii="Times New Roman" w:cs="Times New Roman" w:eastAsia="Times New Roman" w:hAnsi="Times New Roman"/>
          <w:sz w:val="20"/>
          <w:szCs w:val="20"/>
          <w:color w:val="auto"/>
        </w:rPr>
        <w:t>As of December 31, 2024 and 2023, $13.3 million and $7.1 million, respectively, of accrued revenue was included in Accounts receivable, net of allowance on the Consolidated Statements of Financial Condition. These amounts have been recognized as revenue in accordance with the Company’s revenue recognition policies but remained unbilled at the end of the period. As of December 31, 2024, certain accounts receivable in the aggregate amount of $23.9 million were individually greater than 10% of the Company’s gross accounts receivable and were concentrated with two clients. Of that amount, all was subsequently received after year end. As of December 31, 2023, certain accounts receivable in the aggregate amount of $17.3 million were individually greater than 10% of the Company’s gross accounts receivable and were concentrated with two clients. Of that amount, all was subsequently received after year end.</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allowance for credit losses activity for the years ended December 31, 2024, 2023, and 2022 was as follows: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Beginning balance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Bad debt expense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Write-offs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Recoveries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and other adjustments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Ending balance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286500" cy="1136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6286500" cy="1136650"/>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201" w:right="1160" w:bottom="169" w:gutter="0" w:footer="0" w:header="0"/>
          <w:type w:val="continuous"/>
        </w:sectPr>
      </w:pPr>
    </w:p>
    <w:bookmarkStart w:id="60" w:name="page61"/>
    <w:bookmarkEnd w:id="60"/>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4—Leases</w:t>
      </w:r>
    </w:p>
    <w:p>
      <w:pPr>
        <w:spacing w:after="0" w:line="217" w:lineRule="exact"/>
        <w:rPr>
          <w:sz w:val="20"/>
          <w:szCs w:val="20"/>
          <w:color w:val="auto"/>
        </w:rPr>
      </w:pPr>
    </w:p>
    <w:p>
      <w:pPr>
        <w:jc w:val="both"/>
        <w:ind w:left="10" w:firstLine="360"/>
        <w:spacing w:after="0" w:line="224" w:lineRule="auto"/>
        <w:rPr>
          <w:sz w:val="20"/>
          <w:szCs w:val="20"/>
          <w:color w:val="auto"/>
        </w:rPr>
      </w:pPr>
      <w:r>
        <w:rPr>
          <w:rFonts w:ascii="Times New Roman" w:cs="Times New Roman" w:eastAsia="Times New Roman" w:hAnsi="Times New Roman"/>
          <w:sz w:val="20"/>
          <w:szCs w:val="20"/>
          <w:color w:val="auto"/>
        </w:rPr>
        <w:t>The Company leases office space and equipment under operating lease agreements. During the year ended December 31, 2022, the Company entered into certain significant lease agreements and amendments related to its New York, Los Angeles, and London office leases, which resulted in a combined $128.6 million increase to Lease liabilities and a corresponding increase to Right-of-use lease assets.</w:t>
      </w:r>
    </w:p>
    <w:p>
      <w:pPr>
        <w:spacing w:after="0" w:line="181"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is information related to the Company’s operating leases:</w:t>
      </w: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4"/>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Weighted-averagediscountrate–operatingleases</w:t>
            </w: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0" w:type="dxa"/>
            <w:vAlign w:val="bottom"/>
          </w:tcPr>
          <w:p>
            <w:pPr>
              <w:spacing w:after="0"/>
              <w:rPr>
                <w:sz w:val="1"/>
                <w:szCs w:val="1"/>
                <w:color w:val="auto"/>
              </w:rPr>
            </w:pPr>
          </w:p>
        </w:tc>
      </w:tr>
      <w:tr>
        <w:trPr>
          <w:trHeight w:val="285"/>
        </w:trPr>
        <w:tc>
          <w:tcPr>
            <w:tcW w:w="5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4"/>
              </w:rPr>
              <w:t xml:space="preserve">Weighted-average remaining lease term – operating leases </w:t>
            </w:r>
            <w:r>
              <w:rPr>
                <w:rFonts w:ascii="Times New Roman" w:cs="Times New Roman" w:eastAsia="Times New Roman" w:hAnsi="Times New Roman"/>
                <w:sz w:val="20"/>
                <w:szCs w:val="20"/>
                <w:color w:val="B4B4B4"/>
                <w:w w:val="84"/>
              </w:rPr>
              <w:t>............................................</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13.3 years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 years</w:t>
            </w:r>
          </w:p>
        </w:tc>
        <w:tc>
          <w:tcPr>
            <w:tcW w:w="0" w:type="dxa"/>
            <w:vAlign w:val="bottom"/>
          </w:tcPr>
          <w:p>
            <w:pPr>
              <w:spacing w:after="0"/>
              <w:rPr>
                <w:sz w:val="1"/>
                <w:szCs w:val="1"/>
                <w:color w:val="auto"/>
              </w:rPr>
            </w:pPr>
          </w:p>
        </w:tc>
      </w:tr>
      <w:tr>
        <w:trPr>
          <w:trHeight w:val="628"/>
        </w:trPr>
        <w:tc>
          <w:tcPr>
            <w:tcW w:w="5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Operatingleasecost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20,558</w:t>
            </w:r>
          </w:p>
        </w:tc>
        <w:tc>
          <w:tcPr>
            <w:tcW w:w="20" w:type="dxa"/>
            <w:vAlign w:val="bottom"/>
          </w:tcPr>
          <w:p>
            <w:pPr>
              <w:spacing w:after="0"/>
              <w:rPr>
                <w:sz w:val="23"/>
                <w:szCs w:val="23"/>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20,140</w:t>
            </w:r>
          </w:p>
        </w:tc>
        <w:tc>
          <w:tcPr>
            <w:tcW w:w="0" w:type="dxa"/>
            <w:vAlign w:val="bottom"/>
          </w:tcPr>
          <w:p>
            <w:pPr>
              <w:spacing w:after="0"/>
              <w:rPr>
                <w:sz w:val="1"/>
                <w:szCs w:val="1"/>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Variable lease cost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w:t>
            </w:r>
          </w:p>
        </w:tc>
        <w:tc>
          <w:tcPr>
            <w:tcW w:w="0" w:type="dxa"/>
            <w:vAlign w:val="bottom"/>
          </w:tcPr>
          <w:p>
            <w:pPr>
              <w:spacing w:after="0"/>
              <w:rPr>
                <w:sz w:val="1"/>
                <w:szCs w:val="1"/>
                <w:color w:val="auto"/>
              </w:rPr>
            </w:pPr>
          </w:p>
        </w:tc>
      </w:tr>
      <w:tr>
        <w:trPr>
          <w:trHeight w:val="285"/>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Sublease income – operating leases</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0" w:type="dxa"/>
            <w:vAlign w:val="bottom"/>
          </w:tcPr>
          <w:p>
            <w:pPr>
              <w:spacing w:after="0"/>
              <w:rPr>
                <w:sz w:val="1"/>
                <w:szCs w:val="1"/>
                <w:color w:val="auto"/>
              </w:rPr>
            </w:pPr>
          </w:p>
        </w:tc>
      </w:tr>
      <w:tr>
        <w:trPr>
          <w:trHeight w:val="248"/>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Totalnetleasecost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21,747</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22,008</w:t>
            </w:r>
          </w:p>
        </w:tc>
        <w:tc>
          <w:tcPr>
            <w:tcW w:w="0" w:type="dxa"/>
            <w:vAlign w:val="bottom"/>
          </w:tcPr>
          <w:p>
            <w:pPr>
              <w:spacing w:after="0"/>
              <w:rPr>
                <w:sz w:val="1"/>
                <w:szCs w:val="1"/>
                <w:color w:val="auto"/>
              </w:rPr>
            </w:pPr>
          </w:p>
        </w:tc>
      </w:tr>
      <w:tr>
        <w:trPr>
          <w:trHeight w:val="20"/>
        </w:trPr>
        <w:tc>
          <w:tcPr>
            <w:tcW w:w="5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Net cash outflows (inflows) on operating leases</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520" w:type="dxa"/>
            <w:vAlign w:val="bottom"/>
            <w:vMerge w:val="continue"/>
          </w:tcPr>
          <w:p>
            <w:pPr>
              <w:spacing w:after="0"/>
              <w:rPr>
                <w:sz w:val="24"/>
                <w:szCs w:val="24"/>
                <w:color w:val="auto"/>
              </w:rPr>
            </w:pP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(4,536)</w:t>
            </w:r>
          </w:p>
        </w:tc>
        <w:tc>
          <w:tcPr>
            <w:tcW w:w="20" w:type="dxa"/>
            <w:vAlign w:val="bottom"/>
          </w:tcPr>
          <w:p>
            <w:pPr>
              <w:spacing w:after="0"/>
              <w:rPr>
                <w:sz w:val="24"/>
                <w:szCs w:val="24"/>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17,057</w:t>
            </w:r>
          </w:p>
        </w:tc>
        <w:tc>
          <w:tcPr>
            <w:tcW w:w="0" w:type="dxa"/>
            <w:vAlign w:val="bottom"/>
          </w:tcPr>
          <w:p>
            <w:pPr>
              <w:spacing w:after="0"/>
              <w:rPr>
                <w:sz w:val="1"/>
                <w:szCs w:val="1"/>
                <w:color w:val="auto"/>
              </w:rPr>
            </w:pPr>
          </w:p>
        </w:tc>
      </w:tr>
      <w:tr>
        <w:trPr>
          <w:trHeight w:val="199"/>
        </w:trPr>
        <w:tc>
          <w:tcPr>
            <w:tcW w:w="5520" w:type="dxa"/>
            <w:vAlign w:val="bottom"/>
          </w:tcPr>
          <w:p>
            <w:pPr>
              <w:jc w:val="right"/>
              <w:ind w:right="3983"/>
              <w:spacing w:after="0"/>
              <w:rPr>
                <w:sz w:val="20"/>
                <w:szCs w:val="20"/>
                <w:color w:val="auto"/>
              </w:rPr>
            </w:pPr>
            <w:r>
              <w:rPr>
                <w:rFonts w:ascii="Times New Roman" w:cs="Times New Roman" w:eastAsia="Times New Roman" w:hAnsi="Times New Roman"/>
                <w:sz w:val="16"/>
                <w:szCs w:val="16"/>
                <w:color w:val="auto"/>
                <w:w w:val="98"/>
              </w:rPr>
              <w:t>__________________</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-2182495</wp:posOffset>
            </wp:positionV>
            <wp:extent cx="6283325" cy="387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6283325" cy="387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-1242695</wp:posOffset>
            </wp:positionV>
            <wp:extent cx="6286500" cy="1111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286500" cy="1111250"/>
                    </a:xfrm>
                    <a:prstGeom prst="rect">
                      <a:avLst/>
                    </a:prstGeom>
                    <a:noFill/>
                  </pic:spPr>
                </pic:pic>
              </a:graphicData>
            </a:graphic>
          </wp:anchor>
        </w:drawing>
      </w:r>
    </w:p>
    <w:p>
      <w:pPr>
        <w:ind w:left="370" w:hanging="370"/>
        <w:spacing w:after="0"/>
        <w:tabs>
          <w:tab w:leader="none" w:pos="37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lease incentives received, including landlord contributions to tenant improvements.</w:t>
      </w:r>
    </w:p>
    <w:p>
      <w:pPr>
        <w:spacing w:after="0" w:line="2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As of December 31, 2024, the maturities of undiscounted operating lease liabilities of the Company are as follows:</w:t>
      </w:r>
    </w:p>
    <w:p>
      <w:pPr>
        <w:spacing w:after="0" w:line="23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Years Ending:</w:t>
            </w:r>
          </w:p>
        </w:tc>
        <w:tc>
          <w:tcPr>
            <w:tcW w:w="4620" w:type="dxa"/>
            <w:vAlign w:val="bottom"/>
          </w:tcPr>
          <w:p>
            <w:pPr>
              <w:jc w:val="center"/>
              <w:ind w:left="364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0" w:type="dxa"/>
            <w:vAlign w:val="bottom"/>
          </w:tcPr>
          <w:p>
            <w:pPr>
              <w:spacing w:after="0"/>
              <w:rPr>
                <w:sz w:val="1"/>
                <w:szCs w:val="1"/>
                <w:color w:val="auto"/>
              </w:rPr>
            </w:pPr>
          </w:p>
        </w:tc>
      </w:tr>
      <w:tr>
        <w:trPr>
          <w:trHeight w:val="264"/>
        </w:trPr>
        <w:tc>
          <w:tcPr>
            <w:tcW w:w="4980" w:type="dxa"/>
            <w:vAlign w:val="bottom"/>
            <w:vMerge w:val="continue"/>
          </w:tcPr>
          <w:p>
            <w:pPr>
              <w:spacing w:after="0"/>
              <w:rPr>
                <w:sz w:val="22"/>
                <w:szCs w:val="22"/>
                <w:color w:val="auto"/>
              </w:rPr>
            </w:pPr>
          </w:p>
        </w:tc>
        <w:tc>
          <w:tcPr>
            <w:tcW w:w="4620" w:type="dxa"/>
            <w:vAlign w:val="bottom"/>
          </w:tcPr>
          <w:p>
            <w:pPr>
              <w:jc w:val="center"/>
              <w:ind w:left="362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6324600" cy="1679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324600" cy="1679575"/>
                    </a:xfrm>
                    <a:prstGeom prst="rect">
                      <a:avLst/>
                    </a:prstGeom>
                    <a:noFill/>
                  </pic:spPr>
                </pic:pic>
              </a:graphicData>
            </a:graphic>
          </wp:anchor>
        </w:drawing>
      </w:r>
    </w:p>
    <w:p>
      <w:pPr>
        <w:sectPr>
          <w:pgSz w:w="12240" w:h="15840" w:orient="portrait"/>
          <w:cols w:equalWidth="0" w:num="1">
            <w:col w:w="9910"/>
          </w:cols>
          <w:pgMar w:left="1170" w:top="201" w:right="1160" w:bottom="169" w:gutter="0" w:footer="0" w:header="0"/>
        </w:sectPr>
      </w:pPr>
    </w:p>
    <w:tbl>
      <w:tblPr>
        <w:tblLayout w:type="fixed"/>
        <w:tblInd w:w="50" w:type="dxa"/>
        <w:tblCellMar>
          <w:top w:w="0" w:type="dxa"/>
          <w:left w:w="0" w:type="dxa"/>
          <w:bottom w:w="0" w:type="dxa"/>
          <w:right w:w="0" w:type="dxa"/>
        </w:tblCellMar>
      </w:tblPr>
      <w:tr>
        <w:trPr>
          <w:trHeight w:val="281"/>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2025 </w:t>
            </w:r>
            <w:r>
              <w:rPr>
                <w:rFonts w:ascii="Times New Roman" w:cs="Times New Roman" w:eastAsia="Times New Roman" w:hAnsi="Times New Roman"/>
                <w:sz w:val="20"/>
                <w:szCs w:val="20"/>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B4B4B4"/>
              </w:rPr>
              <w:t>.............................................................................................................................................................</w:t>
            </w:r>
          </w:p>
        </w:tc>
        <w:tc>
          <w:tcPr>
            <w:tcW w:w="140" w:type="dxa"/>
            <w:vAlign w:val="bottom"/>
          </w:tcPr>
          <w:p>
            <w:pPr>
              <w:spacing w:after="0"/>
              <w:rPr>
                <w:sz w:val="22"/>
                <w:szCs w:val="22"/>
                <w:color w:val="auto"/>
              </w:rPr>
            </w:pPr>
          </w:p>
        </w:tc>
      </w:tr>
      <w:tr>
        <w:trPr>
          <w:trHeight w:val="285"/>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2029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285"/>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Thereafter </w:t>
            </w:r>
            <w:r>
              <w:rPr>
                <w:rFonts w:ascii="Times New Roman" w:cs="Times New Roman" w:eastAsia="Times New Roman" w:hAnsi="Times New Roman"/>
                <w:sz w:val="20"/>
                <w:szCs w:val="20"/>
                <w:color w:val="B4B4B4"/>
              </w:rPr>
              <w:t>....................................................................................................................................................</w:t>
            </w:r>
          </w:p>
        </w:tc>
        <w:tc>
          <w:tcPr>
            <w:tcW w:w="140" w:type="dxa"/>
            <w:vAlign w:val="bottom"/>
          </w:tcPr>
          <w:p>
            <w:pPr>
              <w:spacing w:after="0"/>
              <w:rPr>
                <w:sz w:val="24"/>
                <w:szCs w:val="24"/>
                <w:color w:val="auto"/>
              </w:rPr>
            </w:pPr>
          </w:p>
        </w:tc>
      </w:tr>
      <w:tr>
        <w:trPr>
          <w:trHeight w:val="310"/>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lease payments</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20"/>
                <w:szCs w:val="20"/>
                <w:color w:val="auto"/>
                <w:w w:val="98"/>
              </w:rPr>
              <w:t xml:space="preserve"> </w:t>
            </w:r>
            <w:r>
              <w:rPr>
                <w:rFonts w:ascii="Times New Roman" w:cs="Times New Roman" w:eastAsia="Times New Roman" w:hAnsi="Times New Roman"/>
                <w:sz w:val="20"/>
                <w:szCs w:val="20"/>
                <w:color w:val="B4B4B4"/>
                <w:w w:val="98"/>
              </w:rPr>
              <w:t>...................................................................................................................................</w:t>
            </w:r>
          </w:p>
        </w:tc>
        <w:tc>
          <w:tcPr>
            <w:tcW w:w="140" w:type="dxa"/>
            <w:vAlign w:val="bottom"/>
          </w:tcPr>
          <w:p>
            <w:pPr>
              <w:spacing w:after="0"/>
              <w:rPr>
                <w:sz w:val="24"/>
                <w:szCs w:val="24"/>
                <w:color w:val="auto"/>
              </w:rPr>
            </w:pPr>
          </w:p>
        </w:tc>
      </w:tr>
      <w:tr>
        <w:trPr>
          <w:trHeight w:val="260"/>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Less: Imputed interest </w:t>
            </w:r>
            <w:r>
              <w:rPr>
                <w:rFonts w:ascii="Times New Roman" w:cs="Times New Roman" w:eastAsia="Times New Roman" w:hAnsi="Times New Roman"/>
                <w:sz w:val="20"/>
                <w:szCs w:val="20"/>
                <w:color w:val="B4B4B4"/>
                <w:w w:val="99"/>
              </w:rPr>
              <w:t>....................................................................................................................................</w:t>
            </w:r>
          </w:p>
        </w:tc>
        <w:tc>
          <w:tcPr>
            <w:tcW w:w="140" w:type="dxa"/>
            <w:vAlign w:val="bottom"/>
          </w:tcPr>
          <w:p>
            <w:pPr>
              <w:spacing w:after="0"/>
              <w:rPr>
                <w:sz w:val="22"/>
                <w:szCs w:val="22"/>
                <w:color w:val="auto"/>
              </w:rPr>
            </w:pPr>
          </w:p>
        </w:tc>
      </w:tr>
      <w:tr>
        <w:trPr>
          <w:trHeight w:val="306"/>
        </w:trPr>
        <w:tc>
          <w:tcPr>
            <w:tcW w:w="8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lease liabilities </w:t>
            </w:r>
            <w:r>
              <w:rPr>
                <w:rFonts w:ascii="Times New Roman" w:cs="Times New Roman" w:eastAsia="Times New Roman" w:hAnsi="Times New Roman"/>
                <w:sz w:val="20"/>
                <w:szCs w:val="20"/>
                <w:color w:val="B4B4B4"/>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19,348</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21,115</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20,859</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18,966</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18,776</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9"/>
          <w:szCs w:val="19"/>
          <w:color w:val="auto"/>
        </w:rPr>
        <w:t>156,685</w:t>
      </w:r>
    </w:p>
    <w:p>
      <w:pPr>
        <w:spacing w:after="0" w:line="6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9"/>
          <w:szCs w:val="19"/>
          <w:color w:val="auto"/>
        </w:rPr>
        <w:t>255,749</w:t>
      </w:r>
    </w:p>
    <w:p>
      <w:pPr>
        <w:spacing w:after="0" w:line="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(68,400)</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9"/>
          <w:szCs w:val="19"/>
          <w:color w:val="auto"/>
        </w:rPr>
        <w:t>187,349</w:t>
      </w:r>
    </w:p>
    <w:p>
      <w:pPr>
        <w:spacing w:after="0" w:line="104" w:lineRule="exact"/>
        <w:rPr>
          <w:sz w:val="20"/>
          <w:szCs w:val="20"/>
          <w:color w:val="auto"/>
        </w:rPr>
      </w:pPr>
    </w:p>
    <w:p>
      <w:pPr>
        <w:sectPr>
          <w:pgSz w:w="12240" w:h="15840" w:orient="portrait"/>
          <w:cols w:equalWidth="0" w:num="2">
            <w:col w:w="8650" w:space="520"/>
            <w:col w:w="740"/>
          </w:cols>
          <w:pgMar w:left="1170" w:top="201" w:right="1160" w:bottom="169"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tabs>
          <w:tab w:leader="none" w:pos="37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future lease payments are presented net of expected lease incentives.</w:t>
      </w:r>
    </w:p>
    <w:p>
      <w:pPr>
        <w:sectPr>
          <w:pgSz w:w="12240" w:h="15840" w:orient="portrait"/>
          <w:cols w:equalWidth="0" w:num="1">
            <w:col w:w="9910"/>
          </w:cols>
          <w:pgMar w:left="1170" w:top="201" w:right="1160" w:bottom="1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10"/>
          </w:cols>
          <w:pgMar w:left="1170" w:top="201" w:right="1160" w:bottom="169"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5—Goodwill and Intangible Assets</w:t>
      </w:r>
    </w:p>
    <w:p>
      <w:pPr>
        <w:spacing w:after="0" w:line="217"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connection with a business combination in 2016, the Company recorded goodwill in the amount of $34.4 million. Based on the Company’s quantitative assessment for impairment, no goodwill impairment was recorded during the years ended December 31, 2024, 2023, and 2022.</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provides the detail of the Company’s intangible assets: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Gross 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3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20"/>
                <w:szCs w:val="20"/>
                <w:b w:val="1"/>
                <w:bCs w:val="1"/>
                <w:color w:val="auto"/>
              </w:rPr>
              <w:t>Net Carrying</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3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9,085</w:t>
            </w:r>
          </w:p>
        </w:tc>
        <w:tc>
          <w:tcPr>
            <w:tcW w:w="0" w:type="dxa"/>
            <w:vAlign w:val="bottom"/>
          </w:tcPr>
          <w:p>
            <w:pPr>
              <w:spacing w:after="0"/>
              <w:rPr>
                <w:sz w:val="1"/>
                <w:szCs w:val="1"/>
                <w:color w:val="auto"/>
              </w:rPr>
            </w:pP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Trade names and trademarks </w:t>
            </w:r>
            <w:r>
              <w:rPr>
                <w:rFonts w:ascii="Times New Roman" w:cs="Times New Roman" w:eastAsia="Times New Roman" w:hAnsi="Times New Roman"/>
                <w:sz w:val="20"/>
                <w:szCs w:val="20"/>
                <w:color w:val="B4B4B4"/>
                <w:w w:val="99"/>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3,527</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Gross 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8"/>
              </w:rPr>
              <w:t>Accumulated</w:t>
            </w:r>
          </w:p>
        </w:tc>
        <w:tc>
          <w:tcPr>
            <w:tcW w:w="136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20"/>
                <w:szCs w:val="20"/>
                <w:b w:val="1"/>
                <w:bCs w:val="1"/>
                <w:color w:val="auto"/>
              </w:rPr>
              <w:t>Net Carrying</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13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0" w:type="dxa"/>
            <w:vAlign w:val="bottom"/>
          </w:tcPr>
          <w:p>
            <w:pPr>
              <w:spacing w:after="0"/>
              <w:rPr>
                <w:sz w:val="1"/>
                <w:szCs w:val="1"/>
                <w:color w:val="auto"/>
              </w:rPr>
            </w:pPr>
          </w:p>
        </w:tc>
      </w:tr>
      <w:tr>
        <w:trPr>
          <w:trHeight w:val="26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Customerrelationships</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(33,575)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13,825</w:t>
            </w:r>
          </w:p>
        </w:tc>
        <w:tc>
          <w:tcPr>
            <w:tcW w:w="0" w:type="dxa"/>
            <w:vAlign w:val="bottom"/>
          </w:tcPr>
          <w:p>
            <w:pPr>
              <w:spacing w:after="0"/>
              <w:rPr>
                <w:sz w:val="1"/>
                <w:szCs w:val="1"/>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Trade names and trademarks </w:t>
            </w:r>
            <w:r>
              <w:rPr>
                <w:rFonts w:ascii="Times New Roman" w:cs="Times New Roman" w:eastAsia="Times New Roman" w:hAnsi="Times New Roman"/>
                <w:sz w:val="20"/>
                <w:szCs w:val="20"/>
                <w:color w:val="B4B4B4"/>
                <w:w w:val="99"/>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18,400</w:t>
            </w: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(13,033)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5,367</w:t>
            </w:r>
          </w:p>
        </w:tc>
        <w:tc>
          <w:tcPr>
            <w:tcW w:w="0" w:type="dxa"/>
            <w:vAlign w:val="bottom"/>
          </w:tcPr>
          <w:p>
            <w:pPr>
              <w:spacing w:after="0"/>
              <w:rPr>
                <w:sz w:val="1"/>
                <w:szCs w:val="1"/>
                <w:color w:val="auto"/>
              </w:rPr>
            </w:pP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28"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The intangible assets are being amortized over an average useful life of 10 years and resulted in amortization expense of $6.6 million for each of the years ended December 31, 2024, 2023, and 2022, all of which is included in Depreciation and amortization on the Consolidated Statements of Operations. Amortization of intangible assets held at December 31, 2024 is expected to be $6.6 million and $6.0 million for the years ending December 31, 2025 and 2026, respectively. These intangible assets will be fully amortized by November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6—Regulatory Requirements</w:t>
      </w:r>
    </w:p>
    <w:p>
      <w:pPr>
        <w:spacing w:after="0" w:line="217"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has a number of consolidated subsidiaries registered as broker-dealers with regulatory agencies in their respective countries. None of the SEC regulated subsidiaries hold funds or securities for, or owe money or securities to, clients or carry accounts of or for clients, and as such are all exempt from the SEC Customer Protection Rule (Rule 15c3-3). As of December 31, 2024 and 2023, all regulated subsidiaries had capital in excess of their applicable minimum capital requirements. As a result of the minimum capital requirements and various regulations on these broker dealers, a portion of the capital of each subsidiary of the Company is restricted and may be unavailable to pay its creditors.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7—Fixed Assets</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Fixed assets are recorded at cost less accumulated depreciation and amortization and consist of the following as of</w:t>
      </w:r>
    </w:p>
    <w:p>
      <w:pPr>
        <w:spacing w:after="0"/>
        <w:rPr>
          <w:sz w:val="20"/>
          <w:szCs w:val="20"/>
          <w:color w:val="auto"/>
        </w:rPr>
      </w:pPr>
      <w:r>
        <w:rPr>
          <w:rFonts w:ascii="Times New Roman" w:cs="Times New Roman" w:eastAsia="Times New Roman" w:hAnsi="Times New Roman"/>
          <w:sz w:val="20"/>
          <w:szCs w:val="20"/>
          <w:color w:val="auto"/>
        </w:rPr>
        <w:t>December 31, 2024 and 2023:</w:t>
      </w:r>
    </w:p>
    <w:p>
      <w:pPr>
        <w:spacing w:after="0" w:line="257"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4470400</wp:posOffset>
                </wp:positionH>
                <wp:positionV relativeFrom="paragraph">
                  <wp:posOffset>29845</wp:posOffset>
                </wp:positionV>
                <wp:extent cx="180975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9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pt,2.35pt" to="494.5pt,2.35pt" o:allowincell="f" strokecolor="#000000" strokeweight="0.75pt"/>
            </w:pict>
          </mc:Fallback>
        </mc:AlternateContent>
      </w:r>
    </w:p>
    <w:p>
      <w:pPr>
        <w:spacing w:after="0" w:line="35" w:lineRule="exact"/>
        <w:rPr>
          <w:sz w:val="20"/>
          <w:szCs w:val="20"/>
          <w:color w:val="auto"/>
        </w:rPr>
      </w:pPr>
    </w:p>
    <w:p>
      <w:pPr>
        <w:ind w:left="7540"/>
        <w:spacing w:after="0"/>
        <w:tabs>
          <w:tab w:leader="none" w:pos="8980" w:val="left"/>
        </w:tabs>
        <w:rPr>
          <w:sz w:val="20"/>
          <w:szCs w:val="20"/>
          <w:color w:val="auto"/>
        </w:rPr>
      </w:pP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6324600" cy="131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sectPr>
      </w:pP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Leasehold improvements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r>
              <w:rPr>
                <w:rFonts w:ascii="Times New Roman" w:cs="Times New Roman" w:eastAsia="Times New Roman" w:hAnsi="Times New Roman"/>
                <w:sz w:val="20"/>
                <w:szCs w:val="20"/>
                <w:color w:val="B4B4B4"/>
              </w:rPr>
              <w:t>........................................................................................................</w:t>
            </w:r>
          </w:p>
        </w:tc>
        <w:tc>
          <w:tcPr>
            <w:tcW w:w="160" w:type="dxa"/>
            <w:vAlign w:val="bottom"/>
          </w:tcPr>
          <w:p>
            <w:pPr>
              <w:spacing w:after="0"/>
              <w:rPr>
                <w:sz w:val="22"/>
                <w:szCs w:val="22"/>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Equipment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Software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Less: Accumulated depreciation and amortization </w:t>
            </w:r>
            <w:r>
              <w:rPr>
                <w:rFonts w:ascii="Times New Roman" w:cs="Times New Roman" w:eastAsia="Times New Roman" w:hAnsi="Times New Roman"/>
                <w:sz w:val="20"/>
                <w:szCs w:val="20"/>
                <w:color w:val="B4B4B4"/>
              </w:rPr>
              <w:t>...........................................................</w:t>
            </w:r>
          </w:p>
        </w:tc>
        <w:tc>
          <w:tcPr>
            <w:tcW w:w="160" w:type="dxa"/>
            <w:vAlign w:val="bottom"/>
          </w:tcPr>
          <w:p>
            <w:pPr>
              <w:spacing w:after="0"/>
              <w:rPr>
                <w:sz w:val="24"/>
                <w:szCs w:val="24"/>
                <w:color w:val="auto"/>
              </w:rPr>
            </w:pPr>
          </w:p>
        </w:tc>
      </w:tr>
      <w:tr>
        <w:trPr>
          <w:trHeight w:val="306"/>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Fixed assets, net </w:t>
            </w:r>
            <w:r>
              <w:rPr>
                <w:rFonts w:ascii="Times New Roman" w:cs="Times New Roman" w:eastAsia="Times New Roman" w:hAnsi="Times New Roman"/>
                <w:sz w:val="20"/>
                <w:szCs w:val="20"/>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00"/>
        <w:spacing w:after="0"/>
        <w:tabs>
          <w:tab w:leader="none" w:pos="820" w:val="left"/>
          <w:tab w:leader="none" w:pos="1540" w:val="left"/>
        </w:tabs>
        <w:rPr>
          <w:sz w:val="20"/>
          <w:szCs w:val="20"/>
          <w:color w:val="auto"/>
        </w:rPr>
      </w:pPr>
      <w:r>
        <w:rPr>
          <w:rFonts w:ascii="Times New Roman" w:cs="Times New Roman" w:eastAsia="Times New Roman" w:hAnsi="Times New Roman"/>
          <w:sz w:val="20"/>
          <w:szCs w:val="20"/>
          <w:color w:val="auto"/>
        </w:rPr>
        <w:t>81,860</w:t>
        <w:tab/>
        <w:t>$</w:t>
      </w:r>
      <w:r>
        <w:rPr>
          <w:sz w:val="20"/>
          <w:szCs w:val="20"/>
          <w:color w:val="auto"/>
        </w:rPr>
        <w:tab/>
      </w:r>
      <w:r>
        <w:rPr>
          <w:rFonts w:ascii="Times New Roman" w:cs="Times New Roman" w:eastAsia="Times New Roman" w:hAnsi="Times New Roman"/>
          <w:sz w:val="19"/>
          <w:szCs w:val="19"/>
          <w:color w:val="auto"/>
        </w:rPr>
        <w:t>79,719</w:t>
      </w:r>
    </w:p>
    <w:p>
      <w:pPr>
        <w:spacing w:after="0" w:line="55" w:lineRule="exact"/>
        <w:rPr>
          <w:sz w:val="20"/>
          <w:szCs w:val="20"/>
          <w:color w:val="auto"/>
        </w:rPr>
      </w:pPr>
    </w:p>
    <w:p>
      <w:pPr>
        <w:ind w:left="100"/>
        <w:spacing w:after="0"/>
        <w:tabs>
          <w:tab w:leader="none" w:pos="1540" w:val="left"/>
        </w:tabs>
        <w:rPr>
          <w:sz w:val="20"/>
          <w:szCs w:val="20"/>
          <w:color w:val="auto"/>
        </w:rPr>
      </w:pPr>
      <w:r>
        <w:rPr>
          <w:rFonts w:ascii="Times New Roman" w:cs="Times New Roman" w:eastAsia="Times New Roman" w:hAnsi="Times New Roman"/>
          <w:sz w:val="20"/>
          <w:szCs w:val="20"/>
          <w:color w:val="auto"/>
        </w:rPr>
        <w:t>12,801</w:t>
      </w:r>
      <w:r>
        <w:rPr>
          <w:sz w:val="20"/>
          <w:szCs w:val="20"/>
          <w:color w:val="auto"/>
        </w:rPr>
        <w:tab/>
      </w:r>
      <w:r>
        <w:rPr>
          <w:rFonts w:ascii="Times New Roman" w:cs="Times New Roman" w:eastAsia="Times New Roman" w:hAnsi="Times New Roman"/>
          <w:sz w:val="20"/>
          <w:szCs w:val="20"/>
          <w:color w:val="auto"/>
        </w:rPr>
        <w:t>12,442</w:t>
      </w:r>
    </w:p>
    <w:p>
      <w:pPr>
        <w:spacing w:after="0" w:line="55" w:lineRule="exact"/>
        <w:rPr>
          <w:sz w:val="20"/>
          <w:szCs w:val="20"/>
          <w:color w:val="auto"/>
        </w:rPr>
      </w:pPr>
    </w:p>
    <w:p>
      <w:pPr>
        <w:ind w:left="100"/>
        <w:spacing w:after="0"/>
        <w:tabs>
          <w:tab w:leader="none" w:pos="1540" w:val="left"/>
        </w:tabs>
        <w:rPr>
          <w:sz w:val="20"/>
          <w:szCs w:val="20"/>
          <w:color w:val="auto"/>
        </w:rPr>
      </w:pPr>
      <w:r>
        <w:rPr>
          <w:rFonts w:ascii="Times New Roman" w:cs="Times New Roman" w:eastAsia="Times New Roman" w:hAnsi="Times New Roman"/>
          <w:sz w:val="20"/>
          <w:szCs w:val="20"/>
          <w:color w:val="auto"/>
        </w:rPr>
        <w:t>15,322</w:t>
      </w:r>
      <w:r>
        <w:rPr>
          <w:sz w:val="20"/>
          <w:szCs w:val="20"/>
          <w:color w:val="auto"/>
        </w:rPr>
        <w:tab/>
      </w:r>
      <w:r>
        <w:rPr>
          <w:rFonts w:ascii="Times New Roman" w:cs="Times New Roman" w:eastAsia="Times New Roman" w:hAnsi="Times New Roman"/>
          <w:sz w:val="20"/>
          <w:szCs w:val="20"/>
          <w:color w:val="auto"/>
        </w:rPr>
        <w:t>22,522</w:t>
      </w:r>
    </w:p>
    <w:p>
      <w:pPr>
        <w:spacing w:after="0" w:line="55" w:lineRule="exact"/>
        <w:rPr>
          <w:sz w:val="20"/>
          <w:szCs w:val="20"/>
          <w:color w:val="auto"/>
        </w:rPr>
      </w:pPr>
    </w:p>
    <w:p>
      <w:pPr>
        <w:ind w:left="200"/>
        <w:spacing w:after="0"/>
        <w:tabs>
          <w:tab w:leader="none" w:pos="1640" w:val="left"/>
        </w:tabs>
        <w:rPr>
          <w:sz w:val="20"/>
          <w:szCs w:val="20"/>
          <w:color w:val="auto"/>
        </w:rPr>
      </w:pPr>
      <w:r>
        <w:rPr>
          <w:rFonts w:ascii="Times New Roman" w:cs="Times New Roman" w:eastAsia="Times New Roman" w:hAnsi="Times New Roman"/>
          <w:sz w:val="20"/>
          <w:szCs w:val="20"/>
          <w:color w:val="auto"/>
        </w:rPr>
        <w:t>4,456</w:t>
      </w:r>
      <w:r>
        <w:rPr>
          <w:sz w:val="20"/>
          <w:szCs w:val="20"/>
          <w:color w:val="auto"/>
        </w:rPr>
        <w:tab/>
      </w:r>
      <w:r>
        <w:rPr>
          <w:rFonts w:ascii="Times New Roman" w:cs="Times New Roman" w:eastAsia="Times New Roman" w:hAnsi="Times New Roman"/>
          <w:sz w:val="20"/>
          <w:szCs w:val="20"/>
          <w:color w:val="auto"/>
        </w:rPr>
        <w:t>5,756</w:t>
      </w:r>
    </w:p>
    <w:p>
      <w:pPr>
        <w:spacing w:after="0" w:line="5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114,439</w:t>
      </w:r>
      <w:r>
        <w:rPr>
          <w:sz w:val="20"/>
          <w:szCs w:val="20"/>
          <w:color w:val="auto"/>
        </w:rPr>
        <w:tab/>
      </w:r>
      <w:r>
        <w:rPr>
          <w:rFonts w:ascii="Times New Roman" w:cs="Times New Roman" w:eastAsia="Times New Roman" w:hAnsi="Times New Roman"/>
          <w:sz w:val="20"/>
          <w:szCs w:val="20"/>
          <w:color w:val="auto"/>
        </w:rPr>
        <w:t>120,439</w:t>
      </w:r>
    </w:p>
    <w:p>
      <w:pPr>
        <w:spacing w:after="0" w:line="5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9"/>
          <w:szCs w:val="19"/>
          <w:color w:val="auto"/>
        </w:rPr>
        <w:t>(29,553)</w:t>
      </w:r>
      <w:r>
        <w:rPr>
          <w:sz w:val="20"/>
          <w:szCs w:val="20"/>
          <w:color w:val="auto"/>
        </w:rPr>
        <w:tab/>
      </w:r>
      <w:r>
        <w:rPr>
          <w:rFonts w:ascii="Times New Roman" w:cs="Times New Roman" w:eastAsia="Times New Roman" w:hAnsi="Times New Roman"/>
          <w:sz w:val="19"/>
          <w:szCs w:val="19"/>
          <w:color w:val="auto"/>
        </w:rPr>
        <w:t>(26,787)</w:t>
      </w:r>
    </w:p>
    <w:p>
      <w:pPr>
        <w:spacing w:after="0" w:line="67" w:lineRule="exact"/>
        <w:rPr>
          <w:sz w:val="20"/>
          <w:szCs w:val="20"/>
          <w:color w:val="auto"/>
        </w:rPr>
      </w:pPr>
    </w:p>
    <w:p>
      <w:pPr>
        <w:ind w:left="100"/>
        <w:spacing w:after="0"/>
        <w:tabs>
          <w:tab w:leader="none" w:pos="820" w:val="left"/>
          <w:tab w:leader="none" w:pos="1540" w:val="left"/>
        </w:tabs>
        <w:rPr>
          <w:sz w:val="20"/>
          <w:szCs w:val="20"/>
          <w:color w:val="auto"/>
        </w:rPr>
      </w:pPr>
      <w:r>
        <w:rPr>
          <w:rFonts w:ascii="Times New Roman" w:cs="Times New Roman" w:eastAsia="Times New Roman" w:hAnsi="Times New Roman"/>
          <w:sz w:val="20"/>
          <w:szCs w:val="20"/>
          <w:color w:val="auto"/>
        </w:rPr>
        <w:t>84,886</w:t>
        <w:tab/>
        <w:t>$</w:t>
      </w:r>
      <w:r>
        <w:rPr>
          <w:sz w:val="20"/>
          <w:szCs w:val="20"/>
          <w:color w:val="auto"/>
        </w:rPr>
        <w:tab/>
      </w:r>
      <w:r>
        <w:rPr>
          <w:rFonts w:ascii="Times New Roman" w:cs="Times New Roman" w:eastAsia="Times New Roman" w:hAnsi="Times New Roman"/>
          <w:sz w:val="19"/>
          <w:szCs w:val="19"/>
          <w:color w:val="auto"/>
        </w:rPr>
        <w:t>93,652</w:t>
      </w:r>
    </w:p>
    <w:p>
      <w:pPr>
        <w:spacing w:after="0" w:line="230" w:lineRule="exact"/>
        <w:rPr>
          <w:sz w:val="20"/>
          <w:szCs w:val="20"/>
          <w:color w:val="auto"/>
        </w:rPr>
      </w:pPr>
    </w:p>
    <w:p>
      <w:pPr>
        <w:sectPr>
          <w:pgSz w:w="12240" w:h="15840" w:orient="portrait"/>
          <w:cols w:equalWidth="0" w:num="2">
            <w:col w:w="7200" w:space="500"/>
            <w:col w:w="2200"/>
          </w:cols>
          <w:pgMar w:left="1180" w:top="201" w:right="1160" w:bottom="169" w:gutter="0" w:footer="0" w:header="0"/>
          <w:type w:val="continuous"/>
        </w:sectPr>
      </w:pPr>
    </w:p>
    <w:p>
      <w:pPr>
        <w:spacing w:after="0" w:line="9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Depreciation expense related to fixed assets was $13.7 million, $7.8 million, and $3.1 million for the years ended December 31, 2024, 2023, and 2022, respectively. Amortization expense related to software costs was $0.1 million, $0.3 million, and $1.0 million for the years ended December 31, 2024, 2023, and 2022, respectively.</w:t>
      </w:r>
    </w:p>
    <w:p>
      <w:pPr>
        <w:sectPr>
          <w:pgSz w:w="12240" w:h="15840" w:orient="portrait"/>
          <w:cols w:equalWidth="0" w:num="1">
            <w:col w:w="9900"/>
          </w:cols>
          <w:pgMar w:left="1180" w:top="201" w:right="1160" w:bottom="169" w:gutter="0" w:footer="0" w:header="0"/>
          <w:type w:val="continuous"/>
        </w:sectPr>
      </w:pP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180" w:top="201" w:right="1160" w:bottom="169"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During the year ended December 31, 2024, the Company disposed of certain technology equipment, substantially all of which were fully depreciated.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8—Income Taxes</w:t>
      </w:r>
    </w:p>
    <w:p>
      <w:pPr>
        <w:spacing w:after="0" w:line="217"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Company’s operations are generally composed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184"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Company’s income (loss) before income taxes is associated with activities in domestic and international jurisdictions,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Domestic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(78,113)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(104,348)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(36,935)</w:t>
            </w: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International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15,515</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Income (loss) before income taxes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(68,255)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(112,820)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(21,420)</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Income tax expense (benefit) consist of the following:</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 and local income tax</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income tax</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3,552</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current income tax expense (benefit) </w:t>
            </w:r>
            <w:r>
              <w:rPr>
                <w:rFonts w:ascii="Times New Roman" w:cs="Times New Roman" w:eastAsia="Times New Roman" w:hAnsi="Times New Roman"/>
                <w:sz w:val="20"/>
                <w:szCs w:val="20"/>
                <w:color w:val="B4B4B4"/>
                <w:w w:val="98"/>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23,545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13,070</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Federal income tax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State and local income tax</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Foreign income tax</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6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Total deferred income tax expense (benefit) </w:t>
            </w:r>
            <w:r>
              <w:rPr>
                <w:rFonts w:ascii="Times New Roman" w:cs="Times New Roman" w:eastAsia="Times New Roman" w:hAnsi="Times New Roman"/>
                <w:sz w:val="20"/>
                <w:szCs w:val="20"/>
                <w:color w:val="B4B4B4"/>
                <w:w w:val="98"/>
              </w:rPr>
              <w: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(2,743)</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Income tax expense (benefit)</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10,327</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286500" cy="186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6286500" cy="1860550"/>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201" w:right="1160" w:bottom="169" w:gutter="0" w:footer="0" w:header="0"/>
          <w:type w:val="continuous"/>
        </w:sectPr>
      </w:pPr>
    </w:p>
    <w:bookmarkStart w:id="63" w:name="page64"/>
    <w:bookmarkEnd w:id="63"/>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reconciles the U.S. federal statutory tax rate to the effective income tax rate:</w:t>
      </w:r>
    </w:p>
    <w:p>
      <w:pPr>
        <w:spacing w:after="0" w:line="27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34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Expected income tax expense at the federal statutory rate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Partnership income not subject to U.S. corporate income taxes </w:t>
            </w:r>
            <w:r>
              <w:rPr>
                <w:rFonts w:ascii="Times New Roman" w:cs="Times New Roman" w:eastAsia="Times New Roman" w:hAnsi="Times New Roman"/>
                <w:sz w:val="20"/>
                <w:szCs w:val="20"/>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income taxes, net of federal benefit </w:t>
            </w:r>
            <w:r>
              <w:rPr>
                <w:rFonts w:ascii="Times New Roman" w:cs="Times New Roman" w:eastAsia="Times New Roman" w:hAnsi="Times New Roman"/>
                <w:sz w:val="20"/>
                <w:szCs w:val="20"/>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benefit </w:t>
            </w:r>
            <w:r>
              <w:rPr>
                <w:rFonts w:ascii="Times New Roman" w:cs="Times New Roman" w:eastAsia="Times New Roman" w:hAnsi="Times New Roman"/>
                <w:sz w:val="20"/>
                <w:szCs w:val="20"/>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Non-deductible compensation expense </w:t>
            </w:r>
            <w:r>
              <w:rPr>
                <w:rFonts w:ascii="Times New Roman" w:cs="Times New Roman" w:eastAsia="Times New Roman" w:hAnsi="Times New Roman"/>
                <w:sz w:val="20"/>
                <w:szCs w:val="20"/>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Unrecognized tax benefits, net of federal benefit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Non-deductible expenses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Change in fair value of warrant liabilities </w:t>
            </w:r>
            <w:r>
              <w:rPr>
                <w:rFonts w:ascii="Times New Roman" w:cs="Times New Roman" w:eastAsia="Times New Roman" w:hAnsi="Times New Roman"/>
                <w:sz w:val="20"/>
                <w:szCs w:val="20"/>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4"/>
                <w:szCs w:val="24"/>
                <w:color w:val="auto"/>
              </w:rPr>
            </w:pPr>
          </w:p>
        </w:tc>
        <w:tc>
          <w:tcPr>
            <w:tcW w:w="188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7.5 %</w:t>
            </w:r>
          </w:p>
        </w:tc>
      </w:tr>
      <w:tr>
        <w:trPr>
          <w:trHeight w:val="286"/>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Other, net </w:t>
            </w:r>
            <w:r>
              <w:rPr>
                <w:rFonts w:ascii="Times New Roman" w:cs="Times New Roman" w:eastAsia="Times New Roman" w:hAnsi="Times New Roman"/>
                <w:sz w:val="20"/>
                <w:szCs w:val="20"/>
                <w:color w:val="B4B4B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Effective income tax rate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0.9 %</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w:t>
            </w:r>
          </w:p>
        </w:tc>
      </w:tr>
      <w:tr>
        <w:trPr>
          <w:trHeight w:val="20"/>
        </w:trPr>
        <w:tc>
          <w:tcPr>
            <w:tcW w:w="54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-1840865</wp:posOffset>
            </wp:positionV>
            <wp:extent cx="6286500" cy="186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6286500" cy="1860550"/>
                    </a:xfrm>
                    <a:prstGeom prst="rect">
                      <a:avLst/>
                    </a:prstGeom>
                    <a:noFill/>
                  </pic:spPr>
                </pic:pic>
              </a:graphicData>
            </a:graphic>
          </wp:anchor>
        </w:drawing>
      </w:r>
    </w:p>
    <w:p>
      <w:pPr>
        <w:spacing w:after="0" w:line="228"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Company’s overall effective income tax rate is dependent on many factors, including the amount of income subject to tax. Consequently, the effective income tax rate can vary from period to period.</w:t>
      </w:r>
    </w:p>
    <w:p>
      <w:pPr>
        <w:spacing w:after="0" w:line="180" w:lineRule="exact"/>
        <w:rPr>
          <w:sz w:val="20"/>
          <w:szCs w:val="20"/>
          <w:color w:val="auto"/>
        </w:rPr>
      </w:pPr>
    </w:p>
    <w:p>
      <w:pPr>
        <w:jc w:val="both"/>
        <w:ind w:left="10" w:firstLine="360"/>
        <w:spacing w:after="0"/>
        <w:rPr>
          <w:sz w:val="20"/>
          <w:szCs w:val="20"/>
          <w:color w:val="auto"/>
        </w:rPr>
      </w:pPr>
      <w:r>
        <w:rPr>
          <w:rFonts w:ascii="Times New Roman" w:cs="Times New Roman" w:eastAsia="Times New Roman" w:hAnsi="Times New Roman"/>
          <w:sz w:val="20"/>
          <w:szCs w:val="20"/>
          <w:color w:val="auto"/>
        </w:rPr>
        <w:t>Current tax receivables and payables are included in Prepaid expenses and other assets and Accounts payable, accrued expenses and other liabilities, respectively, on the Consolidated Statements of Financial Condition.</w:t>
      </w:r>
    </w:p>
    <w:p>
      <w:pPr>
        <w:spacing w:after="0" w:line="180"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Deferred income taxes reflect the net effect of temporary differences between the tax basis of an asset or liability and its reported amount on the Company’s Consolidated Statements of Financial Condition. These temporary differences result in taxable or deductible amounts in future years.</w:t>
      </w:r>
    </w:p>
    <w:p>
      <w:pPr>
        <w:spacing w:after="0" w:line="182" w:lineRule="exact"/>
        <w:rPr>
          <w:sz w:val="20"/>
          <w:szCs w:val="20"/>
          <w:color w:val="auto"/>
        </w:rPr>
      </w:pPr>
    </w:p>
    <w:p>
      <w:pPr>
        <w:ind w:left="10" w:right="180" w:firstLine="360"/>
        <w:spacing w:after="0"/>
        <w:rPr>
          <w:sz w:val="20"/>
          <w:szCs w:val="20"/>
          <w:color w:val="auto"/>
        </w:rPr>
      </w:pPr>
      <w:r>
        <w:rPr>
          <w:rFonts w:ascii="Times New Roman" w:cs="Times New Roman" w:eastAsia="Times New Roman" w:hAnsi="Times New Roman"/>
          <w:sz w:val="20"/>
          <w:szCs w:val="20"/>
          <w:color w:val="auto"/>
        </w:rPr>
        <w:t>The significant components of deferred tax assets and liabilities included on the Company’s Consolidated Statements of Financial Condition are as follows:</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Step-up in tax basis in PWP OpCo assets </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71,626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32,649</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lease liabilities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31,645</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RSU amortization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18,825</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compensation</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2,955</w:t>
            </w:r>
          </w:p>
        </w:tc>
      </w:tr>
      <w:tr>
        <w:trPr>
          <w:trHeight w:val="264"/>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 assets before valuation allowance </w:t>
            </w:r>
            <w:r>
              <w:rPr>
                <w:rFonts w:ascii="Times New Roman" w:cs="Times New Roman" w:eastAsia="Times New Roman" w:hAnsi="Times New Roman"/>
                <w:sz w:val="20"/>
                <w:szCs w:val="20"/>
                <w:color w:val="B4B4B4"/>
                <w:w w:val="99"/>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87,219</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Valuation allowance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(1,510)</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assets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136,864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85,709</w:t>
            </w:r>
          </w:p>
        </w:tc>
      </w:tr>
      <w:tr>
        <w:trPr>
          <w:trHeight w:val="264"/>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liability</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right-of-use lease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(27,227)</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Intangible assets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(2,037)</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Fixed assets</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(7,818)</w:t>
            </w: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Anticipatory foreign tax credit </w:t>
            </w:r>
            <w:r>
              <w:rPr>
                <w:rFonts w:ascii="Times New Roman" w:cs="Times New Roman" w:eastAsia="Times New Roman" w:hAnsi="Times New Roman"/>
                <w:sz w:val="20"/>
                <w:szCs w:val="20"/>
                <w:color w:val="B4B4B4"/>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w:t>
            </w:r>
          </w:p>
        </w:tc>
      </w:tr>
      <w:tr>
        <w:trPr>
          <w:trHeight w:val="286"/>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(705)</w:t>
            </w:r>
          </w:p>
        </w:tc>
      </w:tr>
      <w:tr>
        <w:trPr>
          <w:trHeight w:val="26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deferred tax liabilities </w:t>
            </w:r>
            <w:r>
              <w:rPr>
                <w:rFonts w:ascii="Times New Roman" w:cs="Times New Roman" w:eastAsia="Times New Roman" w:hAnsi="Times New Roman"/>
                <w:sz w:val="20"/>
                <w:szCs w:val="20"/>
                <w:color w:val="B4B4B4"/>
                <w:w w:val="99"/>
              </w:rPr>
              <w: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(44,496)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(39,957)</w:t>
            </w:r>
          </w:p>
        </w:tc>
      </w:tr>
      <w:tr>
        <w:trPr>
          <w:trHeight w:val="248"/>
        </w:trPr>
        <w:tc>
          <w:tcPr>
            <w:tcW w:w="7000" w:type="dxa"/>
            <w:vAlign w:val="bottom"/>
          </w:tcPr>
          <w:p>
            <w:pPr>
              <w:jc w:val="right"/>
              <w:spacing w:after="0" w:line="247" w:lineRule="exact"/>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Deferredtaxasset,net</w:t>
            </w:r>
            <w:r>
              <w:rPr>
                <w:rFonts w:ascii="Times New Roman" w:cs="Times New Roman" w:eastAsia="Times New Roman" w:hAnsi="Times New Roman"/>
                <w:sz w:val="26"/>
                <w:szCs w:val="26"/>
                <w:color w:val="000000"/>
                <w:vertAlign w:val="superscript"/>
              </w:rPr>
              <w:t>(1)</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92,368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45,752</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324600" cy="2946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324600" cy="2946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right="20" w:hanging="370"/>
        <w:spacing w:after="0" w:line="260" w:lineRule="auto"/>
        <w:tabs>
          <w:tab w:leader="none" w:pos="37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netting requirements of ASC 740, $0.6 million and $0.7 million of deferred tax liabilities are presented within Accounts payable, accrued expenses and other liabilities on the Consolidated Statements of Financial Condition as of December 31, 2024 and 2023.</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10"/>
          </w:cols>
          <w:pgMar w:left="1170" w:top="201" w:right="1160" w:bottom="169"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The Company evaluates the realizability of deferred tax assets on a jurisdictional basis at each reporting date. ASC Topic 740 requires that a valuation allowance be established when it is more likely than not that all or a portion of the deferred tax assets will not be realized. As of December 31, 2024 and 2023, the Company recognized a full valuation allowance of $2.0 million and $1.5 million, respectively, related to tax credits and capital losses that the Company does not expect to realize. No deferred tax asset has been recorded for the excess tax over book outside basis difference related to the Company’s investment in PWP OpCo as the deferred tax asset is not expected to reverse. The Company believes it is more-likely-than-not that the remaining net deferred tax asset recorded as of December 31, 2024 will be recovered in the future based on all available positive and negative evidence.</w:t>
      </w:r>
    </w:p>
    <w:p>
      <w:pPr>
        <w:spacing w:after="0" w:line="184"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For the years ended December 31, 2024, 2023, and 2022, the Company recorded an increase to the deferred tax asset of $42.3 million, $9.9 million, and $9.5 million, respectively, related to the step-up in tax basis of PWP OpCo assets in connection with the exchanges of PWP OpCo units for cash or stock of the Company during the year. In connection with the step-up in tax basis generated from the exchanges, the Company increased the Amount due pursuant to tax receivable agreement on the Consolidated Statements of Financial Condition by $35.7 million, $8.4 million, and $8.9 million for the years ended December 31, 2024, 2023, and 2022, respectively. The remaining tax benefit is allocable to the Company and is recorded within additional paid-in-capital.</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does not have excess book over tax basis in its foreign investments and has therefore not provided a deferred tax liability with respect to an outside basis difference in its investment in foreign subsidiaries.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reconciliation of the changes in tax positions for the years ended December 31, 2024, 2023, and 2022 is as follows: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Beginning unrecognized tax benefit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Additions for tax positions of prior years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Reductions for tax positions of prior years</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Additions for tax positions of current year </w:t>
            </w:r>
            <w:r>
              <w:rPr>
                <w:rFonts w:ascii="Times New Roman" w:cs="Times New Roman" w:eastAsia="Times New Roman" w:hAnsi="Times New Roman"/>
                <w:sz w:val="20"/>
                <w:szCs w:val="20"/>
                <w:color w:val="B4B4B4"/>
                <w:w w:val="99"/>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Foreign currency translation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w:t>
            </w: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Ending unrecognized tax benefit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5,628</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286500" cy="1317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286500" cy="1317625"/>
                    </a:xfrm>
                    <a:prstGeom prst="rect">
                      <a:avLst/>
                    </a:prstGeom>
                    <a:noFill/>
                  </pic:spPr>
                </pic:pic>
              </a:graphicData>
            </a:graphic>
          </wp:anchor>
        </w:drawing>
      </w:r>
    </w:p>
    <w:p>
      <w:pPr>
        <w:spacing w:after="0" w:line="228"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Company classifies interest relating to tax matters and tax penalties as components of Income tax expense (benefit) on its Consolidated Statements of Operations. As of December 31, 2024, 2023, and 2022, there were $1.0 million, $2.8 million, and $4.7 million, respectively, of unrecognized tax benefits that, if recognized, would affect the effective income tax rate. For the years ended December 31, 2024, 2023, and 2022, $0.3 million, $0.4 million, and $0.2 million, respectively, of interest and penalties were recognized with respect to unrecognized tax benefits.</w:t>
      </w:r>
    </w:p>
    <w:p>
      <w:pPr>
        <w:spacing w:after="0" w:line="181"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The Company is subject to taxation in the United States and various state, local and foreign jurisdictions. As of December 31, 2024, the Company is not subject to examination by the tax authorities in these jurisdictions for years before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9—Debt</w:t>
      </w:r>
    </w:p>
    <w:p>
      <w:pPr>
        <w:spacing w:after="0" w:line="217"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As of December 31, 2024 and 2023, the Company had no outstanding debt. The Company has a revolving credit facility (the “Revolving Credit Facility”) through an amended and restated credit agreement with Cadence Bank, N.A. (“Cadence Bank”), dated November 30, 2016 (as amended, the “Credit Agreement”), with an available line of credit of $50.0 million, with up to $20.0 million of available incremental revolving commitments, and a maturity date of July 1, 2025. Effective December 31, 2024, the maturity date was extended to July 1, 2028. Issuance costs incurred related to the Credit Agreement are amortized as interest expense 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for the years ended December 31, 2024, 2023, and 2022 and is included within Other income (expense)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201" w:right="1160" w:bottom="169"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ind w:right="3540"/>
        <w:spacing w:after="0" w:line="462" w:lineRule="auto"/>
        <w:rPr>
          <w:sz w:val="20"/>
          <w:szCs w:val="20"/>
          <w:color w:val="auto"/>
        </w:rPr>
      </w:pPr>
      <w:r>
        <w:rPr>
          <w:rFonts w:ascii="Times New Roman" w:cs="Times New Roman" w:eastAsia="Times New Roman" w:hAnsi="Times New Roman"/>
          <w:sz w:val="20"/>
          <w:szCs w:val="20"/>
          <w:b w:val="1"/>
          <w:bCs w:val="1"/>
          <w:color w:val="auto"/>
        </w:rPr>
        <w:t xml:space="preserve">Note 10—Stockholders’ Equity and Redeemable Non-Controlling Interests </w:t>
      </w:r>
      <w:r>
        <w:rPr>
          <w:rFonts w:ascii="Times New Roman" w:cs="Times New Roman" w:eastAsia="Times New Roman" w:hAnsi="Times New Roman"/>
          <w:sz w:val="20"/>
          <w:szCs w:val="20"/>
          <w:b w:val="1"/>
          <w:bCs w:val="1"/>
          <w:i w:val="1"/>
          <w:iCs w:val="1"/>
          <w:color w:val="auto"/>
        </w:rPr>
        <w:t>Common Stock and Preferred Stock</w:t>
      </w:r>
    </w:p>
    <w:p>
      <w:pPr>
        <w:spacing w:after="0" w:line="2"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Holders of Class A common stock are entitled to one vote for each share on all matters submitted to the stockholders for their vote or approval. Prior to December 31, 2024, the Company had two classes of Class B common stock: Class B-1 common stock and Class B-2 common stock, the latter of which is no longer outstanding as of December 31, 2024. Each share of Class B-1 common stock, held by VoteCo Professionals subsequent to the Division, is entitled to ten votes per share for so long as Professional Partners or its Limited Partners as of the date of Closing or its or their respective successors or assigns maintain, directly or indirectly, ownership of PWP OpCo Units that represent at least ten percent (10%) of the Company’s issued and outstanding Class A common stock (calculated, without duplication, on the basis that all issued and outstanding PWP OpCo Units not held by the Company or its subsidiaries had been exchanged for Class A common stock) (the “Class B Condition”). After the Class B Condition ceases to be satisfied, each share of Class B-1 common stock is entitled to one vote.</w:t>
      </w:r>
    </w:p>
    <w:p>
      <w:pPr>
        <w:spacing w:after="0" w:line="18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On March 1, 2024, the Company issued and sold 5,750,000 shares of Class A common stock at a price of $12.00 per share for net proceeds of $66.0 million after deducting underwriting discounts and offering costs. During the year ended December 31, 2022, an exchange was settled through a follow-on public offering of 3,502,033 shares of Class A common stock (the “2022 Offering”) at a price of $10.75 per share for net proceeds of $35.2 million after deducting underwriting discounts and offering costs.</w:t>
      </w:r>
    </w:p>
    <w:p>
      <w:pPr>
        <w:spacing w:after="0" w:line="181"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Company currently does not have any preferred stock issued and outstanding, but the Board of Directors maintains the right to establish preferred stock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and Distributions</w:t>
      </w:r>
    </w:p>
    <w:p>
      <w:pPr>
        <w:spacing w:after="0" w:line="219"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Holders of Class A and Class B common stock are entitled to receive ratably, in proportion to the number of shares held, dividends and other distributions when declared, with holders of Class B common stock entitled to receive an amount equal to such dividends or other distributions as would be made on 0.001 shares of Class A common stock. During the years ended December 31, 2024 and 2023, the Company’s Board of Directors declared cash dividends of $0.28 per share of Class A common stock totaling $22.6 million and $19.3 million, respectively, including dividends paid, accrued dividend equivalents, and dividend equivalent units on unvested PWP Incentive Plan Awards (as defined in Note 11—Equity-Based Compensation). Dividends on Class B common stock (equal to the amount of dividends declared on 0.001 shares of Class A common stock) are included in the aforementioned total dividends declared.</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 accordance with the PWP OpCo LPA, the Company uses best efforts to make sufficient quarterly cash distributions to the holders of the PWP OpCo Units (the “PWP OpCo Unitholders”) to fund their tax obligations in respect of the income of PWP OpCo that is allocated to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On June 3, 2024, the Company repurchased 1,000,000 founder shares at a purchase price of $15.00 per share for a total purchase price of $15.0 million. Since inception of the share repurchase program, 12,920,699 shares have been purchased at an average price per share of $8.22 through December 31, 2024 for a total purchase price of $106.2 million. Prior to the implementation of the stock repurchase program, on August 9, 2021, the Company repurchased 1,000,000 founder shares at a purchase price of $12.00 per share for a total purchase price of $12.0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Non-Controlling Interests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As a result of the Merger, the Non-controlling interests on the Consolidated Statements of Financial Condition were reclassified to Redeemable non-controlling interests within temporary equity. Redeemable non-controlling interests are presented at their redemption value as of the reporting date and represent the ownership interests in PWP OpCo held by holders other than Perella Weinberg Partners. As of December 31, 2024, the current and former working partners collectively own 27,460,600 PWP OpCo Units, which represents a 31.7% non-controlling ownership interest in PWP OpCo.</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00"/>
          </w:cols>
          <w:pgMar w:left="1180" w:top="201" w:right="1160" w:bottom="169"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Agreement</w:t>
      </w:r>
    </w:p>
    <w:p>
      <w:pPr>
        <w:spacing w:after="0" w:line="219"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A Stockholders Agreement between PWP and Professional Partners (the “Stockholders Agreement”) allows Professional Partners (including its successors (by merger, division or otherwise) and assigns) to maintain control over the Company’s significant corporate transactions even if it holds less than a majority of the combined total voting power of the Class A and Class B common stock. The Stockholders Agreement was allocated to VoteCo Professionals in connection with the Division, and will terminate once Professional Partners or its limited partners no longer hold PWP OpCo Units that (assuming such units were fully exchanged for Class A common stock) represent at least five percent of the Company’s outstanding 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Rights</w:t>
      </w:r>
    </w:p>
    <w:p>
      <w:pPr>
        <w:spacing w:after="0" w:line="219" w:lineRule="exact"/>
        <w:rPr>
          <w:sz w:val="20"/>
          <w:szCs w:val="20"/>
          <w:color w:val="auto"/>
        </w:rPr>
      </w:pPr>
    </w:p>
    <w:p>
      <w:pPr>
        <w:jc w:val="both"/>
        <w:ind w:right="20" w:firstLine="360"/>
        <w:spacing w:after="0" w:line="212" w:lineRule="auto"/>
        <w:rPr>
          <w:sz w:val="20"/>
          <w:szCs w:val="20"/>
          <w:color w:val="auto"/>
        </w:rPr>
      </w:pPr>
      <w:r>
        <w:rPr>
          <w:rFonts w:ascii="Times New Roman" w:cs="Times New Roman" w:eastAsia="Times New Roman" w:hAnsi="Times New Roman"/>
          <w:sz w:val="20"/>
          <w:szCs w:val="20"/>
          <w:color w:val="auto"/>
        </w:rPr>
        <w:t>PWP OpCo Unitholders (other than the Company) may exchange their units for (i) shares of Class A common stock on a one-for-one basis or (ii) cash from an offering of shares of Class A common stock, and (iii) subsequent to the Merger,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For the years ended December 31, 2024, 2023, and 2022, the Company settled exchanges of certain PWP OpCo Units and certain shares of Class B common stock for 4,779,321, 2,977,506, and 2,093,874 shares of Class A common stock, respectively. Separately, during the year ended December 31, 2024, the Company elected to settle exchanges of 3,204,979 PWP OpCo Units and corresponding shares of Class B common stock at an average price of $20.98 per PWP OpCo Unit for $63.4 million in cash as well as the non-cash settlement of certain partner promissory notes (refer to Note 15—Related Party Transactions for more information). Furthermore, during the year ended December 31, 2022, an exchange of 3,498,534 PWP OpCo Units and corresponding shares of Class B common stock was settled in cash with proceeds from the 2022 Offering. To the extent an exchange creates a step-up in tax basis, the Company records an increase in Deferred tax assets, net, Amounts due pursuant to tax receivable agreement, and Additional paid-in-capital.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Exchange Offer</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August 23, 2022, the Company concluded an offer to holders of its then-outstanding warrants which provided the opportunity to receive shares of the Company’s Class A common stock in exchange for warrants tendered. This offer coincided with a solicitation of consents from holders of the public warrants to amend the warrant agreement (together, the “Warrant Exchange Offer”). As a result of the Warrant Exchange Offer, all public and private warrants were exchanged, collectively, for 1,565,948 shares of the Company’s Class A common stock, with a minimal cash settlement in lieu of partial shares. No public or private warrants remained outstanding after the Warrant Exchange Offer. The Company incurred $1.3 million of costs directly related to the Warrant Exchange Offer, which were recorded in Professional fees on the Consolidated Statements of Operations. Prior to the Warrant Exchange Offer, the warrants were recognized as liabilities with changes in fair value presented within Change in fair value of warrant liabilities on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11—Equity-Based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PWP Omnibus Incentive Plan Awards</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 As of December 31, 2024, 9,515,113 total shares remained reserved and available for future issuance.</w:t>
      </w:r>
    </w:p>
    <w:p>
      <w:pPr>
        <w:spacing w:after="0" w:line="184"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 connection with the Business Combination, the Company granted awards in the form of (a) RSUs that vest upon the achievement of service conditions (“Transaction RSUs”) and (b) PSUs that only vest upon the achievement of both service and market conditions, including certain long-term incentive awards granted to management (“Transaction PSUs”).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201" w:right="1160" w:bottom="169" w:gutter="0" w:footer="0" w:header="0"/>
          <w:type w:val="continuous"/>
        </w:sectPr>
      </w:pPr>
    </w:p>
    <w:bookmarkStart w:id="67" w:name="page68"/>
    <w:bookmarkEnd w:id="67"/>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ind w:left="10"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Transaction RSUs and Transaction PSUs during the year ended December 31, 2024:</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28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Transaction RSUs</w:t>
            </w:r>
          </w:p>
        </w:tc>
        <w:tc>
          <w:tcPr>
            <w:tcW w:w="60" w:type="dxa"/>
            <w:vAlign w:val="bottom"/>
          </w:tcPr>
          <w:p>
            <w:pPr>
              <w:spacing w:after="0"/>
              <w:rPr>
                <w:sz w:val="23"/>
                <w:szCs w:val="23"/>
                <w:color w:val="auto"/>
              </w:rPr>
            </w:pPr>
          </w:p>
        </w:tc>
        <w:tc>
          <w:tcPr>
            <w:tcW w:w="28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Transaction PSUs</w:t>
            </w: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00"/>
              <w:spacing w:after="0" w:line="183"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0"/>
              <w:spacing w:after="0" w:line="183"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60" w:type="dxa"/>
            <w:vAlign w:val="bottom"/>
          </w:tcPr>
          <w:p>
            <w:pPr>
              <w:spacing w:after="0"/>
              <w:rPr>
                <w:sz w:val="17"/>
                <w:szCs w:val="17"/>
                <w:color w:val="auto"/>
              </w:rPr>
            </w:pPr>
          </w:p>
        </w:tc>
        <w:tc>
          <w:tcPr>
            <w:tcW w:w="1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w w:val="98"/>
              </w:rPr>
              <w:t>Value Per</w:t>
            </w: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0" w:type="dxa"/>
            <w:vAlign w:val="bottom"/>
          </w:tcPr>
          <w:p>
            <w:pPr>
              <w:spacing w:after="0"/>
              <w:rPr>
                <w:sz w:val="1"/>
                <w:szCs w:val="1"/>
                <w:color w:val="auto"/>
              </w:rPr>
            </w:pPr>
          </w:p>
        </w:tc>
      </w:tr>
      <w:tr>
        <w:trPr>
          <w:trHeight w:val="26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2024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3,008,528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10,400,155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16,344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6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(1,730,932)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(3,030,910)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r>
              <w:rPr>
                <w:rFonts w:ascii="Times New Roman" w:cs="Times New Roman" w:eastAsia="Times New Roman" w:hAnsi="Times New Roman"/>
                <w:sz w:val="20"/>
                <w:szCs w:val="20"/>
                <w:color w:val="B4B4B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(52,677)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(19,625)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December 31, 2024 </w:t>
            </w:r>
            <w:r>
              <w:rPr>
                <w:rFonts w:ascii="Times New Roman" w:cs="Times New Roman" w:eastAsia="Times New Roman" w:hAnsi="Times New Roman"/>
                <w:sz w:val="20"/>
                <w:szCs w:val="20"/>
                <w:b w:val="1"/>
                <w:bCs w:val="1"/>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1,228,606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7,365,964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11900" cy="955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Business Combination, grants of Transaction RSUs and Transaction PSUs include only dividend equivalent units that have been awarded in the form of additional units that were granted from the General Share Reserve.</w:t>
      </w:r>
    </w:p>
    <w:p>
      <w:pPr>
        <w:spacing w:after="0" w:line="197" w:lineRule="exact"/>
        <w:rPr>
          <w:sz w:val="20"/>
          <w:szCs w:val="20"/>
          <w:color w:val="auto"/>
        </w:rPr>
      </w:pPr>
    </w:p>
    <w:p>
      <w:pPr>
        <w:jc w:val="both"/>
        <w:ind w:left="10" w:right="20" w:firstLine="360"/>
        <w:spacing w:after="0" w:line="221" w:lineRule="auto"/>
        <w:rPr>
          <w:sz w:val="20"/>
          <w:szCs w:val="20"/>
          <w:color w:val="auto"/>
        </w:rPr>
      </w:pPr>
      <w:r>
        <w:rPr>
          <w:rFonts w:ascii="Times New Roman" w:cs="Times New Roman" w:eastAsia="Times New Roman" w:hAnsi="Times New Roman"/>
          <w:sz w:val="20"/>
          <w:szCs w:val="20"/>
          <w:color w:val="auto"/>
        </w:rPr>
        <w:t>The Transaction RSUs generally vest in equal annual installments over the requisite service period of three to five years from the date of grant. The total fair value of Transaction RSUs that vested during the years ended December 31, 2024, 2023, and 2022 was $32.0 million, $10.9 million, and $16.2 million, respectively. As of December 31, 2024, total unrecognized compensation expense related to unvested Transaction RSUs was $6.1 million, which is expected to be recognized over a weighted average period of 1.3 years.</w:t>
      </w:r>
    </w:p>
    <w:p>
      <w:pPr>
        <w:spacing w:after="0" w:line="181" w:lineRule="exact"/>
        <w:rPr>
          <w:sz w:val="20"/>
          <w:szCs w:val="20"/>
          <w:color w:val="auto"/>
        </w:rPr>
      </w:pPr>
    </w:p>
    <w:p>
      <w:pPr>
        <w:jc w:val="both"/>
        <w:ind w:left="10" w:right="20" w:firstLine="360"/>
        <w:spacing w:after="0" w:line="224" w:lineRule="auto"/>
        <w:rPr>
          <w:sz w:val="20"/>
          <w:szCs w:val="20"/>
          <w:color w:val="auto"/>
        </w:rPr>
      </w:pPr>
      <w:r>
        <w:rPr>
          <w:rFonts w:ascii="Times New Roman" w:cs="Times New Roman" w:eastAsia="Times New Roman" w:hAnsi="Times New Roman"/>
          <w:sz w:val="20"/>
          <w:szCs w:val="20"/>
          <w:color w:val="auto"/>
        </w:rPr>
        <w:t>The service condition requirement with respect to the Transaction PSUs is generally satisfied over three to five years from the date of grant. The market condition requirement is satisfied in various increments upon the shares of Class A common stock achieving closing prices ranging from $12.00 to $30.00. As of December 31, 2024, the price targets ranging from $12.00 and $20.00 were satisfied.</w:t>
      </w:r>
    </w:p>
    <w:p>
      <w:pPr>
        <w:spacing w:after="0" w:line="181" w:lineRule="exact"/>
        <w:rPr>
          <w:sz w:val="20"/>
          <w:szCs w:val="20"/>
          <w:color w:val="auto"/>
        </w:rPr>
      </w:pPr>
    </w:p>
    <w:p>
      <w:pPr>
        <w:jc w:val="both"/>
        <w:ind w:left="10" w:firstLine="360"/>
        <w:spacing w:after="0" w:line="217" w:lineRule="auto"/>
        <w:rPr>
          <w:sz w:val="20"/>
          <w:szCs w:val="20"/>
          <w:color w:val="auto"/>
        </w:rPr>
      </w:pPr>
      <w:r>
        <w:rPr>
          <w:rFonts w:ascii="Times New Roman" w:cs="Times New Roman" w:eastAsia="Times New Roman" w:hAnsi="Times New Roman"/>
          <w:sz w:val="20"/>
          <w:szCs w:val="20"/>
          <w:color w:val="auto"/>
        </w:rPr>
        <w:t>The total fair value of Transaction PSUs that vested during the year ended December 31, 2024 was $61.8 million, and was nominal for the years ended 2023 and 2022. During the year ended December 31, 2023, the Company modified certain Transaction PSUs held by one employee to remove the market conditions, which resulted in a modification of the awards under ASC Topic 718, Compensation—Stock Compensation. Incremental compensation cost of $10.2 million related to the modification will be recognized over the remaining requisite service period. As of December 31, 2024, total unrecognized compensation expense related to unvested Transaction PSUs was $17.4 million, which is expected to be recognized over a weighted average period of 1.5 years.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General Awards</w:t>
      </w:r>
    </w:p>
    <w:p>
      <w:pPr>
        <w:spacing w:after="0" w:line="210"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10"/>
          </w:cols>
          <w:pgMar w:left="1170" w:top="201" w:right="1160" w:bottom="169" w:gutter="0" w:footer="0" w:header="0"/>
          <w:type w:val="continuous"/>
        </w:sectPr>
      </w:pPr>
    </w:p>
    <w:bookmarkStart w:id="68" w:name="page69"/>
    <w:bookmarkEnd w:id="68"/>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following table summarizes the activity related to the General RSUs and General PSUs during the year ended</w:t>
      </w:r>
    </w:p>
    <w:p>
      <w:pPr>
        <w:ind w:left="1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57" w:lineRule="exact"/>
        <w:rPr>
          <w:sz w:val="20"/>
          <w:szCs w:val="20"/>
          <w:color w:val="auto"/>
        </w:rPr>
      </w:pPr>
    </w:p>
    <w:tbl>
      <w:tblPr>
        <w:tblLayout w:type="fixed"/>
        <w:tblInd w:w="50" w:type="dxa"/>
        <w:tblCellMar>
          <w:top w:w="0" w:type="dxa"/>
          <w:left w:w="0" w:type="dxa"/>
          <w:bottom w:w="0" w:type="dxa"/>
          <w:right w:w="0" w:type="dxa"/>
        </w:tblCellMar>
      </w:tblPr>
      <w:tr>
        <w:trPr>
          <w:trHeight w:val="285"/>
        </w:trPr>
        <w:tc>
          <w:tcPr>
            <w:tcW w:w="410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General RSUs</w:t>
            </w:r>
          </w:p>
        </w:tc>
        <w:tc>
          <w:tcPr>
            <w:tcW w:w="6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General PSUs</w:t>
            </w:r>
          </w:p>
        </w:tc>
        <w:tc>
          <w:tcPr>
            <w:tcW w:w="0" w:type="dxa"/>
            <w:vAlign w:val="bottom"/>
          </w:tcPr>
          <w:p>
            <w:pPr>
              <w:spacing w:after="0"/>
              <w:rPr>
                <w:sz w:val="1"/>
                <w:szCs w:val="1"/>
                <w:color w:val="auto"/>
              </w:rPr>
            </w:pPr>
          </w:p>
        </w:tc>
      </w:tr>
      <w:tr>
        <w:trPr>
          <w:trHeight w:val="164"/>
        </w:trPr>
        <w:tc>
          <w:tcPr>
            <w:tcW w:w="4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01"/>
              <w:spacing w:after="0" w:line="164"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1"/>
              <w:spacing w:after="0" w:line="164" w:lineRule="exact"/>
              <w:rPr>
                <w:sz w:val="20"/>
                <w:szCs w:val="20"/>
                <w:color w:val="auto"/>
              </w:rPr>
            </w:pPr>
            <w:r>
              <w:rPr>
                <w:rFonts w:ascii="Times New Roman" w:cs="Times New Roman" w:eastAsia="Times New Roman" w:hAnsi="Times New Roman"/>
                <w:sz w:val="19"/>
                <w:szCs w:val="19"/>
                <w:b w:val="1"/>
                <w:bCs w:val="1"/>
                <w:color w:val="auto"/>
              </w:rPr>
              <w:t>Weighted</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Average Grant</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01"/>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60" w:type="dxa"/>
            <w:vAlign w:val="bottom"/>
          </w:tcPr>
          <w:p>
            <w:pPr>
              <w:spacing w:after="0"/>
              <w:rPr>
                <w:sz w:val="17"/>
                <w:szCs w:val="17"/>
                <w:color w:val="auto"/>
              </w:rPr>
            </w:pPr>
          </w:p>
        </w:tc>
        <w:tc>
          <w:tcPr>
            <w:tcW w:w="1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rPr>
              <w:t>Date Fair</w:t>
            </w: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w w:val="98"/>
              </w:rPr>
              <w:t>Value Per</w:t>
            </w:r>
          </w:p>
        </w:tc>
        <w:tc>
          <w:tcPr>
            <w:tcW w:w="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1"/>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0" w:type="dxa"/>
            <w:vAlign w:val="bottom"/>
          </w:tcPr>
          <w:p>
            <w:pPr>
              <w:spacing w:after="0"/>
              <w:rPr>
                <w:sz w:val="1"/>
                <w:szCs w:val="1"/>
                <w:color w:val="auto"/>
              </w:rPr>
            </w:pPr>
          </w:p>
        </w:tc>
      </w:tr>
      <w:tr>
        <w:trPr>
          <w:trHeight w:val="26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January 1, 2024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12,246,942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w:t>
            </w:r>
            <w:r>
              <w:rPr>
                <w:rFonts w:ascii="Times New Roman" w:cs="Times New Roman" w:eastAsia="Times New Roman" w:hAnsi="Times New Roman"/>
                <w:sz w:val="26"/>
                <w:szCs w:val="26"/>
                <w:color w:val="auto"/>
                <w:w w:val="99"/>
                <w:vertAlign w:val="superscript"/>
              </w:rPr>
              <w:t>(1)</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color w:val="B4B4B4"/>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7,049,087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Vested </w:t>
            </w:r>
            <w:r>
              <w:rPr>
                <w:rFonts w:ascii="Times New Roman" w:cs="Times New Roman" w:eastAsia="Times New Roman" w:hAnsi="Times New Roman"/>
                <w:sz w:val="20"/>
                <w:szCs w:val="20"/>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(4,390,855)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r>
              <w:rPr>
                <w:rFonts w:ascii="Times New Roman" w:cs="Times New Roman" w:eastAsia="Times New Roman" w:hAnsi="Times New Roman"/>
                <w:sz w:val="20"/>
                <w:szCs w:val="20"/>
                <w:color w:val="B4B4B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(220,564)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December 31, 2024 </w:t>
            </w:r>
            <w:r>
              <w:rPr>
                <w:rFonts w:ascii="Times New Roman" w:cs="Times New Roman" w:eastAsia="Times New Roman" w:hAnsi="Times New Roman"/>
                <w:sz w:val="20"/>
                <w:szCs w:val="20"/>
                <w:b w:val="1"/>
                <w:bCs w:val="1"/>
                <w:color w:val="B4B4B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14,684,610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311900" cy="955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370" w:hanging="370"/>
        <w:spacing w:after="0" w:line="260" w:lineRule="auto"/>
        <w:tabs>
          <w:tab w:leader="none" w:pos="37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equivalent units that have been awarded in the form of additional General RSUs that were granted from the General Share Reserve.</w:t>
      </w:r>
    </w:p>
    <w:p>
      <w:pPr>
        <w:spacing w:after="0" w:line="197" w:lineRule="exact"/>
        <w:rPr>
          <w:sz w:val="20"/>
          <w:szCs w:val="20"/>
          <w:color w:val="auto"/>
        </w:rPr>
      </w:pPr>
    </w:p>
    <w:p>
      <w:pPr>
        <w:jc w:val="both"/>
        <w:ind w:left="10" w:right="20" w:firstLine="360"/>
        <w:spacing w:after="0" w:line="230" w:lineRule="auto"/>
        <w:rPr>
          <w:sz w:val="20"/>
          <w:szCs w:val="20"/>
          <w:color w:val="auto"/>
        </w:rPr>
      </w:pPr>
      <w:r>
        <w:rPr>
          <w:rFonts w:ascii="Times New Roman" w:cs="Times New Roman" w:eastAsia="Times New Roman" w:hAnsi="Times New Roman"/>
          <w:sz w:val="19"/>
          <w:szCs w:val="19"/>
          <w:color w:val="auto"/>
        </w:rPr>
        <w:t>General RSUs vest over a requisite service period, which is generally one to three years from the date of grant. The weighted-average grant date fair value of the General RSUs granted during the years ended December 31, 2023 and 2022 was $10.23 and $9.82 per award, respectively, which was based on the PWP stock price on the date of grant. The total fair value of General RSUs that vested during the years ended December 31, 2024, 2023, and 2022 was $62.0 million, $28.9 million, and $6.5 million, respectively. As of December 31, 2024, total unrecognized compensation expense related to unvested General RSUs was $95.6 million, which is expected to be recognized over a weighted average period of 1.8 years.</w:t>
      </w:r>
    </w:p>
    <w:p>
      <w:pPr>
        <w:spacing w:after="0" w:line="184" w:lineRule="exact"/>
        <w:rPr>
          <w:sz w:val="20"/>
          <w:szCs w:val="20"/>
          <w:color w:val="auto"/>
        </w:rPr>
      </w:pPr>
    </w:p>
    <w:p>
      <w:pPr>
        <w:jc w:val="both"/>
        <w:ind w:left="10" w:right="20" w:firstLine="360"/>
        <w:spacing w:after="0" w:line="216" w:lineRule="auto"/>
        <w:rPr>
          <w:sz w:val="20"/>
          <w:szCs w:val="20"/>
          <w:color w:val="auto"/>
        </w:rPr>
      </w:pPr>
      <w:r>
        <w:rPr>
          <w:rFonts w:ascii="Times New Roman" w:cs="Times New Roman" w:eastAsia="Times New Roman" w:hAnsi="Times New Roman"/>
          <w:sz w:val="20"/>
          <w:szCs w:val="20"/>
          <w:color w:val="auto"/>
        </w:rPr>
        <w:t>During the year ended December 31, 2023, the Company made a grant of General PSUs with a service condition requirement satisfied over three to five years from the date of grant and a market condition requirement satisfied in various increments upon the shares of Class A common stock achieving closing prices ranging from $15.00 to $30.00. No General PSUs vested during the years ended December 31, 2024 and 2023. As of December 31, 2024, the $15.00 and $20.00 price targets were met for the General PSUs. As of December 31, 2024, total unrecognized compensation expense related to unvested General PSUs was $3.0 million, which is expected to be recognized over a weighted average period of 2.4 years. The Company estimated the fair value of the General PSUs on the grant date using a Monte-Carlo simulation valuation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6311900" cy="568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38"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Risk-free interest rate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0"/>
                <w:szCs w:val="20"/>
                <w:color w:val="B4B4B4"/>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2.72 %</w:t>
            </w:r>
          </w:p>
        </w:tc>
      </w:tr>
      <w:tr>
        <w:trPr>
          <w:trHeight w:val="348"/>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Volatility factor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B4B4B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5" w:lineRule="exact"/>
        <w:rPr>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historical peer company volatility.</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Legacy Awards and Professional Partners Awards</w:t>
      </w:r>
    </w:p>
    <w:p>
      <w:pPr>
        <w:spacing w:after="0" w:line="219" w:lineRule="exact"/>
        <w:rPr>
          <w:sz w:val="20"/>
          <w:szCs w:val="20"/>
          <w:color w:val="auto"/>
        </w:rPr>
      </w:pPr>
    </w:p>
    <w:p>
      <w:pPr>
        <w:jc w:val="both"/>
        <w:ind w:left="10" w:firstLine="360"/>
        <w:spacing w:after="0" w:line="214" w:lineRule="auto"/>
        <w:rPr>
          <w:sz w:val="20"/>
          <w:szCs w:val="20"/>
          <w:color w:val="auto"/>
        </w:rPr>
      </w:pPr>
      <w:r>
        <w:rPr>
          <w:rFonts w:ascii="Times New Roman" w:cs="Times New Roman" w:eastAsia="Times New Roman" w:hAnsi="Times New Roman"/>
          <w:sz w:val="20"/>
          <w:szCs w:val="20"/>
          <w:color w:val="auto"/>
        </w:rPr>
        <w:t>Prior to the Business Combination, Professional Partners granted certain equity-based awards to partners providing services to PWP OpCo (the “Legacy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OCUs, VCUs, and/or ACUs. The OCUs were fully vested upon recapitalization. The VCUs and ACUs (collectively, “Professional Partners Awards”) were held by current working partners and required services to be performed on behalf of PWP OpCo. The Professional Partners Awards were generally subject to a service-based graded vesting schedule over a three to five-year requisite service period. Once vested, the Professional Partners Awards became OCUs, other than the cash-settled ACUs referenced below, and are eligible for the same exchange rights as other PWP OpCo Units, subject to certain lock-up periods. Refer to Note 10— Stockholders’ Equity and Redeemable Non-Controlling Interests for more information on exchange rights.</w:t>
      </w:r>
    </w:p>
    <w:p>
      <w:pPr>
        <w:spacing w:after="0" w:line="189" w:lineRule="exact"/>
        <w:rPr>
          <w:sz w:val="20"/>
          <w:szCs w:val="20"/>
          <w:color w:val="auto"/>
        </w:rPr>
      </w:pPr>
    </w:p>
    <w:p>
      <w:pPr>
        <w:jc w:val="both"/>
        <w:ind w:left="10" w:right="20" w:firstLine="360"/>
        <w:spacing w:after="0" w:line="217" w:lineRule="auto"/>
        <w:rPr>
          <w:sz w:val="20"/>
          <w:szCs w:val="20"/>
          <w:color w:val="auto"/>
        </w:rPr>
      </w:pPr>
      <w:r>
        <w:rPr>
          <w:rFonts w:ascii="Times New Roman" w:cs="Times New Roman" w:eastAsia="Times New Roman" w:hAnsi="Times New Roman"/>
          <w:sz w:val="20"/>
          <w:szCs w:val="20"/>
          <w:color w:val="auto"/>
        </w:rPr>
        <w:t>At the time of the Merger, the Company entered into vesting acceleration agreements with certain holders of Professional Partners Awards (the “Accelerated Units”) to accelerate vesting during the second quarter of 2024 (the “Vesting Acceleration”). The Accelerated Units are generally subject to a lock-up period that is identical to the lockup period applicable to such units prior to the Vesting Acceleration. The Company also provided each holder of Accelerated Units that are ACUs the ability to convert a portion of such holder’s ACUs into cash upon vesting in an aggregate amount up to such holder’s estimated tax liability. The principal purpose of the Vesting Acceleration was to facilitate the payment of taxes associated with ACU vesting to align with the treatment of vested restricted stock units of the Company.</w:t>
      </w:r>
    </w:p>
    <w:p>
      <w:pPr>
        <w:sectPr>
          <w:pgSz w:w="12240" w:h="15840" w:orient="portrait"/>
          <w:cols w:equalWidth="0" w:num="1">
            <w:col w:w="9910"/>
          </w:cols>
          <w:pgMar w:left="1170" w:top="201" w:right="1160" w:bottom="169" w:gutter="0" w:footer="0" w:header="0"/>
        </w:sectPr>
      </w:pPr>
    </w:p>
    <w:p>
      <w:pPr>
        <w:spacing w:after="0" w:line="1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10"/>
          </w:cols>
          <w:pgMar w:left="1170" w:top="201" w:right="1160" w:bottom="169"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As a result of the Merger and Vesting Acceleration, certain Professional Partners Awards were modified from equity-classified to liability-classified awards with changes in fair value generally recorded as incremental equity-based compensation expense through the date of vesting. During the year ended December 31, 2024, the Company recorded $130.3 million of equity-based compensation expense related to the acceleration of the Professional Partners Awards. Of that amount, $69.5 million was related to liability-classified awards.</w:t>
      </w:r>
    </w:p>
    <w:p>
      <w:pPr>
        <w:spacing w:after="0" w:line="181"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In connection with the Vesting Acceleration, the Company paid or accrued a combined $86.6 million in settlement of 6,149,211 ACUs and corresponding shares of Class B common stock. Of that amount, the Company paid $60.6 million in settlement of liability-classified ACUs and $15.7 million for withholding tax payments on equity-classified ACUs and the settlement of other liabilities. These amounts are included within cash flows from operating activities and financing activities, respectively, on the Consolidated Statement of Cash Flows for the year ended December 31, 2024. As of December 31, 2024, $10.3 million of withholding taxes payable is included in Accounts payable, accrued expenses and other liabilities on the Consolidated Statement of Financial Condition.</w:t>
      </w:r>
    </w:p>
    <w:p>
      <w:pPr>
        <w:spacing w:after="0" w:line="184" w:lineRule="exact"/>
        <w:rPr>
          <w:sz w:val="20"/>
          <w:szCs w:val="20"/>
          <w:color w:val="auto"/>
        </w:rPr>
      </w:pPr>
    </w:p>
    <w:p>
      <w:pPr>
        <w:jc w:val="both"/>
        <w:ind w:right="20" w:firstLine="360"/>
        <w:spacing w:after="0" w:line="215" w:lineRule="auto"/>
        <w:rPr>
          <w:sz w:val="20"/>
          <w:szCs w:val="20"/>
          <w:color w:val="auto"/>
        </w:rPr>
      </w:pPr>
      <w:r>
        <w:rPr>
          <w:rFonts w:ascii="Times New Roman" w:cs="Times New Roman" w:eastAsia="Times New Roman" w:hAnsi="Times New Roman"/>
          <w:sz w:val="20"/>
          <w:szCs w:val="20"/>
          <w:color w:val="auto"/>
        </w:rPr>
        <w:t>Prior to the Merger, all of the compensation expense and corresponding capital contribution associated with the Legacy Awards and Professional Partners Awards were allocated to Non-controlling interests on the Consolidated Statements of Operations and Consolidated Statements of Financial Condition as the granting of the Professional Partners Awards did not change Professional Partners’ interest in PWP OpCo and did not economically dilute Perella Weinberg Partners shareholders relative to Professional Partners. As a result of the Merger, the Professional Partners Awards are held directly at PWP OpCo and PWP OpCo as a whole bears the cost of the cash settlement feature of the awards. As a result, subsequent to the Merger, the Company allocated the remaining cost associated with the Professional Partners Awards between Perella Weinberg Partners and non-controlling interests in proportion to their ownership interests, which is consistent with the allocation of the other profit and loss activity of PWP OpCo.</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following table presents the expense related to equity-based awards that were recorded in Professional fees and components of Equity-based compensation included on the Consolidated Statements of Operations: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Professional fees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2,262</w:t>
            </w:r>
          </w:p>
        </w:tc>
      </w:tr>
      <w:tr>
        <w:trPr>
          <w:trHeight w:val="570"/>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Equity-based compensation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PWP Incentive Plan Awards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114,058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104,159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79,542</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Legacy Awards</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13,241</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Professional Partners Awards (equity-classified)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68,542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61,375</w:t>
            </w: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Professional Partners Awards (liability-classified)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69,502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Equity-based compensation </w:t>
            </w:r>
            <w:r>
              <w:rPr>
                <w:rFonts w:ascii="Times New Roman" w:cs="Times New Roman" w:eastAsia="Times New Roman" w:hAnsi="Times New Roman"/>
                <w:sz w:val="20"/>
                <w:szCs w:val="20"/>
                <w:color w:val="B4B4B4"/>
                <w:w w:val="99"/>
              </w:rPr>
              <w:t>......................................................</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258,296</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182,375</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154,158</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27"/>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benefit of equity-based awards </w:t>
            </w:r>
            <w:r>
              <w:rPr>
                <w:rFonts w:ascii="Times New Roman" w:cs="Times New Roman" w:eastAsia="Times New Roman" w:hAnsi="Times New Roman"/>
                <w:sz w:val="20"/>
                <w:szCs w:val="20"/>
                <w:color w:val="B4B4B4"/>
                <w:w w:val="99"/>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19,526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14,485</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-1813560</wp:posOffset>
            </wp:positionV>
            <wp:extent cx="6286500" cy="18351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extLst>
                    </a:blip>
                    <a:srcRect/>
                    <a:stretch>
                      <a:fillRect/>
                    </a:stretch>
                  </pic:blipFill>
                  <pic:spPr bwMode="auto">
                    <a:xfrm>
                      <a:off x="0" y="0"/>
                      <a:ext cx="6286500" cy="183515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12—Other Compensation and Benefits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00"/>
          </w:cols>
          <w:pgMar w:left="1180" w:top="201" w:right="1160" w:bottom="169"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Compensation Programs</w:t>
      </w:r>
    </w:p>
    <w:p>
      <w:pPr>
        <w:spacing w:after="0" w:line="219" w:lineRule="exact"/>
        <w:rPr>
          <w:sz w:val="20"/>
          <w:szCs w:val="20"/>
          <w:color w:val="auto"/>
        </w:rPr>
      </w:pPr>
    </w:p>
    <w:p>
      <w:pPr>
        <w:jc w:val="both"/>
        <w:ind w:right="20" w:firstLine="451"/>
        <w:spacing w:after="0" w:line="216" w:lineRule="auto"/>
        <w:rPr>
          <w:sz w:val="20"/>
          <w:szCs w:val="20"/>
          <w:color w:val="auto"/>
        </w:rPr>
      </w:pPr>
      <w:r>
        <w:rPr>
          <w:rFonts w:ascii="Times New Roman" w:cs="Times New Roman" w:eastAsia="Times New Roman" w:hAnsi="Times New Roman"/>
          <w:sz w:val="20"/>
          <w:szCs w:val="20"/>
          <w:color w:val="auto"/>
        </w:rPr>
        <w:t>From time to time, the Company has offered various deferred compensation plans to certain employees. As of December 31, 2024 and 2023, no deferred compensation liabilities remained outstanding. During the years ended December 31, 2023 and 2022, $2.9 million and $8.5 million, respectively, was settled, of which $1.5 million and $2.6 million, respectively, was settled through a reduction of certain partners’ outstanding promissory notes and interest receivable. Refer to Note 15—Related Party Transactions for more information. There were no forfeitures during the years ended December 31, 2024, 2023, and 2022. Compensation expense related to deferred compensation plans is presented within Compensation and benefits on the Consolidated Statements of Operations and was nominal for the years ended December 31, 2024, 2023, and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Benefit Plans</w:t>
      </w:r>
    </w:p>
    <w:p>
      <w:pPr>
        <w:spacing w:after="0" w:line="219"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$7.0 million, $6.7 million, and $5.8 million for the years ended December 31, 2024, 2023, and 2022, respectively, and are included in Compensation and benefits on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Realignment</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During the second quarter of 2023, the Company began a review of the business, which resulted in headcount reductions in order to improve compensation alignment and to provide greater flexibility to advance strategic opportunities (the “Business Realignment”). In conjunction with the Business Realignment and for the years ended December 31, 2024 and 2023, the Company incurred expenses related to separation and transition benefits of $1.8 million and $22.2 million, respectively, and the acceleration of equity-based compensation amortization (net of forfeitures) of $1.5 million and $15.1 million, respectively. Such amounts are presented in Compensation and benefits and Equity-based compensation on the Consolidated Statements of Operations, respectively. All of the expected Business Realignment costs were incurred as of March 31, 2024.</w:t>
      </w:r>
    </w:p>
    <w:p>
      <w:pPr>
        <w:spacing w:after="0" w:line="184"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Activity within Accrued compensation and benefits on the Consolidated Statements of Financial Condition related to the Business Realignment was as follows:</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3"/>
        </w:trPr>
        <w:tc>
          <w:tcPr>
            <w:tcW w:w="7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r>
              <w:rPr>
                <w:rFonts w:ascii="Times New Roman" w:cs="Times New Roman" w:eastAsia="Times New Roman" w:hAnsi="Times New Roman"/>
                <w:sz w:val="20"/>
                <w:szCs w:val="20"/>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Incurred expenses </w:t>
            </w:r>
            <w:r>
              <w:rPr>
                <w:rFonts w:ascii="Times New Roman" w:cs="Times New Roman" w:eastAsia="Times New Roman" w:hAnsi="Times New Roman"/>
                <w:sz w:val="20"/>
                <w:szCs w:val="20"/>
                <w:color w:val="B4B4B4"/>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37,265</w:t>
            </w: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Non-cash expenses </w:t>
            </w:r>
            <w:r>
              <w:rPr>
                <w:rFonts w:ascii="Times New Roman" w:cs="Times New Roman" w:eastAsia="Times New Roman" w:hAnsi="Times New Roman"/>
                <w:sz w:val="20"/>
                <w:szCs w:val="20"/>
                <w:color w:val="B4B4B4"/>
                <w:w w:val="99"/>
              </w:rPr>
              <w:t>............................................................................................................</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(15,681)</w:t>
            </w:r>
          </w:p>
        </w:tc>
      </w:tr>
      <w:tr>
        <w:trPr>
          <w:trHeight w:val="28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Payments </w:t>
            </w:r>
            <w:r>
              <w:rPr>
                <w:rFonts w:ascii="Times New Roman" w:cs="Times New Roman" w:eastAsia="Times New Roman" w:hAnsi="Times New Roman"/>
                <w:sz w:val="20"/>
                <w:szCs w:val="20"/>
                <w:color w:val="B4B4B4"/>
              </w:rPr>
              <w: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(14,275)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(9,059)</w:t>
            </w:r>
          </w:p>
        </w:tc>
      </w:tr>
      <w:tr>
        <w:trPr>
          <w:trHeight w:val="248"/>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Ending balance </w:t>
            </w:r>
            <w:r>
              <w:rPr>
                <w:rFonts w:ascii="Times New Roman" w:cs="Times New Roman" w:eastAsia="Times New Roman" w:hAnsi="Times New Roman"/>
                <w:sz w:val="20"/>
                <w:szCs w:val="20"/>
                <w:b w:val="1"/>
                <w:bCs w:val="1"/>
                <w:color w:val="B4B4B4"/>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12,525</w:t>
            </w:r>
          </w:p>
        </w:tc>
      </w:tr>
      <w:tr>
        <w:trPr>
          <w:trHeight w:val="20"/>
        </w:trPr>
        <w:tc>
          <w:tcPr>
            <w:tcW w:w="7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180" w:top="201" w:right="1160" w:bottom="169" w:gutter="0" w:footer="0" w:header="0"/>
          <w:type w:val="continuous"/>
        </w:sectPr>
      </w:pPr>
    </w:p>
    <w:bookmarkStart w:id="71" w:name="page72"/>
    <w:bookmarkEnd w:id="7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 13—Net Income (Loss) Per Share Attributable to Class A Common Shareholders</w:t>
      </w:r>
    </w:p>
    <w:p>
      <w:pPr>
        <w:spacing w:after="0" w:line="217"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The calculations of basic and diluted net income (loss) per share attributable to Class A common shareholders are presented below:</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Net income (loss) attributable to Perella Weinberg Partners –</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(17,223)</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17,878</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Dilutive effect from assumed exchange of PWP OpCo Units, net</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(97,775)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(59,197)</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of tax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480" w:type="dxa"/>
            <w:vAlign w:val="bottom"/>
          </w:tcPr>
          <w:p>
            <w:pPr>
              <w:spacing w:after="0" w:line="184" w:lineRule="exact"/>
              <w:rPr>
                <w:sz w:val="20"/>
                <w:szCs w:val="20"/>
                <w:color w:val="auto"/>
              </w:rPr>
            </w:pPr>
            <w:r>
              <w:rPr>
                <w:rFonts w:ascii="Times New Roman" w:cs="Times New Roman" w:eastAsia="Times New Roman" w:hAnsi="Times New Roman"/>
                <w:sz w:val="20"/>
                <w:szCs w:val="20"/>
                <w:color w:val="auto"/>
              </w:rPr>
              <w:t>Net income (loss) attributable to Perella Weinberg Partners –</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(64,728)</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(114,998)</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(41,319)</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43,273,939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43,837,640</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B4B4B4"/>
              </w:rPr>
              <w:t>.................................................................................................</w:t>
            </w: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480" w:type="dxa"/>
            <w:vAlign w:val="bottom"/>
          </w:tcPr>
          <w:p>
            <w:pPr>
              <w:ind w:left="120"/>
              <w:spacing w:after="0" w:line="205" w:lineRule="exact"/>
              <w:rPr>
                <w:sz w:val="20"/>
                <w:szCs w:val="20"/>
                <w:color w:val="auto"/>
              </w:rPr>
            </w:pPr>
            <w:r>
              <w:rPr>
                <w:rFonts w:ascii="Times New Roman" w:cs="Times New Roman" w:eastAsia="Times New Roman" w:hAnsi="Times New Roman"/>
                <w:sz w:val="20"/>
                <w:szCs w:val="20"/>
                <w:color w:val="auto"/>
              </w:rPr>
              <w:t>Weighted average number of incremental shares from assumed</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43,505,113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45,917,992</w:t>
            </w:r>
          </w:p>
        </w:tc>
        <w:tc>
          <w:tcPr>
            <w:tcW w:w="0" w:type="dxa"/>
            <w:vAlign w:val="bottom"/>
          </w:tcPr>
          <w:p>
            <w:pPr>
              <w:spacing w:after="0"/>
              <w:rPr>
                <w:sz w:val="1"/>
                <w:szCs w:val="1"/>
                <w:color w:val="auto"/>
              </w:rPr>
            </w:pPr>
          </w:p>
        </w:tc>
      </w:tr>
      <w:tr>
        <w:trPr>
          <w:trHeight w:val="260"/>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exchange of PWP OpCo Units </w:t>
            </w:r>
            <w:r>
              <w:rPr>
                <w:rFonts w:ascii="Times New Roman" w:cs="Times New Roman" w:eastAsia="Times New Roman" w:hAnsi="Times New Roman"/>
                <w:sz w:val="20"/>
                <w:szCs w:val="20"/>
                <w:color w:val="B4B4B4"/>
                <w:w w:val="99"/>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480" w:type="dxa"/>
            <w:vAlign w:val="bottom"/>
          </w:tcPr>
          <w:p>
            <w:pPr>
              <w:spacing w:after="0" w:line="184" w:lineRule="exact"/>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53,187,995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86,779,052</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89,755,632</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diluted </w:t>
            </w:r>
            <w:r>
              <w:rPr>
                <w:rFonts w:ascii="Times New Roman" w:cs="Times New Roman" w:eastAsia="Times New Roman" w:hAnsi="Times New Roman"/>
                <w:sz w:val="20"/>
                <w:szCs w:val="20"/>
                <w:color w:val="B4B4B4"/>
              </w:rPr>
              <w:t>.................................................................................................</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Net income (loss) per share attributable to Class A common</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Basic </w:t>
            </w:r>
            <w:r>
              <w:rPr>
                <w:rFonts w:ascii="Times New Roman" w:cs="Times New Roman" w:eastAsia="Times New Roman" w:hAnsi="Times New Roman"/>
                <w:sz w:val="20"/>
                <w:szCs w:val="20"/>
                <w:color w:val="B4B4B4"/>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285"/>
        </w:trPr>
        <w:tc>
          <w:tcPr>
            <w:tcW w:w="54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 xml:space="preserve">Diluted </w:t>
            </w:r>
            <w:r>
              <w:rPr>
                <w:rFonts w:ascii="Times New Roman" w:cs="Times New Roman" w:eastAsia="Times New Roman" w:hAnsi="Times New Roman"/>
                <w:sz w:val="20"/>
                <w:szCs w:val="20"/>
                <w:color w:val="B4B4B4"/>
                <w:w w:val="99"/>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-2613660</wp:posOffset>
            </wp:positionV>
            <wp:extent cx="6286500" cy="2635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286500" cy="2635250"/>
                    </a:xfrm>
                    <a:prstGeom prst="rect">
                      <a:avLst/>
                    </a:prstGeom>
                    <a:noFill/>
                  </pic:spPr>
                </pic:pic>
              </a:graphicData>
            </a:graphic>
          </wp:anchor>
        </w:drawing>
      </w:r>
    </w:p>
    <w:p>
      <w:pPr>
        <w:spacing w:after="0" w:line="271" w:lineRule="exact"/>
        <w:rPr>
          <w:sz w:val="20"/>
          <w:szCs w:val="20"/>
          <w:color w:val="auto"/>
        </w:rPr>
      </w:pPr>
    </w:p>
    <w:p>
      <w:pPr>
        <w:jc w:val="both"/>
        <w:ind w:left="10" w:right="20" w:firstLine="360"/>
        <w:spacing w:after="0"/>
        <w:rPr>
          <w:sz w:val="20"/>
          <w:szCs w:val="20"/>
          <w:color w:val="auto"/>
        </w:rPr>
      </w:pPr>
      <w:r>
        <w:rPr>
          <w:rFonts w:ascii="Times New Roman" w:cs="Times New Roman" w:eastAsia="Times New Roman" w:hAnsi="Times New Roman"/>
          <w:sz w:val="20"/>
          <w:szCs w:val="20"/>
          <w:color w:val="auto"/>
        </w:rPr>
        <w:t>Basic and diluted net income (loss) per share attributable to Class B common shareholders has not been presented as these shares are entitled to an insignificant amount of economic participation.</w:t>
      </w:r>
    </w:p>
    <w:p>
      <w:pPr>
        <w:spacing w:after="0" w:line="180" w:lineRule="exact"/>
        <w:rPr>
          <w:sz w:val="20"/>
          <w:szCs w:val="20"/>
          <w:color w:val="auto"/>
        </w:rPr>
      </w:pPr>
    </w:p>
    <w:p>
      <w:pPr>
        <w:jc w:val="both"/>
        <w:ind w:left="10" w:right="20" w:firstLine="360"/>
        <w:spacing w:after="0" w:line="219" w:lineRule="auto"/>
        <w:rPr>
          <w:sz w:val="20"/>
          <w:szCs w:val="20"/>
          <w:color w:val="auto"/>
        </w:rPr>
      </w:pPr>
      <w:r>
        <w:rPr>
          <w:rFonts w:ascii="Times New Roman" w:cs="Times New Roman" w:eastAsia="Times New Roman" w:hAnsi="Times New Roman"/>
          <w:sz w:val="20"/>
          <w:szCs w:val="20"/>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81" w:lineRule="exact"/>
        <w:rPr>
          <w:sz w:val="20"/>
          <w:szCs w:val="20"/>
          <w:color w:val="auto"/>
        </w:rPr>
      </w:pPr>
    </w:p>
    <w:p>
      <w:pPr>
        <w:jc w:val="both"/>
        <w:ind w:left="10" w:right="20" w:firstLine="360"/>
        <w:spacing w:after="0" w:line="229" w:lineRule="auto"/>
        <w:rPr>
          <w:sz w:val="20"/>
          <w:szCs w:val="20"/>
          <w:color w:val="auto"/>
        </w:rPr>
      </w:pPr>
      <w:r>
        <w:rPr>
          <w:rFonts w:ascii="Times New Roman" w:cs="Times New Roman" w:eastAsia="Times New Roman" w:hAnsi="Times New Roman"/>
          <w:sz w:val="20"/>
          <w:szCs w:val="20"/>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34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140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8"/>
        </w:trPr>
        <w:tc>
          <w:tcPr>
            <w:tcW w:w="5480" w:type="dxa"/>
            <w:vAlign w:val="bottom"/>
          </w:tcPr>
          <w:p>
            <w:pPr>
              <w:jc w:val="right"/>
              <w:spacing w:after="0" w:line="268" w:lineRule="exact"/>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Warrants</w:t>
            </w:r>
            <w:r>
              <w:rPr>
                <w:rFonts w:ascii="Times New Roman" w:cs="Times New Roman" w:eastAsia="Times New Roman" w:hAnsi="Times New Roman"/>
                <w:sz w:val="26"/>
                <w:szCs w:val="26"/>
                <w:color w:val="000000"/>
                <w:w w:val="99"/>
                <w:vertAlign w:val="superscript"/>
              </w:rPr>
              <w:t>(1)</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3"/>
                <w:szCs w:val="23"/>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PWP OpCo Units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34,588,419</w:t>
            </w:r>
          </w:p>
        </w:tc>
        <w:tc>
          <w:tcPr>
            <w:tcW w:w="60" w:type="dxa"/>
            <w:vAlign w:val="bottom"/>
          </w:tcPr>
          <w:p>
            <w:pPr>
              <w:spacing w:after="0"/>
              <w:rPr>
                <w:sz w:val="24"/>
                <w:szCs w:val="24"/>
                <w:color w:val="auto"/>
              </w:rPr>
            </w:pPr>
          </w:p>
        </w:tc>
        <w:tc>
          <w:tcPr>
            <w:tcW w:w="188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PWP Incentive Plan Awards </w:t>
            </w:r>
            <w:r>
              <w:rPr>
                <w:rFonts w:ascii="Times New Roman" w:cs="Times New Roman" w:eastAsia="Times New Roman" w:hAnsi="Times New Roman"/>
                <w:sz w:val="20"/>
                <w:szCs w:val="20"/>
                <w:color w:val="B4B4B4"/>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10,941,161</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2,186,189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369,413</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w:t>
            </w:r>
            <w:r>
              <w:rPr>
                <w:rFonts w:ascii="Times New Roman" w:cs="Times New Roman" w:eastAsia="Times New Roman" w:hAnsi="Times New Roman"/>
                <w:sz w:val="20"/>
                <w:szCs w:val="20"/>
                <w:color w:val="B4B4B4"/>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45,529,580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2,186,189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369,413</w:t>
            </w:r>
          </w:p>
        </w:tc>
      </w:tr>
      <w:tr>
        <w:trPr>
          <w:trHeight w:val="20"/>
        </w:trPr>
        <w:tc>
          <w:tcPr>
            <w:tcW w:w="54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286500" cy="774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286500" cy="7747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jc w:val="both"/>
        <w:ind w:left="370" w:hanging="370"/>
        <w:spacing w:after="0" w:line="255" w:lineRule="auto"/>
        <w:tabs>
          <w:tab w:leader="none" w:pos="37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Warrant Exchange Offer on August 23, 2022, the warrants were out-of-the-money which resulted in no potentially dilutive shares under the treasury stock method. For the years ended December 31, 2024 and 2023, the warrants were not outstanding, and thus they are not applicable. Refer to Note 10—Stockholders’ Equity and Redeemable Non-Controlling Interests for further information regarding the Warrant Exchange Offer.</w:t>
      </w:r>
    </w:p>
    <w:p>
      <w:pPr>
        <w:sectPr>
          <w:pgSz w:w="12240" w:h="15840" w:orient="portrait"/>
          <w:cols w:equalWidth="0" w:num="1">
            <w:col w:w="9910"/>
          </w:cols>
          <w:pgMar w:left="117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10"/>
          </w:cols>
          <w:pgMar w:left="1170" w:top="201" w:right="1160" w:bottom="169"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14—Fair Value Measurements and Investments</w:t>
      </w:r>
    </w:p>
    <w:p>
      <w:pPr>
        <w:spacing w:after="0" w:line="217"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in one of the following categories (from highest to lowest) based on inputs:</w:t>
      </w:r>
    </w:p>
    <w:p>
      <w:pPr>
        <w:spacing w:after="0" w:line="180" w:lineRule="exact"/>
        <w:rPr>
          <w:sz w:val="20"/>
          <w:szCs w:val="20"/>
          <w:color w:val="auto"/>
        </w:rPr>
      </w:pPr>
    </w:p>
    <w:p>
      <w:pPr>
        <w:ind w:left="720" w:right="400"/>
        <w:spacing w:after="0"/>
        <w:rPr>
          <w:sz w:val="20"/>
          <w:szCs w:val="20"/>
          <w:color w:val="auto"/>
        </w:rPr>
      </w:pPr>
      <w:r>
        <w:rPr>
          <w:rFonts w:ascii="Times New Roman" w:cs="Times New Roman" w:eastAsia="Times New Roman" w:hAnsi="Times New Roman"/>
          <w:sz w:val="20"/>
          <w:szCs w:val="20"/>
          <w:color w:val="auto"/>
        </w:rPr>
        <w:t>Level 1—Unadjusted quoted prices are available in active markets for identical financial instruments as of the reporting date.</w:t>
      </w:r>
    </w:p>
    <w:p>
      <w:pPr>
        <w:spacing w:after="0" w:line="180" w:lineRule="exact"/>
        <w:rPr>
          <w:sz w:val="20"/>
          <w:szCs w:val="20"/>
          <w:color w:val="auto"/>
        </w:rPr>
      </w:pPr>
    </w:p>
    <w:p>
      <w:pPr>
        <w:ind w:left="720" w:right="140"/>
        <w:spacing w:after="0" w:line="229" w:lineRule="auto"/>
        <w:rPr>
          <w:sz w:val="20"/>
          <w:szCs w:val="20"/>
          <w:color w:val="auto"/>
        </w:rPr>
      </w:pPr>
      <w:r>
        <w:rPr>
          <w:rFonts w:ascii="Times New Roman" w:cs="Times New Roman" w:eastAsia="Times New Roman" w:hAnsi="Times New Roman"/>
          <w:sz w:val="20"/>
          <w:szCs w:val="20"/>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82" w:lineRule="exact"/>
        <w:rPr>
          <w:sz w:val="20"/>
          <w:szCs w:val="20"/>
          <w:color w:val="auto"/>
        </w:rPr>
      </w:pPr>
    </w:p>
    <w:p>
      <w:pPr>
        <w:ind w:left="720" w:right="120"/>
        <w:spacing w:after="0" w:line="229" w:lineRule="auto"/>
        <w:rPr>
          <w:sz w:val="20"/>
          <w:szCs w:val="20"/>
          <w:color w:val="auto"/>
        </w:rPr>
      </w:pPr>
      <w:r>
        <w:rPr>
          <w:rFonts w:ascii="Times New Roman" w:cs="Times New Roman" w:eastAsia="Times New Roman" w:hAnsi="Times New Roman"/>
          <w:sz w:val="20"/>
          <w:szCs w:val="20"/>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2"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As of December 31, 2024 and 2023, the fair values of cash, restricted cash, accounts receivable, due from related parties, accounts payable and certain accrued liabilities approximate their carrying amounts due to the short-term nature of these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1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following table summarizes the categorization and fair value estimate of the Company’s financial instruments that are measured on a recurring basis pursuant to the above fair value hierarchy levels as of December 31, 2024 and 2023:</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U.S. Treasury securities </w:t>
            </w:r>
            <w:r>
              <w:rPr>
                <w:rFonts w:ascii="Times New Roman" w:cs="Times New Roman" w:eastAsia="Times New Roman" w:hAnsi="Times New Roman"/>
                <w:sz w:val="20"/>
                <w:szCs w:val="20"/>
                <w:color w:val="B4B4B4"/>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95,994</w:t>
            </w:r>
          </w:p>
        </w:tc>
        <w:tc>
          <w:tcPr>
            <w:tcW w:w="0" w:type="dxa"/>
            <w:vAlign w:val="bottom"/>
          </w:tcPr>
          <w:p>
            <w:pPr>
              <w:spacing w:after="0"/>
              <w:rPr>
                <w:sz w:val="1"/>
                <w:szCs w:val="1"/>
                <w:color w:val="auto"/>
              </w:rPr>
            </w:pPr>
          </w:p>
        </w:tc>
      </w:tr>
      <w:tr>
        <w:trPr>
          <w:trHeight w:val="628"/>
        </w:trPr>
        <w:tc>
          <w:tcPr>
            <w:tcW w:w="4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3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8"/>
        </w:trPr>
        <w:tc>
          <w:tcPr>
            <w:tcW w:w="4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4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U.S. Treasury securities </w:t>
            </w:r>
            <w:r>
              <w:rPr>
                <w:rFonts w:ascii="Times New Roman" w:cs="Times New Roman" w:eastAsia="Times New Roman" w:hAnsi="Times New Roman"/>
                <w:sz w:val="20"/>
                <w:szCs w:val="20"/>
                <w:color w:val="B4B4B4"/>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-1124585</wp:posOffset>
            </wp:positionV>
            <wp:extent cx="63119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had no transfers between fair value levels during each of the years ended December 31, 2024 and 2023.</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00"/>
          </w:cols>
          <w:pgMar w:left="1180" w:top="201" w:right="1160" w:bottom="169"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As of December 31, 2024 and 2023, the Company held investments in U.S. Treasury securities with original maturities greater than three months from the date of purchase, which are presented at fair value as Investments in short-term marketable debt securities on the Consolidated Statements of Financial Condition. These investments had an aggregate cost basis of $74.9 million and $89.3 million as of December 31, 2024 and 2023, respectively. As of December 31, 2024, the Company also held $20.2 million of investments in U.S. Treasury securities with original maturities of three months or less from the date of purchase, which are presented within Cash and cash equivalents on the Consolidated Statements of Financial Condition. The Company had $1.5 million, $2.7 million, and $1.4 million of interest income and net unrealized gains (losses) on these investments for the years ended December 31, 2024, 2023, and 2022, respectively, which is included in Other income (expense) on the Consolidated Statements of Operations.</w:t>
      </w:r>
    </w:p>
    <w:p>
      <w:pPr>
        <w:spacing w:after="0" w:line="186"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On December 13, 2022, the Company wrote off its equity method investment in PFAC Holdings I LLC (“PFAC Holdings”), an indirect parent of PWP Forward Acquisition Corp. I (“PFAC”), a special purpose acquisition company. During the year ended December 31, 2022, the Company recorded a $1.3 million net loss from its share of PFAC earnings net of the investment write off. This amount is reported in Other income (expense) on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PWP Capital Holdings LP</w:t>
      </w:r>
    </w:p>
    <w:p>
      <w:pPr>
        <w:spacing w:after="0" w:line="219" w:lineRule="exact"/>
        <w:rPr>
          <w:sz w:val="20"/>
          <w:szCs w:val="20"/>
          <w:color w:val="auto"/>
        </w:rPr>
      </w:pPr>
    </w:p>
    <w:p>
      <w:pPr>
        <w:jc w:val="both"/>
        <w:ind w:right="20" w:firstLine="360"/>
        <w:spacing w:after="0" w:line="214" w:lineRule="auto"/>
        <w:rPr>
          <w:sz w:val="20"/>
          <w:szCs w:val="20"/>
          <w:color w:val="auto"/>
        </w:rPr>
      </w:pPr>
      <w:r>
        <w:rPr>
          <w:rFonts w:ascii="Times New Roman" w:cs="Times New Roman" w:eastAsia="Times New Roman" w:hAnsi="Times New Roman"/>
          <w:sz w:val="20"/>
          <w:szCs w:val="20"/>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In connection with the Separation, the Company entered into a transition services agreement (the “TSA”) with Capital Holdings under which the Company agreed to provide certain administrative services to Capital Holdings. The TSA was terminated as of January 1, 2024. The Company also subleased certain portions of its office space to Capital Holdings through October 2023. Income earned from Capital Holdings related to the TSA and the sublease is presented within Related party income on the Consolidated Statements of Operations. Amounts due from Capital Holdings are reflected in Due from related parties on the Consolidated Statements of Financial Condition as of December 31, 2023, with no amounts due as of December 31, 2024.</w:t>
      </w:r>
    </w:p>
    <w:p>
      <w:pPr>
        <w:spacing w:after="0" w:line="189"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Separately,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180" w:top="201" w:right="1160" w:bottom="169"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19"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December 31, 2024, the Company had an amount due of $65.5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880" w:type="dxa"/>
            <w:vAlign w:val="bottom"/>
          </w:tcPr>
          <w:p>
            <w:pPr>
              <w:spacing w:after="0"/>
              <w:rPr>
                <w:sz w:val="22"/>
                <w:szCs w:val="22"/>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 Payments</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Under Tax</w:t>
            </w:r>
          </w:p>
        </w:tc>
      </w:tr>
      <w:tr>
        <w:trPr>
          <w:trHeight w:val="260"/>
        </w:trPr>
        <w:tc>
          <w:tcPr>
            <w:tcW w:w="7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Receivable</w:t>
            </w:r>
          </w:p>
        </w:tc>
      </w:tr>
      <w:tr>
        <w:trPr>
          <w:trHeight w:val="265"/>
        </w:trPr>
        <w:tc>
          <w:tcPr>
            <w:tcW w:w="7880" w:type="dxa"/>
            <w:vAlign w:val="bottom"/>
          </w:tcPr>
          <w:p>
            <w:pPr>
              <w:jc w:val="right"/>
              <w:ind w:right="6540"/>
              <w:spacing w:after="0"/>
              <w:rPr>
                <w:sz w:val="20"/>
                <w:szCs w:val="20"/>
                <w:color w:val="auto"/>
              </w:rPr>
            </w:pPr>
            <w:r>
              <w:rPr>
                <w:rFonts w:ascii="Times New Roman" w:cs="Times New Roman" w:eastAsia="Times New Roman" w:hAnsi="Times New Roman"/>
                <w:sz w:val="20"/>
                <w:szCs w:val="20"/>
                <w:b w:val="1"/>
                <w:bCs w:val="1"/>
                <w:color w:val="auto"/>
                <w:w w:val="98"/>
              </w:rPr>
              <w:t>Years Ending:</w:t>
            </w:r>
          </w:p>
        </w:tc>
        <w:tc>
          <w:tcPr>
            <w:tcW w:w="3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Agreement</w:t>
            </w:r>
          </w:p>
        </w:tc>
      </w:tr>
      <w:tr>
        <w:trPr>
          <w:trHeight w:val="264"/>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2025</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2026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2027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2028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2029 </w:t>
            </w:r>
            <w:r>
              <w:rPr>
                <w:rFonts w:ascii="Times New Roman" w:cs="Times New Roman" w:eastAsia="Times New Roman" w:hAnsi="Times New Roman"/>
                <w:sz w:val="20"/>
                <w:szCs w:val="20"/>
                <w:color w:val="B4B4B4"/>
              </w:rPr>
              <w:t>..................................................................................................................................................</w:t>
            </w:r>
          </w:p>
        </w:tc>
        <w:tc>
          <w:tcPr>
            <w:tcW w:w="3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w:t>
            </w:r>
          </w:p>
        </w:tc>
      </w:tr>
      <w:tr>
        <w:trPr>
          <w:trHeight w:val="285"/>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Thereafter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50,066</w:t>
            </w:r>
          </w:p>
        </w:tc>
      </w:tr>
      <w:tr>
        <w:trPr>
          <w:trHeight w:val="248"/>
        </w:trPr>
        <w:tc>
          <w:tcPr>
            <w:tcW w:w="7880" w:type="dxa"/>
            <w:vAlign w:val="bottom"/>
          </w:tcPr>
          <w:p>
            <w:pPr>
              <w:jc w:val="right"/>
              <w:spacing w:after="0"/>
              <w:rPr>
                <w:sz w:val="20"/>
                <w:szCs w:val="20"/>
                <w:color w:val="auto"/>
              </w:rPr>
            </w:pPr>
            <w:r>
              <w:rPr>
                <w:rFonts w:ascii="Times New Roman" w:cs="Times New Roman" w:eastAsia="Times New Roman" w:hAnsi="Times New Roman"/>
                <w:sz w:val="20"/>
                <w:szCs w:val="20"/>
                <w:color w:val="B4B4B4"/>
              </w:rPr>
              <w:t>...................................................................................................................................</w:t>
            </w:r>
            <w:r>
              <w:rPr>
                <w:rFonts w:ascii="Times New Roman" w:cs="Times New Roman" w:eastAsia="Times New Roman" w:hAnsi="Times New Roman"/>
                <w:sz w:val="20"/>
                <w:szCs w:val="20"/>
                <w:color w:val="000000"/>
              </w:rPr>
              <w:t>Totalpayments</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65,493</w:t>
            </w: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Partner Promissory Notes and Other Partner Loans</w:t>
      </w:r>
    </w:p>
    <w:p>
      <w:pPr>
        <w:spacing w:after="0" w:line="219" w:lineRule="exact"/>
        <w:rPr>
          <w:sz w:val="20"/>
          <w:szCs w:val="20"/>
          <w:color w:val="auto"/>
        </w:rPr>
      </w:pPr>
    </w:p>
    <w:p>
      <w:pPr>
        <w:jc w:val="both"/>
        <w:ind w:right="20" w:firstLine="360"/>
        <w:spacing w:after="0" w:line="217" w:lineRule="auto"/>
        <w:rPr>
          <w:sz w:val="20"/>
          <w:szCs w:val="20"/>
          <w:color w:val="auto"/>
        </w:rPr>
      </w:pPr>
      <w:r>
        <w:rPr>
          <w:rFonts w:ascii="Times New Roman" w:cs="Times New Roman" w:eastAsia="Times New Roman" w:hAnsi="Times New Roman"/>
          <w:sz w:val="20"/>
          <w:szCs w:val="20"/>
          <w:color w:val="auto"/>
        </w:rPr>
        <w:t>The Company loaned money pursuant to promissory note agreements (the “Partner Promissory Notes”) to certain partners. The Partner Promissory 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Consolidated Statements of Financial Condition in the amounts of $0.1 million and $2.1 million as of December 31, 2024 and 2023, respectively.</w:t>
      </w:r>
    </w:p>
    <w:p>
      <w:pPr>
        <w:spacing w:after="0" w:line="184"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From time to time, PWP OpCo and certain of its subsidiaries have agreed to provide loans to certain partners. As of December 31, 2024 and 2023, $0.6 million and $3.5 million, respectively, of outstanding loans to certain partners and related interest receivable are recognized in Due from related parties on the Consolidated Statements of Financial Condition.</w:t>
      </w:r>
    </w:p>
    <w:p>
      <w:pPr>
        <w:spacing w:after="0" w:line="181"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During the year ended December 31, 2024, $1.1 million of principal and interest related to these Partner Promissory Notes and other partner loans was repaid with cash and an additional $3.9 million was effectively repaid through the cancellation of PWP OpCo units held by such partners. During the years ended December 31, 2023 and 2022, $1.5 million and $2.6 million, respectively, was effectively repaid by foregoing the amount due to such partners under deferred compensation agreements.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80" w:top="201" w:right="1160" w:bottom="169"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Related Party Transactions</w:t>
      </w:r>
    </w:p>
    <w:p>
      <w:pPr>
        <w:spacing w:after="0" w:line="219" w:lineRule="exact"/>
        <w:rPr>
          <w:sz w:val="20"/>
          <w:szCs w:val="20"/>
          <w:color w:val="auto"/>
        </w:rPr>
      </w:pPr>
    </w:p>
    <w:p>
      <w:pPr>
        <w:jc w:val="both"/>
        <w:ind w:right="20" w:firstLine="360"/>
        <w:spacing w:after="0" w:line="219" w:lineRule="auto"/>
        <w:rPr>
          <w:sz w:val="20"/>
          <w:szCs w:val="20"/>
          <w:color w:val="auto"/>
        </w:rPr>
      </w:pPr>
      <w:r>
        <w:rPr>
          <w:rFonts w:ascii="Times New Roman" w:cs="Times New Roman" w:eastAsia="Times New Roman" w:hAnsi="Times New Roman"/>
          <w:sz w:val="20"/>
          <w:szCs w:val="20"/>
          <w:color w:val="auto"/>
        </w:rPr>
        <w:t>The Merger on April 1, 2024 was effected to simplify the structure for the partners in Professional Partners with respect to their indirect interests in PWP OpCo. The purpose of the related Vesting Acceleration was to facilitate the payment of taxes associated with ACU vesting to align with the treatment of vested restricted stock units of the Company. Certain holders of these interests in PWP OpCo, including holders of Accelerated Units, are directors and officers of the Company. Refer to Note 11—Equity-Based Compensation for additional information on the Merger and related transactions.</w:t>
      </w:r>
    </w:p>
    <w:p>
      <w:pPr>
        <w:spacing w:after="0" w:line="181" w:lineRule="exact"/>
        <w:rPr>
          <w:sz w:val="20"/>
          <w:szCs w:val="20"/>
          <w:color w:val="auto"/>
        </w:rPr>
      </w:pPr>
    </w:p>
    <w:p>
      <w:pPr>
        <w:jc w:val="both"/>
        <w:ind w:right="20" w:firstLine="360"/>
        <w:spacing w:after="0" w:line="221" w:lineRule="auto"/>
        <w:rPr>
          <w:sz w:val="20"/>
          <w:szCs w:val="20"/>
          <w:color w:val="auto"/>
        </w:rPr>
      </w:pPr>
      <w:r>
        <w:rPr>
          <w:rFonts w:ascii="Times New Roman" w:cs="Times New Roman" w:eastAsia="Times New Roman" w:hAnsi="Times New Roman"/>
          <w:sz w:val="20"/>
          <w:szCs w:val="20"/>
          <w:color w:val="auto"/>
        </w:rPr>
        <w:t>Prior to the Merger, the Company’s U.K. subsidiary, Perella Weinberg UK Limited, as well as Professional Partners and certain partners (including one partner who serves as a Company director and president) were party to a reimbursement agreement, pursuant to which such partners directed Professional Partners to pay distributions related to certain of their Professional Partners Awards first to a subsidiary of the Company, so that the subsidiary could make employment income tax payments on such distributions to the appropriate non-U.S.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Indemnifications</w:t>
      </w:r>
    </w:p>
    <w:p>
      <w:pPr>
        <w:spacing w:after="0" w:line="219"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enters into certain contracts that contain a variety of indemnification provisions. The Company’s maximum exposure under these arrangements is unknown. As of December 31, 2024 and 2023, the Company expects no claims or losses pursuant to these contracts; therefore, no liability has been recorded related to these indemnification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Contingencies</w:t>
      </w:r>
    </w:p>
    <w:p>
      <w:pPr>
        <w:spacing w:after="0" w:line="219"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2024 and 2023 and for the years ended December 31, 2024, 2023, and 2022.</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In 2015, the Company filed a complaint against three former partners and one former employee which alleges they entered into a scheme while at PWP to lift out the Company’s restructuring group to form a new competing firm that they were secretly forming in breach of their contractual and fiduciary duties. The complaint contains 14 causes of action and seeks declaratory relief as well as damages. Trial started on January 24, 2025 and is scheduled to end on March 7, 2025.</w:t>
      </w:r>
    </w:p>
    <w:p>
      <w:pPr>
        <w:spacing w:after="0" w:line="181"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years ended December 31, 2024, 2023, and 2022, the Company incurred $10.2 million, $2.1 million, and $0.6 million, respectively, in legal and professional fees, net of expected insurance reimbursement, related to this litigation. These litigation costs are included in Professional fees on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17—Segment and Geographic Information</w:t>
      </w:r>
    </w:p>
    <w:p>
      <w:pPr>
        <w:spacing w:after="0" w:line="217" w:lineRule="exact"/>
        <w:rPr>
          <w:sz w:val="20"/>
          <w:szCs w:val="20"/>
          <w:color w:val="auto"/>
        </w:rPr>
      </w:pPr>
    </w:p>
    <w:p>
      <w:pPr>
        <w:jc w:val="both"/>
        <w:ind w:right="20" w:firstLine="360"/>
        <w:spacing w:after="0" w:line="216" w:lineRule="auto"/>
        <w:rPr>
          <w:sz w:val="20"/>
          <w:szCs w:val="20"/>
          <w:color w:val="auto"/>
        </w:rPr>
      </w:pPr>
      <w:r>
        <w:rPr>
          <w:rFonts w:ascii="Times New Roman" w:cs="Times New Roman" w:eastAsia="Times New Roman" w:hAnsi="Times New Roman"/>
          <w:sz w:val="20"/>
          <w:szCs w:val="20"/>
          <w:color w:val="auto"/>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spacing w:after="0" w:line="18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 Operations.</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00"/>
          </w:cols>
          <w:pgMar w:left="1180" w:top="201" w:right="1160" w:bottom="169"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Perella Weinberg Partners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Amounts and Where Otherwise Noted)</w:t>
      </w:r>
    </w:p>
    <w:p>
      <w:pPr>
        <w:spacing w:after="0" w:line="200" w:lineRule="exact"/>
        <w:rPr>
          <w:sz w:val="20"/>
          <w:szCs w:val="20"/>
          <w:color w:val="auto"/>
        </w:rPr>
      </w:pPr>
    </w:p>
    <w:p>
      <w:pPr>
        <w:spacing w:after="0" w:line="243"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 Significant Accounting Policies.</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During the year ended December 31, 2024, revenues of $99.9 million from one individual client accounted for more than 10% of aggregate revenues. There was no individual client that accounted for more than 10% of aggregate revenues for the years ended December 31, 2023 and 2022.</w:t>
      </w:r>
    </w:p>
    <w:p>
      <w:pPr>
        <w:spacing w:after="0" w:line="182"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80" w:type="dxa"/>
            <w:vAlign w:val="bottom"/>
            <w:tcBorders>
              <w:bottom w:val="single" w:sz="8" w:color="auto"/>
            </w:tcBorders>
          </w:tcPr>
          <w:p>
            <w:pPr>
              <w:spacing w:after="0"/>
              <w:rPr>
                <w:sz w:val="23"/>
                <w:szCs w:val="23"/>
                <w:color w:val="auto"/>
              </w:rPr>
            </w:pPr>
          </w:p>
        </w:tc>
      </w:tr>
      <w:tr>
        <w:trPr>
          <w:trHeight w:val="263"/>
        </w:trPr>
        <w:tc>
          <w:tcPr>
            <w:tcW w:w="5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4"/>
        </w:trPr>
        <w:tc>
          <w:tcPr>
            <w:tcW w:w="5480" w:type="dxa"/>
            <w:vAlign w:val="bottom"/>
          </w:tcPr>
          <w:p>
            <w:pPr>
              <w:jc w:val="right"/>
              <w:ind w:right="4560"/>
              <w:spacing w:after="0"/>
              <w:rPr>
                <w:sz w:val="20"/>
                <w:szCs w:val="20"/>
                <w:color w:val="auto"/>
              </w:rPr>
            </w:pPr>
            <w:r>
              <w:rPr>
                <w:rFonts w:ascii="Times New Roman" w:cs="Times New Roman" w:eastAsia="Times New Roman" w:hAnsi="Times New Roman"/>
                <w:sz w:val="20"/>
                <w:szCs w:val="20"/>
                <w:b w:val="1"/>
                <w:bCs w:val="1"/>
                <w:color w:val="auto"/>
                <w:w w:val="98"/>
              </w:rPr>
              <w:t>Revenues</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85"/>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United States </w:t>
            </w:r>
            <w:r>
              <w:rPr>
                <w:rFonts w:ascii="Times New Roman" w:cs="Times New Roman" w:eastAsia="Times New Roman" w:hAnsi="Times New Roman"/>
                <w:sz w:val="20"/>
                <w:szCs w:val="20"/>
                <w:color w:val="B4B4B4"/>
              </w:rPr>
              <w:t>....................................................................................</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753,486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530,284</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477,990</w:t>
            </w:r>
          </w:p>
        </w:tc>
      </w:tr>
      <w:tr>
        <w:trPr>
          <w:trHeight w:val="286"/>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B4B4B4"/>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124,553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118,368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153,517</w:t>
            </w:r>
          </w:p>
        </w:tc>
      </w:tr>
      <w:tr>
        <w:trPr>
          <w:trHeight w:val="248"/>
        </w:trPr>
        <w:tc>
          <w:tcPr>
            <w:tcW w:w="5480" w:type="dxa"/>
            <w:vAlign w:val="bottom"/>
          </w:tcPr>
          <w:p>
            <w:pPr>
              <w:jc w:val="right"/>
              <w:spacing w:after="0"/>
              <w:rPr>
                <w:sz w:val="20"/>
                <w:szCs w:val="20"/>
                <w:color w:val="auto"/>
              </w:rPr>
            </w:pPr>
            <w:r>
              <w:rPr>
                <w:rFonts w:ascii="Times New Roman" w:cs="Times New Roman" w:eastAsia="Times New Roman" w:hAnsi="Times New Roman"/>
                <w:sz w:val="20"/>
                <w:szCs w:val="20"/>
                <w:color w:val="B4B4B4"/>
                <w:w w:val="99"/>
              </w:rPr>
              <w:t>....................................................................................................</w:t>
            </w:r>
            <w:r>
              <w:rPr>
                <w:rFonts w:ascii="Times New Roman" w:cs="Times New Roman" w:eastAsia="Times New Roman" w:hAnsi="Times New Roman"/>
                <w:sz w:val="20"/>
                <w:szCs w:val="20"/>
                <w:color w:val="000000"/>
                <w:w w:val="99"/>
              </w:rPr>
              <w:t>Total</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878,039</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648,652</w:t>
            </w:r>
          </w:p>
        </w:tc>
        <w:tc>
          <w:tcPr>
            <w:tcW w:w="60" w:type="dxa"/>
            <w:vAlign w:val="bottom"/>
          </w:tcPr>
          <w:p>
            <w:pPr>
              <w:spacing w:after="0"/>
              <w:rPr>
                <w:sz w:val="21"/>
                <w:szCs w:val="21"/>
                <w:color w:val="auto"/>
              </w:rPr>
            </w:pPr>
          </w:p>
        </w:tc>
        <w:tc>
          <w:tcPr>
            <w:tcW w:w="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631,507</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286500" cy="593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6286500" cy="593725"/>
                    </a:xfrm>
                    <a:prstGeom prst="rect">
                      <a:avLst/>
                    </a:prstGeom>
                    <a:noFill/>
                  </pic:spPr>
                </pic:pic>
              </a:graphicData>
            </a:graphic>
          </wp:anchor>
        </w:drawing>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0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5"/>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United States</w:t>
            </w:r>
            <w:r>
              <w:rPr>
                <w:rFonts w:ascii="Times New Roman" w:cs="Times New Roman" w:eastAsia="Times New Roman" w:hAnsi="Times New Roman"/>
                <w:sz w:val="20"/>
                <w:szCs w:val="20"/>
                <w:color w:val="B4B4B4"/>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687,784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569,332</w:t>
            </w:r>
          </w:p>
        </w:tc>
        <w:tc>
          <w:tcPr>
            <w:tcW w:w="0" w:type="dxa"/>
            <w:vAlign w:val="bottom"/>
          </w:tcPr>
          <w:p>
            <w:pPr>
              <w:spacing w:after="0"/>
              <w:rPr>
                <w:sz w:val="1"/>
                <w:szCs w:val="1"/>
                <w:color w:val="auto"/>
              </w:rPr>
            </w:pPr>
          </w:p>
        </w:tc>
      </w:tr>
      <w:tr>
        <w:trPr>
          <w:trHeight w:val="264"/>
        </w:trPr>
        <w:tc>
          <w:tcPr>
            <w:tcW w:w="7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International</w:t>
            </w:r>
            <w:r>
              <w:rPr>
                <w:rFonts w:ascii="Times New Roman" w:cs="Times New Roman" w:eastAsia="Times New Roman" w:hAnsi="Times New Roman"/>
                <w:sz w:val="20"/>
                <w:szCs w:val="20"/>
                <w:color w:val="B4B4B4"/>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188,967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191,776</w:t>
            </w:r>
          </w:p>
        </w:tc>
        <w:tc>
          <w:tcPr>
            <w:tcW w:w="0" w:type="dxa"/>
            <w:vAlign w:val="bottom"/>
          </w:tcPr>
          <w:p>
            <w:pPr>
              <w:spacing w:after="0"/>
              <w:rPr>
                <w:sz w:val="1"/>
                <w:szCs w:val="1"/>
                <w:color w:val="auto"/>
              </w:rPr>
            </w:pPr>
          </w:p>
        </w:tc>
      </w:tr>
      <w:tr>
        <w:trPr>
          <w:trHeight w:val="26"/>
        </w:trPr>
        <w:tc>
          <w:tcPr>
            <w:tcW w:w="7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vMerge w:val="continue"/>
          </w:tcPr>
          <w:p>
            <w:pPr>
              <w:jc w:val="right"/>
              <w:spacing w:after="0" w:line="179" w:lineRule="exact"/>
              <w:rPr>
                <w:sz w:val="20"/>
                <w:szCs w:val="20"/>
                <w:color w:val="auto"/>
              </w:rPr>
            </w:pPr>
            <w:r>
              <w:rPr>
                <w:rFonts w:ascii="Times New Roman" w:cs="Times New Roman" w:eastAsia="Times New Roman" w:hAnsi="Times New Roman"/>
                <w:sz w:val="20"/>
                <w:szCs w:val="20"/>
                <w:color w:val="B4B4B4"/>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876,751</w:t>
            </w:r>
          </w:p>
        </w:tc>
        <w:tc>
          <w:tcPr>
            <w:tcW w:w="60" w:type="dxa"/>
            <w:vAlign w:val="bottom"/>
            <w:vMerge w:val="continue"/>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761,108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the years ended December 31, 2024, 2023, and 2022, no country other than the United States had revenues which individually represented more than 10% of the Company’s total revenues.</w:t>
      </w:r>
    </w:p>
    <w:p>
      <w:pPr>
        <w:spacing w:after="0" w:line="180"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For the years ended December 31, 2024, 2023, and 2022, the U.K. was the only country other than the United States that had assets which individually represented more than 10% of the Company’s total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18—Subsequent Events</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evaluated subsequent events through the issuance date of these consolidated financial statements.</w:t>
      </w:r>
    </w:p>
    <w:p>
      <w:pPr>
        <w:spacing w:after="0" w:line="21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On January 1, 2025, the total shares reserved and available for future issuance under the PWP Incentive Plan increased to 12,996,348 in accordance with the terms of such plan, and on February 14, 2025, the Company granted 5,083,129 RSUs to certain employees and executive officers pursuant to such plan.</w:t>
      </w:r>
    </w:p>
    <w:p>
      <w:pPr>
        <w:spacing w:after="0" w:line="182"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On February 5, 2025, the Company’s Board of Directors declared a cash dividend of $0.07 per outstanding share of Class A common stock. This dividend will be paid on March 10, 2025 to Class A common stockholders of record on February 18, 2025. Holders of Class B common stock will also receive dividends equal to the amount of dividends made on 0.001 shares of Class A common stock.</w:t>
      </w:r>
    </w:p>
    <w:p>
      <w:pPr>
        <w:sectPr>
          <w:pgSz w:w="12240" w:h="15840" w:orient="portrait"/>
          <w:cols w:equalWidth="0" w:num="1">
            <w:col w:w="9900"/>
          </w:cols>
          <w:pgMar w:left="1180" w:top="20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80" w:top="201" w:right="1160" w:bottom="169"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Evaluation of Disclosure Controls and Procedures</w:t>
      </w:r>
    </w:p>
    <w:p>
      <w:pPr>
        <w:spacing w:after="0" w:line="219"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2024.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1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20"/>
          <w:szCs w:val="20"/>
          <w:color w:val="auto"/>
        </w:rPr>
        <w:t>Management is responsible for designing, implementing and maintaining adequate internal control over financial reporting, as such term is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84"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 xml:space="preserve">Management has assessed the effectiveness of its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Internal Control-Integrated Framework (2013) issued by the Committee of Sponsoring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Organizations of the Treadway Commission</w:t>
      </w:r>
      <w:r>
        <w:rPr>
          <w:rFonts w:ascii="Times New Roman" w:cs="Times New Roman" w:eastAsia="Times New Roman" w:hAnsi="Times New Roman"/>
          <w:sz w:val="20"/>
          <w:szCs w:val="20"/>
          <w:color w:val="auto"/>
        </w:rPr>
        <w:t>. Based on that assessment, management believes that, as of December 31,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the Company’s internal control over financial reporting was effective. The Company’s independent registered public accounting firm has issued an audit report on the effectiveness of the Company’s internal control over financial reporting. That report is included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19"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Exchange Act Rules 13a-15(f) and 15d-15(f)) during the three months ended December 31, 2024 that materially affected, or are reasonably likely to materially affect, our internal control over financial reporting.</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00"/>
          </w:cols>
          <w:pgMar w:left="1180" w:top="1371" w:right="1160" w:bottom="169" w:gutter="0" w:footer="0" w:header="0"/>
          <w:type w:val="continuous"/>
        </w:sectPr>
      </w:pPr>
    </w:p>
    <w:bookmarkStart w:id="78" w:name="page79"/>
    <w:bookmarkEnd w:id="78"/>
    <w:p>
      <w:pPr>
        <w:ind w:right="2460" w:firstLine="2447"/>
        <w:spacing w:after="0" w:line="46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Perella Weinberg Partners </w:t>
      </w:r>
      <w:r>
        <w:rPr>
          <w:rFonts w:ascii="Times New Roman" w:cs="Times New Roman" w:eastAsia="Times New Roman" w:hAnsi="Times New Roman"/>
          <w:sz w:val="20"/>
          <w:szCs w:val="20"/>
          <w:b w:val="1"/>
          <w:bCs w:val="1"/>
          <w:color w:val="auto"/>
        </w:rPr>
        <w:t>Opinion on Internal Control Over Financial Reporting</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have audited Perella Weinberg Partners' internal control over financial reporting as of December 31, 2024, based on criteria established in Internal Control—Integrated Framework issued by the Committee of Sponsoring Organizations of the Treadway Commission (2013 framework) (the COSO criteria). In our opinion, Perella Weinberg Partners (the Company) maintained, in all material respects, effective internal control over financial reporting as of December 31, 2024, based on the COSO criteria.</w:t>
      </w:r>
    </w:p>
    <w:p>
      <w:pPr>
        <w:spacing w:after="0" w:line="18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statements of financial condition of the Company as of December 31, 2024 and 2023, the related consolidated statements of operations, comprehensive income (loss), changes in equity and redeemable non-controlling interests and cash flows for each of the three years in the period ended December 31, 2024, and the related notes, and our report dated February 27, 2025 expressed an unqualified opinion thereon.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1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2"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17"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8" w:lineRule="auto"/>
        <w:rPr>
          <w:sz w:val="20"/>
          <w:szCs w:val="20"/>
          <w:color w:val="auto"/>
        </w:rPr>
      </w:pPr>
      <w:r>
        <w:rPr>
          <w:rFonts w:ascii="Times New Roman" w:cs="Times New Roman" w:eastAsia="Times New Roman" w:hAnsi="Times New Roman"/>
          <w:sz w:val="20"/>
          <w:szCs w:val="20"/>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00"/>
          </w:cols>
          <w:pgMar w:left="1180" w:top="1371" w:right="1160" w:bottom="169"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Arrangements and Policies</w:t>
      </w:r>
    </w:p>
    <w:p>
      <w:pPr>
        <w:spacing w:after="0" w:line="219"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of the Company adopted, modified, or terminated a “Rule 10b5-1 trading arrangement” or “non-Rule 10b5-1 trading arrangement,” as each term is defined in Item 408(a) of Regulation 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1371" w:right="118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880"/>
          </w:cols>
          <w:pgMar w:left="1180" w:top="1371" w:right="1180" w:bottom="169" w:gutter="0" w:footer="0" w:header="0"/>
          <w:type w:val="continuous"/>
        </w:sectPr>
      </w:pPr>
    </w:p>
    <w:bookmarkStart w:id="80" w:name="page81"/>
    <w:bookmarkEnd w:id="80"/>
    <w:p>
      <w:pPr>
        <w:ind w:left="45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regarding directors and executive officers set forth under the caption “Proposal 1—Election of Directors” and “Executive Officers” in our definitive proxy statement to be filed in connection with our 2025 Annual Meeting of Stockholders (the “Proxy Statement”) is incorporated herein by reference.</w:t>
      </w:r>
    </w:p>
    <w:p>
      <w:pPr>
        <w:spacing w:after="0" w:line="182"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8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We post our Code of Business Conduct and Ethics on our corporate website at www.pwpartners.com under the “Investor Relations/Corporate Governance/Documents &amp; Charters” section. Our Code of Business Conduct and Ethics applies to all directors, officers and employees, including our chief executive and senior financial officers. We will post any amendments to the Code of Business Conduct and Ethics, and any waivers that are required to be disclosed by the rules of either the SEC or Nasdaq, on our website within the required periods.</w:t>
      </w:r>
    </w:p>
    <w:p>
      <w:pPr>
        <w:spacing w:after="0" w:line="181" w:lineRule="exact"/>
        <w:rPr>
          <w:sz w:val="20"/>
          <w:szCs w:val="20"/>
          <w:color w:val="auto"/>
        </w:rPr>
      </w:pPr>
    </w:p>
    <w:p>
      <w:pPr>
        <w:jc w:val="both"/>
        <w:ind w:right="20" w:firstLine="360"/>
        <w:spacing w:after="0" w:line="224" w:lineRule="auto"/>
        <w:rPr>
          <w:sz w:val="20"/>
          <w:szCs w:val="20"/>
          <w:color w:val="auto"/>
        </w:rPr>
      </w:pPr>
      <w:r>
        <w:rPr>
          <w:rFonts w:ascii="Times New Roman" w:cs="Times New Roman" w:eastAsia="Times New Roman" w:hAnsi="Times New Roman"/>
          <w:sz w:val="20"/>
          <w:szCs w:val="20"/>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filed with this Annual Report on Form 10-K as Exhibit 19.1.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17"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“Executive Compensation” and “Director Compensation” in the Proxy Statement.</w:t>
      </w:r>
    </w:p>
    <w:p>
      <w:pPr>
        <w:spacing w:after="0" w:line="180"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Information regarding our compensation committee and compensation committee interlocks under the caption “Corporate Governance—Board Committees” and “Corporate Governance—Compensation Committee Interlocks and Insider Participation” in the Proxy Statement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17" w:lineRule="exact"/>
        <w:rPr>
          <w:sz w:val="20"/>
          <w:szCs w:val="20"/>
          <w:color w:val="auto"/>
        </w:rPr>
      </w:pPr>
    </w:p>
    <w:p>
      <w:pPr>
        <w:jc w:val="both"/>
        <w:ind w:right="2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captioned “Executive Compensation —Equity Compensation Plan Information” and “Stock Ownership of Certain Beneficial Owners and Management”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17" w:lineRule="exact"/>
        <w:rPr>
          <w:sz w:val="20"/>
          <w:szCs w:val="20"/>
          <w:color w:val="auto"/>
        </w:rPr>
      </w:pPr>
    </w:p>
    <w:p>
      <w:pPr>
        <w:ind w:right="640" w:firstLine="360"/>
        <w:spacing w:after="0" w:line="22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sections captioned “Certain Relationships and Related Person Transactions” and “Corporate Governance—Director Independence” in the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17"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the section captioned “Ratification of Independent Auditor Appointment” in the Proxy Statement.</w:t>
      </w: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00"/>
          </w:cols>
          <w:pgMar w:left="1180" w:top="1371" w:right="1160" w:bottom="169" w:gutter="0" w:footer="0" w:header="0"/>
          <w:type w:val="continuous"/>
        </w:sectPr>
      </w:pPr>
    </w:p>
    <w:bookmarkStart w:id="81" w:name="page82"/>
    <w:bookmarkEnd w:id="81"/>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17" w:lineRule="exact"/>
        <w:rPr>
          <w:sz w:val="20"/>
          <w:szCs w:val="20"/>
          <w:color w:val="auto"/>
        </w:rPr>
      </w:pPr>
    </w:p>
    <w:p>
      <w:pPr>
        <w:ind w:left="270" w:hanging="270"/>
        <w:spacing w:after="0"/>
        <w:tabs>
          <w:tab w:leader="none" w:pos="2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10" w:lineRule="exact"/>
        <w:rPr>
          <w:sz w:val="20"/>
          <w:szCs w:val="20"/>
          <w:color w:val="auto"/>
        </w:rPr>
      </w:pPr>
    </w:p>
    <w:p>
      <w:pPr>
        <w:ind w:left="10" w:right="520" w:firstLine="360"/>
        <w:spacing w:after="0"/>
        <w:rPr>
          <w:sz w:val="20"/>
          <w:szCs w:val="20"/>
          <w:color w:val="auto"/>
        </w:rPr>
      </w:pPr>
      <w:r>
        <w:rPr>
          <w:rFonts w:ascii="Times New Roman" w:cs="Times New Roman" w:eastAsia="Times New Roman" w:hAnsi="Times New Roman"/>
          <w:sz w:val="20"/>
          <w:szCs w:val="20"/>
          <w:color w:val="auto"/>
        </w:rPr>
        <w:t>The consolidated financial statements filed as part of this report are listed on the Index to Consolidated Financial Statements of this Annual Report on Form 10-K.</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10" w:lineRule="exact"/>
        <w:rPr>
          <w:sz w:val="20"/>
          <w:szCs w:val="20"/>
          <w:color w:val="auto"/>
        </w:rPr>
      </w:pPr>
    </w:p>
    <w:p>
      <w:pPr>
        <w:jc w:val="both"/>
        <w:ind w:left="10" w:right="40" w:firstLine="360"/>
        <w:spacing w:after="0" w:line="229" w:lineRule="auto"/>
        <w:rPr>
          <w:sz w:val="20"/>
          <w:szCs w:val="20"/>
          <w:color w:val="auto"/>
        </w:rPr>
      </w:pPr>
      <w:r>
        <w:rPr>
          <w:rFonts w:ascii="Times New Roman" w:cs="Times New Roman" w:eastAsia="Times New Roman" w:hAnsi="Times New Roman"/>
          <w:sz w:val="20"/>
          <w:szCs w:val="20"/>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10" w:lineRule="exact"/>
        <w:rPr>
          <w:sz w:val="20"/>
          <w:szCs w:val="20"/>
          <w:color w:val="auto"/>
        </w:rPr>
      </w:pPr>
    </w:p>
    <w:p>
      <w:pPr>
        <w:jc w:val="both"/>
        <w:ind w:left="10" w:firstLine="360"/>
        <w:spacing w:after="0" w:line="229" w:lineRule="auto"/>
        <w:rPr>
          <w:sz w:val="20"/>
          <w:szCs w:val="20"/>
          <w:color w:val="auto"/>
        </w:rPr>
      </w:pPr>
      <w:r>
        <w:rPr>
          <w:rFonts w:ascii="Times New Roman" w:cs="Times New Roman" w:eastAsia="Times New Roman" w:hAnsi="Times New Roman"/>
          <w:sz w:val="20"/>
          <w:szCs w:val="20"/>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Times New Roman" w:cs="Times New Roman" w:eastAsia="Times New Roman" w:hAnsi="Times New Roman"/>
          <w:sz w:val="20"/>
          <w:szCs w:val="20"/>
          <w:b w:val="1"/>
          <w:bCs w:val="1"/>
          <w:color w:val="auto"/>
        </w:rPr>
        <w:t>www.sec.gov.</w:t>
      </w:r>
    </w:p>
    <w:p>
      <w:pPr>
        <w:spacing w:after="0" w:line="200" w:lineRule="exact"/>
        <w:rPr>
          <w:sz w:val="20"/>
          <w:szCs w:val="20"/>
          <w:color w:val="auto"/>
        </w:rPr>
      </w:pPr>
    </w:p>
    <w:p>
      <w:pPr>
        <w:spacing w:after="0" w:line="264" w:lineRule="exact"/>
        <w:rPr>
          <w:sz w:val="20"/>
          <w:szCs w:val="20"/>
          <w:color w:val="auto"/>
        </w:rPr>
      </w:pPr>
    </w:p>
    <w:tbl>
      <w:tblPr>
        <w:tblLayout w:type="fixed"/>
        <w:tblInd w:w="270" w:type="dxa"/>
        <w:tblCellMar>
          <w:top w:w="0" w:type="dxa"/>
          <w:left w:w="0" w:type="dxa"/>
          <w:bottom w:w="0" w:type="dxa"/>
          <w:right w:w="0" w:type="dxa"/>
        </w:tblCellMar>
      </w:tblPr>
      <w:tr>
        <w:trPr>
          <w:trHeight w:val="18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80" w:type="dxa"/>
            <w:vAlign w:val="bottom"/>
            <w:gridSpan w:val="19"/>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80" w:type="dxa"/>
            <w:vAlign w:val="bottom"/>
            <w:gridSpan w:val="19"/>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740" w:type="dxa"/>
            <w:vAlign w:val="bottom"/>
            <w:tcBorders>
              <w:top w:val="single" w:sz="8" w:color="auto"/>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rPr>
              <w:t>Restated Certificate of Incorporation of Perella Weinberg Partners (incorporated by reference to</w:t>
            </w:r>
          </w:p>
        </w:tc>
        <w:tc>
          <w:tcPr>
            <w:tcW w:w="400" w:type="dxa"/>
            <w:vAlign w:val="bottom"/>
            <w:tcBorders>
              <w:top w:val="single" w:sz="8" w:color="auto"/>
            </w:tcBorders>
            <w:gridSpan w:val="9"/>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Exhibit 3.1 to Amendment No. 1 to the Company's Registration Statement on Form S-1 filed 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2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the SEC on January 13, 2022 (File No. 333-261785)).</w:t>
            </w:r>
          </w:p>
        </w:tc>
        <w:tc>
          <w:tcPr>
            <w:tcW w:w="358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Amended and Restated Bylaws of Perella Weinberg Partners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2</w:t>
            </w:r>
            <w:r>
              <w:rPr>
                <w:rFonts w:ascii="Times New Roman" w:cs="Times New Roman" w:eastAsia="Times New Roman" w:hAnsi="Times New Roman"/>
                <w:sz w:val="20"/>
                <w:szCs w:val="20"/>
                <w:color w:val="0000FF"/>
              </w:rPr>
              <w:t xml:space="preserve"> to the Company’s Current Report on Form 8-K, filed with the SEC on June 30, 2021).</w:t>
            </w:r>
          </w:p>
        </w:tc>
        <w:tc>
          <w:tcPr>
            <w:tcW w:w="700" w:type="dxa"/>
            <w:vAlign w:val="bottom"/>
            <w:tcBorders>
              <w:top w:val="single" w:sz="8" w:color="0000FF"/>
            </w:tcBorders>
            <w:gridSpan w:val="9"/>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Specimen Class A Common Stock Certificate (incorporated by reference to Exhibit 4.1 to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Company’s Current Report on Form 8-K, filed with the SEC on June 30, 2021).</w:t>
            </w:r>
          </w:p>
        </w:tc>
        <w:tc>
          <w:tcPr>
            <w:tcW w:w="1080" w:type="dxa"/>
            <w:vAlign w:val="bottom"/>
            <w:tcBorders>
              <w:top w:val="single" w:sz="8" w:color="0000FF"/>
            </w:tcBorders>
            <w:gridSpan w:val="5"/>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Description of Securities</w:t>
            </w:r>
            <w:r>
              <w:rPr>
                <w:rFonts w:ascii="Times New Roman" w:cs="Times New Roman" w:eastAsia="Times New Roman" w:hAnsi="Times New Roman"/>
                <w:sz w:val="20"/>
                <w:szCs w:val="20"/>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Peter A. Weinberg (incorporated by reference to Exhibit 10.1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80" w:type="dxa"/>
            <w:vAlign w:val="bottom"/>
            <w:tcBorders>
              <w:top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28, 2023)</w:t>
            </w:r>
            <w:r>
              <w:rPr>
                <w:rFonts w:ascii="Times New Roman" w:cs="Times New Roman" w:eastAsia="Times New Roman" w:hAnsi="Times New Roman"/>
                <w:sz w:val="20"/>
                <w:szCs w:val="20"/>
                <w:color w:val="000000"/>
              </w:rPr>
              <w:t>.</w:t>
            </w:r>
          </w:p>
        </w:tc>
        <w:tc>
          <w:tcPr>
            <w:tcW w:w="32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Andrew Bednar (incorporated by reference to Exhibit 10.2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2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8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Employment Agreement, effective as of January 1, 2023, by and between Perella Weinberg Partners,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Employer LP and Dietrich Becker (incorporated by reference to Exhibit 10.3 to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Annual Report on Form 10-K filed with the SEC on February 28, 2023)</w:t>
            </w:r>
            <w:r>
              <w:rPr>
                <w:rFonts w:ascii="Times New Roman" w:cs="Times New Roman" w:eastAsia="Times New Roman" w:hAnsi="Times New Roman"/>
                <w:sz w:val="20"/>
                <w:szCs w:val="20"/>
                <w:color w:val="000000"/>
              </w:rPr>
              <w:t>.</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7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(One-Time Award) (incorporated by</w:t>
            </w:r>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10.4 of the Company's Quarterly Report on Form 10-Q filed with the SEC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rPr>
              <w:t>November 5, 2021).</w:t>
            </w:r>
          </w:p>
        </w:tc>
        <w:tc>
          <w:tcPr>
            <w:tcW w:w="6220" w:type="dxa"/>
            <w:vAlign w:val="bottom"/>
            <w:tcBorders>
              <w:top w:val="single" w:sz="8" w:color="0000FF"/>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7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Form of Director Restricted Stock Unit Award Agreement (Annual Base Retainer Award)</w:t>
            </w:r>
          </w:p>
        </w:tc>
        <w:tc>
          <w:tcPr>
            <w:tcW w:w="8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10.5 of the Company's Quarterly Report on Form 10-Q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November 5, 2021).</w:t>
            </w: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Stockholders Agreement, dated June 24, 2021, by and between the Company and PWP Professional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6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Partners LP (incorporated by reference to Exhibit 10.3 to the Company's Current Report on Form 8-</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K, filed with the SEC on June 30, 2021).</w:t>
            </w: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90"/>
          </w:cols>
          <w:pgMar w:left="1170" w:top="1371" w:right="1180" w:bottom="169"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890"/>
          </w:cols>
          <w:pgMar w:left="1170" w:top="1371" w:right="1180" w:bottom="169" w:gutter="0" w:footer="0" w:header="0"/>
          <w:type w:val="continuous"/>
        </w:sectPr>
      </w:pPr>
    </w:p>
    <w:bookmarkStart w:id="82" w:name="page83"/>
    <w:bookmarkEnd w:id="82"/>
    <w:tbl>
      <w:tblPr>
        <w:tblLayout w:type="fixed"/>
        <w:tblInd w:w="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Tax Receivable Agreement, dated June 24, 2021, by and between the Company, PWP Holdings LP,</w:t>
            </w:r>
          </w:p>
        </w:tc>
      </w:tr>
      <w:tr>
        <w:trPr>
          <w:trHeight w:val="180"/>
        </w:trPr>
        <w:tc>
          <w:tcPr>
            <w:tcW w:w="1140" w:type="dxa"/>
            <w:vAlign w:val="bottom"/>
          </w:tcPr>
          <w:p>
            <w:pPr>
              <w:spacing w:after="0"/>
              <w:rPr>
                <w:sz w:val="15"/>
                <w:szCs w:val="15"/>
                <w:color w:val="auto"/>
              </w:rPr>
            </w:pPr>
          </w:p>
        </w:tc>
        <w:tc>
          <w:tcPr>
            <w:tcW w:w="7560" w:type="dxa"/>
            <w:vAlign w:val="bottom"/>
            <w:tcBorders>
              <w:top w:val="single" w:sz="8" w:color="0000FF"/>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PWP Professional Partners LP and certain partners party thereto (incorporated by reference to</w:t>
            </w:r>
          </w:p>
        </w:tc>
        <w:tc>
          <w:tcPr>
            <w:tcW w:w="5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7900" w:type="dxa"/>
            <w:vAlign w:val="bottom"/>
            <w:tcBorders>
              <w:bottom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w w:val="99"/>
              </w:rPr>
              <w:t>Exhibit 10.2 to the Company's Current Report on Form 8-K, filed with the SEC on June 30, 2021).</w:t>
            </w:r>
          </w:p>
        </w:tc>
        <w:tc>
          <w:tcPr>
            <w:tcW w:w="260" w:type="dxa"/>
            <w:vAlign w:val="bottom"/>
            <w:gridSpan w:val="11"/>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Third Amended and Restated Agreement of Limited Partnership of PWP Holdings LP, dated as of</w:t>
            </w:r>
          </w:p>
        </w:tc>
      </w:tr>
      <w:tr>
        <w:trPr>
          <w:trHeight w:val="180"/>
        </w:trPr>
        <w:tc>
          <w:tcPr>
            <w:tcW w:w="1140" w:type="dxa"/>
            <w:vAlign w:val="bottom"/>
          </w:tcPr>
          <w:p>
            <w:pPr>
              <w:spacing w:after="0"/>
              <w:rPr>
                <w:sz w:val="15"/>
                <w:szCs w:val="15"/>
                <w:color w:val="auto"/>
              </w:rPr>
            </w:pPr>
          </w:p>
        </w:tc>
        <w:tc>
          <w:tcPr>
            <w:tcW w:w="7920" w:type="dxa"/>
            <w:vAlign w:val="bottom"/>
            <w:tcBorders>
              <w:top w:val="single" w:sz="8" w:color="0000FF"/>
              <w:bottom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February 5, 2025, by and among PWP GP LLC, the Company, and the other limited partners party</w:t>
            </w: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620" w:type="dxa"/>
            <w:vAlign w:val="bottom"/>
            <w:tcBorders>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thereto.</w:t>
            </w:r>
          </w:p>
        </w:tc>
        <w:tc>
          <w:tcPr>
            <w:tcW w:w="7320" w:type="dxa"/>
            <w:vAlign w:val="bottom"/>
            <w:gridSpan w:val="28"/>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Amended and Restated Limited Liability Company Agreement of PWP GP LLC, dated June 24,</w:t>
            </w:r>
          </w:p>
        </w:tc>
      </w:tr>
      <w:tr>
        <w:trPr>
          <w:trHeight w:val="180"/>
        </w:trPr>
        <w:tc>
          <w:tcPr>
            <w:tcW w:w="114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2021 (incorporated by reference to Exhibit 10.5 to the Company's Current Report on Form 8-K,</w:t>
            </w:r>
          </w:p>
        </w:tc>
        <w:tc>
          <w:tcPr>
            <w:tcW w:w="400" w:type="dxa"/>
            <w:vAlign w:val="bottom"/>
            <w:tcBorders>
              <w:bottom w:val="single" w:sz="8" w:color="0000FF"/>
            </w:tcBorders>
            <w:gridSpan w:val="14"/>
          </w:tcPr>
          <w:p>
            <w:pPr>
              <w:jc w:val="center"/>
              <w:ind w:right="80"/>
              <w:spacing w:after="0" w:line="180" w:lineRule="exact"/>
              <w:rPr>
                <w:sz w:val="20"/>
                <w:szCs w:val="20"/>
                <w:color w:val="auto"/>
              </w:rPr>
            </w:pPr>
            <w:r>
              <w:rPr>
                <w:rFonts w:ascii="Times New Roman" w:cs="Times New Roman" w:eastAsia="Times New Roman" w:hAnsi="Times New Roman"/>
                <w:sz w:val="20"/>
                <w:szCs w:val="20"/>
                <w:color w:val="0000FF"/>
                <w:w w:val="87"/>
              </w:rPr>
              <w:t>filed</w:t>
            </w:r>
          </w:p>
        </w:tc>
      </w:tr>
      <w:tr>
        <w:trPr>
          <w:trHeight w:val="180"/>
        </w:trPr>
        <w:tc>
          <w:tcPr>
            <w:tcW w:w="1140" w:type="dxa"/>
            <w:vAlign w:val="bottom"/>
          </w:tcPr>
          <w:p>
            <w:pPr>
              <w:spacing w:after="0"/>
              <w:rPr>
                <w:sz w:val="15"/>
                <w:szCs w:val="15"/>
                <w:color w:val="auto"/>
              </w:rPr>
            </w:pPr>
          </w:p>
        </w:tc>
        <w:tc>
          <w:tcPr>
            <w:tcW w:w="816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with the SEC on June 30, 2021).</w:t>
            </w: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Perella Weinberg Partners 2021 Omnibus Incentive Plan (incorporated by reference to Exhibit 10.6</w:t>
            </w:r>
          </w:p>
        </w:tc>
      </w:tr>
      <w:tr>
        <w:trPr>
          <w:trHeight w:val="180"/>
        </w:trPr>
        <w:tc>
          <w:tcPr>
            <w:tcW w:w="1140" w:type="dxa"/>
            <w:vAlign w:val="bottom"/>
          </w:tcPr>
          <w:p>
            <w:pPr>
              <w:spacing w:after="0"/>
              <w:rPr>
                <w:sz w:val="15"/>
                <w:szCs w:val="15"/>
                <w:color w:val="auto"/>
              </w:rPr>
            </w:pPr>
          </w:p>
        </w:tc>
        <w:tc>
          <w:tcPr>
            <w:tcW w:w="8020" w:type="dxa"/>
            <w:vAlign w:val="bottom"/>
            <w:tcBorders>
              <w:top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to the Company's Current Report on Form 8-K, filed with the SEC on June 30, 2021)</w:t>
            </w:r>
            <w:r>
              <w:rPr>
                <w:rFonts w:ascii="Times New Roman" w:cs="Times New Roman" w:eastAsia="Times New Roman" w:hAnsi="Times New Roman"/>
                <w:sz w:val="20"/>
                <w:szCs w:val="20"/>
                <w:color w:val="000000"/>
              </w:rPr>
              <w:t>.</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7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French Sub-Plan Under the Perella Weinberg Partners 2021 Omnibus Equity Incentive Plan</w:t>
            </w:r>
          </w:p>
        </w:tc>
        <w:tc>
          <w:tcPr>
            <w:tcW w:w="760" w:type="dxa"/>
            <w:vAlign w:val="bottom"/>
            <w:gridSpan w:val="23"/>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6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(incorporated by reference to Exhibit 10.7 to the Company's Current Report on Form 8-K, filed with</w:t>
            </w:r>
          </w:p>
        </w:tc>
      </w:tr>
      <w:tr>
        <w:trPr>
          <w:trHeight w:val="180"/>
        </w:trPr>
        <w:tc>
          <w:tcPr>
            <w:tcW w:w="1140" w:type="dxa"/>
            <w:vAlign w:val="bottom"/>
          </w:tcPr>
          <w:p>
            <w:pPr>
              <w:spacing w:after="0"/>
              <w:rPr>
                <w:sz w:val="15"/>
                <w:szCs w:val="15"/>
                <w:color w:val="auto"/>
              </w:rPr>
            </w:pPr>
          </w:p>
        </w:tc>
        <w:tc>
          <w:tcPr>
            <w:tcW w:w="8100" w:type="dxa"/>
            <w:vAlign w:val="bottom"/>
            <w:tcBorders>
              <w:top w:val="single" w:sz="8" w:color="0000FF"/>
            </w:tcBorders>
            <w:gridSpan w:val="36"/>
          </w:tcPr>
          <w:p>
            <w:pPr>
              <w:spacing w:after="0" w:line="180" w:lineRule="exact"/>
              <w:rPr>
                <w:sz w:val="20"/>
                <w:szCs w:val="20"/>
                <w:color w:val="auto"/>
              </w:rPr>
            </w:pPr>
            <w:r>
              <w:rPr>
                <w:rFonts w:ascii="Times New Roman" w:cs="Times New Roman" w:eastAsia="Times New Roman" w:hAnsi="Times New Roman"/>
                <w:sz w:val="20"/>
                <w:szCs w:val="20"/>
                <w:color w:val="0000FF"/>
              </w:rPr>
              <w:t>the SEC on June 30,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Form of Indemnification Agreement (incorporated by reference to Exhibit 10.8 to the Company's</w:t>
            </w:r>
          </w:p>
        </w:tc>
      </w:tr>
      <w:tr>
        <w:trPr>
          <w:trHeight w:val="180"/>
        </w:trPr>
        <w:tc>
          <w:tcPr>
            <w:tcW w:w="1140" w:type="dxa"/>
            <w:vAlign w:val="bottom"/>
          </w:tcPr>
          <w:p>
            <w:pPr>
              <w:spacing w:after="0"/>
              <w:rPr>
                <w:sz w:val="15"/>
                <w:szCs w:val="15"/>
                <w:color w:val="auto"/>
              </w:rPr>
            </w:pPr>
          </w:p>
        </w:tc>
        <w:tc>
          <w:tcPr>
            <w:tcW w:w="78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Current Report on Form 8-K, filed with the SEC on June 30, 2021).</w:t>
            </w:r>
          </w:p>
        </w:tc>
        <w:tc>
          <w:tcPr>
            <w:tcW w:w="1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Amendment Agreement, dated as of June 30, 2023, by and among Perella Weinberg Partners Group</w:t>
            </w:r>
          </w:p>
        </w:tc>
      </w:tr>
      <w:tr>
        <w:trPr>
          <w:trHeight w:val="180"/>
        </w:trPr>
        <w:tc>
          <w:tcPr>
            <w:tcW w:w="114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LP, as Borrower, and each Lender under the Credit Agreement and Cadence Bank, as administrative</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812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agent (incorporated by reference to Exhibit 10.1 to the Company's Quarterly Report on Form 10-Q,</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filed with the SEC on August 4, 2023).</w:t>
            </w:r>
          </w:p>
        </w:tc>
        <w:tc>
          <w:tcPr>
            <w:tcW w:w="4860" w:type="dxa"/>
            <w:vAlign w:val="bottom"/>
            <w:tcBorders>
              <w:top w:val="single" w:sz="8" w:color="0000FF"/>
            </w:tcBorders>
            <w:gridSpan w:val="24"/>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Amendment No. 4 to Credit Agreement, dated as of January 24, 2025, by and among Perella</w:t>
            </w:r>
          </w:p>
        </w:tc>
      </w:tr>
      <w:tr>
        <w:trPr>
          <w:trHeight w:val="180"/>
        </w:trPr>
        <w:tc>
          <w:tcPr>
            <w:tcW w:w="1140" w:type="dxa"/>
            <w:vAlign w:val="bottom"/>
          </w:tcPr>
          <w:p>
            <w:pPr>
              <w:spacing w:after="0"/>
              <w:rPr>
                <w:sz w:val="15"/>
                <w:szCs w:val="15"/>
                <w:color w:val="auto"/>
              </w:rPr>
            </w:pPr>
          </w:p>
        </w:tc>
        <w:tc>
          <w:tcPr>
            <w:tcW w:w="7460" w:type="dxa"/>
            <w:vAlign w:val="bottom"/>
            <w:tcBorders>
              <w:top w:val="single" w:sz="8" w:color="0000FF"/>
              <w:bottom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w w:val="99"/>
              </w:rPr>
              <w:t>Weinberg Partners Group LP, PWP Holdings LP, the subsidiary guarantors and lenders party</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1140" w:type="dxa"/>
            <w:vAlign w:val="bottom"/>
          </w:tcPr>
          <w:p>
            <w:pPr>
              <w:spacing w:after="0"/>
              <w:rPr>
                <w:sz w:val="15"/>
                <w:szCs w:val="15"/>
                <w:color w:val="auto"/>
              </w:rPr>
            </w:pPr>
          </w:p>
        </w:tc>
        <w:tc>
          <w:tcPr>
            <w:tcW w:w="4160" w:type="dxa"/>
            <w:vAlign w:val="bottom"/>
            <w:tcBorders>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thereto, and Cadence Bank, as administrative agent.</w:t>
            </w:r>
          </w:p>
        </w:tc>
        <w:tc>
          <w:tcPr>
            <w:tcW w:w="33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7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Form of Management Performance Restricted Stock Unit Award Agreement (incorporated by</w:t>
            </w:r>
          </w:p>
        </w:tc>
        <w:tc>
          <w:tcPr>
            <w:tcW w:w="620" w:type="dxa"/>
            <w:vAlign w:val="bottom"/>
            <w:gridSpan w:val="17"/>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8160" w:type="dxa"/>
            <w:vAlign w:val="bottom"/>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reference to Exhibit 10.13 to the Company's Quarterly Report on Form 10-Q, filed with the SEC on</w:t>
            </w:r>
          </w:p>
        </w:tc>
      </w:tr>
      <w:tr>
        <w:trPr>
          <w:trHeight w:val="180"/>
        </w:trPr>
        <w:tc>
          <w:tcPr>
            <w:tcW w:w="114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August 12, 2021).</w:t>
            </w:r>
          </w:p>
        </w:tc>
        <w:tc>
          <w:tcPr>
            <w:tcW w:w="6580" w:type="dxa"/>
            <w:vAlign w:val="bottom"/>
            <w:tcBorders>
              <w:top w:val="single" w:sz="8" w:color="0000FF"/>
            </w:tcBorders>
            <w:gridSpan w:val="30"/>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Form of Series A PI Unit Award Agreement (incorporated by reference to Exhibit 10.2 to the</w:t>
            </w:r>
          </w:p>
        </w:tc>
      </w:tr>
      <w:tr>
        <w:trPr>
          <w:trHeight w:val="180"/>
        </w:trPr>
        <w:tc>
          <w:tcPr>
            <w:tcW w:w="1140" w:type="dxa"/>
            <w:vAlign w:val="bottom"/>
          </w:tcPr>
          <w:p>
            <w:pPr>
              <w:spacing w:after="0"/>
              <w:rPr>
                <w:sz w:val="15"/>
                <w:szCs w:val="15"/>
                <w:color w:val="auto"/>
              </w:rPr>
            </w:pPr>
          </w:p>
        </w:tc>
        <w:tc>
          <w:tcPr>
            <w:tcW w:w="752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Company’s Quarterly Report on Form 10-Q, filed with the SEC on November 12, 2024).</w:t>
            </w:r>
          </w:p>
        </w:tc>
        <w:tc>
          <w:tcPr>
            <w:tcW w:w="2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7"/>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7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Perella Weinberg Partners Insider Trading Policy.</w:t>
            </w:r>
          </w:p>
        </w:tc>
        <w:tc>
          <w:tcPr>
            <w:tcW w:w="1040" w:type="dxa"/>
            <w:vAlign w:val="bottom"/>
            <w:gridSpan w:val="24"/>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4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List of Subsidiaries</w:t>
            </w:r>
            <w:r>
              <w:rPr>
                <w:rFonts w:ascii="Times New Roman" w:cs="Times New Roman" w:eastAsia="Times New Roman" w:hAnsi="Times New Roman"/>
                <w:sz w:val="20"/>
                <w:szCs w:val="20"/>
                <w:color w:val="000000"/>
              </w:rPr>
              <w:t>.</w:t>
            </w:r>
          </w:p>
        </w:tc>
        <w:tc>
          <w:tcPr>
            <w:tcW w:w="4160" w:type="dxa"/>
            <w:vAlign w:val="bottom"/>
            <w:gridSpan w:val="31"/>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Consent of Ernst &amp; Young LLP, independent registered accounting firm.</w:t>
            </w: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0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Powers of Attorney (included on signature page).</w:t>
            </w:r>
          </w:p>
        </w:tc>
        <w:tc>
          <w:tcPr>
            <w:tcW w:w="1840" w:type="dxa"/>
            <w:vAlign w:val="bottom"/>
            <w:tcBorders>
              <w:top w:val="single" w:sz="8" w:color="0000FF"/>
            </w:tcBorders>
            <w:gridSpan w:val="5"/>
          </w:tcPr>
          <w:p>
            <w:pPr>
              <w:spacing w:after="0"/>
              <w:rPr>
                <w:sz w:val="24"/>
                <w:szCs w:val="24"/>
                <w:color w:val="auto"/>
              </w:rPr>
            </w:pPr>
          </w:p>
        </w:tc>
        <w:tc>
          <w:tcPr>
            <w:tcW w:w="2320" w:type="dxa"/>
            <w:vAlign w:val="bottom"/>
            <w:gridSpan w:val="26"/>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Rules 13a-14(a) and 15d-14(a) under the</w:t>
            </w:r>
          </w:p>
        </w:tc>
      </w:tr>
      <w:tr>
        <w:trPr>
          <w:trHeight w:val="180"/>
        </w:trPr>
        <w:tc>
          <w:tcPr>
            <w:tcW w:w="1140" w:type="dxa"/>
            <w:vAlign w:val="bottom"/>
          </w:tcPr>
          <w:p>
            <w:pPr>
              <w:spacing w:after="0"/>
              <w:rPr>
                <w:sz w:val="15"/>
                <w:szCs w:val="15"/>
                <w:color w:val="auto"/>
              </w:rPr>
            </w:pPr>
          </w:p>
        </w:tc>
        <w:tc>
          <w:tcPr>
            <w:tcW w:w="7800" w:type="dxa"/>
            <w:vAlign w:val="bottom"/>
            <w:tcBorders>
              <w:top w:val="single" w:sz="8" w:color="0000FF"/>
            </w:tcBorders>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Securities Exchange Act of 1934, as Adopted Pursuant to Section 302 of the Sarbanes-Oxley Act</w:t>
            </w:r>
          </w:p>
        </w:tc>
        <w:tc>
          <w:tcPr>
            <w:tcW w:w="360" w:type="dxa"/>
            <w:vAlign w:val="bottom"/>
            <w:gridSpan w:val="13"/>
          </w:tcPr>
          <w:p>
            <w:pPr>
              <w:jc w:val="center"/>
              <w:ind w:right="160"/>
              <w:spacing w:after="0" w:line="180" w:lineRule="exact"/>
              <w:rPr>
                <w:sz w:val="20"/>
                <w:szCs w:val="20"/>
                <w:color w:val="auto"/>
              </w:rPr>
            </w:pPr>
            <w:r>
              <w:rPr>
                <w:rFonts w:ascii="Times New Roman" w:cs="Times New Roman" w:eastAsia="Times New Roman" w:hAnsi="Times New Roman"/>
                <w:sz w:val="20"/>
                <w:szCs w:val="20"/>
                <w:color w:val="0000FF"/>
                <w:w w:val="95"/>
              </w:rPr>
              <w:t>of</w:t>
            </w:r>
          </w:p>
        </w:tc>
      </w:tr>
      <w:tr>
        <w:trPr>
          <w:trHeight w:val="180"/>
        </w:trPr>
        <w:tc>
          <w:tcPr>
            <w:tcW w:w="1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1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Rules 13a-14(a) and 15d-14(a) under the</w:t>
            </w:r>
          </w:p>
        </w:tc>
      </w:tr>
      <w:tr>
        <w:trPr>
          <w:trHeight w:val="180"/>
        </w:trPr>
        <w:tc>
          <w:tcPr>
            <w:tcW w:w="1140" w:type="dxa"/>
            <w:vAlign w:val="bottom"/>
          </w:tcPr>
          <w:p>
            <w:pPr>
              <w:spacing w:after="0"/>
              <w:rPr>
                <w:sz w:val="15"/>
                <w:szCs w:val="15"/>
                <w:color w:val="auto"/>
              </w:rPr>
            </w:pPr>
          </w:p>
        </w:tc>
        <w:tc>
          <w:tcPr>
            <w:tcW w:w="774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w w:val="99"/>
              </w:rPr>
              <w:t>Securities Exchange Act of 1934, as Adopted Pursuant to Section 302 of the Sarbanes-Oxley Act</w:t>
            </w:r>
          </w:p>
        </w:tc>
        <w:tc>
          <w:tcPr>
            <w:tcW w:w="420" w:type="dxa"/>
            <w:vAlign w:val="bottom"/>
            <w:gridSpan w:val="15"/>
          </w:tcPr>
          <w:p>
            <w:pPr>
              <w:jc w:val="center"/>
              <w:ind w:right="100"/>
              <w:spacing w:after="0" w:line="180" w:lineRule="exact"/>
              <w:rPr>
                <w:sz w:val="20"/>
                <w:szCs w:val="20"/>
                <w:color w:val="auto"/>
              </w:rPr>
            </w:pPr>
            <w:r>
              <w:rPr>
                <w:rFonts w:ascii="Times New Roman" w:cs="Times New Roman" w:eastAsia="Times New Roman" w:hAnsi="Times New Roman"/>
                <w:sz w:val="20"/>
                <w:szCs w:val="20"/>
                <w:color w:val="0000FF"/>
                <w:w w:val="95"/>
              </w:rPr>
              <w:t>of</w:t>
            </w:r>
          </w:p>
        </w:tc>
      </w:tr>
      <w:tr>
        <w:trPr>
          <w:trHeight w:val="180"/>
        </w:trPr>
        <w:tc>
          <w:tcPr>
            <w:tcW w:w="114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7"/>
              </w:rPr>
              <w:t>2002.</w:t>
            </w:r>
          </w:p>
        </w:tc>
        <w:tc>
          <w:tcPr>
            <w:tcW w:w="1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Certification of Principal Executive Officer Pursuant to 18 U.S.C. Section 1350, as Adopted</w:t>
            </w:r>
          </w:p>
        </w:tc>
      </w:tr>
      <w:tr>
        <w:trPr>
          <w:trHeight w:val="180"/>
        </w:trPr>
        <w:tc>
          <w:tcPr>
            <w:tcW w:w="1140" w:type="dxa"/>
            <w:vAlign w:val="bottom"/>
          </w:tcPr>
          <w:p>
            <w:pPr>
              <w:spacing w:after="0"/>
              <w:rPr>
                <w:sz w:val="15"/>
                <w:szCs w:val="15"/>
                <w:color w:val="auto"/>
              </w:rPr>
            </w:pPr>
          </w:p>
        </w:tc>
        <w:tc>
          <w:tcPr>
            <w:tcW w:w="742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60" w:type="dxa"/>
            <w:vAlign w:val="bottom"/>
            <w:gridSpan w:val="2"/>
          </w:tcPr>
          <w:p>
            <w:pPr>
              <w:spacing w:after="0"/>
              <w:rPr>
                <w:sz w:val="15"/>
                <w:szCs w:val="15"/>
                <w:color w:val="auto"/>
              </w:rPr>
            </w:pPr>
          </w:p>
        </w:tc>
        <w:tc>
          <w:tcPr>
            <w:tcW w:w="660" w:type="dxa"/>
            <w:vAlign w:val="bottom"/>
            <w:gridSpan w:val="19"/>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Certification of Principal Financial Officer Pursuant to 18 U.S.C. Section 1350, as Adopted Pursuant</w:t>
            </w:r>
          </w:p>
        </w:tc>
      </w:tr>
      <w:tr>
        <w:trPr>
          <w:trHeight w:val="180"/>
        </w:trPr>
        <w:tc>
          <w:tcPr>
            <w:tcW w:w="1140" w:type="dxa"/>
            <w:vAlign w:val="bottom"/>
          </w:tcPr>
          <w:p>
            <w:pPr>
              <w:spacing w:after="0"/>
              <w:rPr>
                <w:sz w:val="15"/>
                <w:szCs w:val="15"/>
                <w:color w:val="auto"/>
              </w:rPr>
            </w:pPr>
          </w:p>
        </w:tc>
        <w:tc>
          <w:tcPr>
            <w:tcW w:w="406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to Section 906 of the Sarbanes-Oxley Act of 2002.</w:t>
            </w:r>
          </w:p>
        </w:tc>
        <w:tc>
          <w:tcPr>
            <w:tcW w:w="408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r>
      <w:tr>
        <w:trPr>
          <w:trHeight w:val="3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0000FF"/>
              </w:rPr>
              <w:t>Perella Weinberg Partners Clawback Policy (incorporated by reference to Exhibit 97.1 to the</w:t>
            </w:r>
          </w:p>
        </w:tc>
      </w:tr>
      <w:tr>
        <w:trPr>
          <w:trHeight w:val="180"/>
        </w:trPr>
        <w:tc>
          <w:tcPr>
            <w:tcW w:w="1140" w:type="dxa"/>
            <w:vAlign w:val="bottom"/>
          </w:tcPr>
          <w:p>
            <w:pPr>
              <w:spacing w:after="0"/>
              <w:rPr>
                <w:sz w:val="15"/>
                <w:szCs w:val="15"/>
                <w:color w:val="auto"/>
              </w:rPr>
            </w:pPr>
          </w:p>
        </w:tc>
        <w:tc>
          <w:tcPr>
            <w:tcW w:w="7480" w:type="dxa"/>
            <w:vAlign w:val="bottom"/>
            <w:tcBorders>
              <w:top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rPr>
              <w:t>Company’s Annual Report on Form 10-K, filed with the SEC on February 23, 2024).</w:t>
            </w:r>
          </w:p>
        </w:tc>
        <w:tc>
          <w:tcPr>
            <w:tcW w:w="680" w:type="dxa"/>
            <w:vAlign w:val="bottom"/>
            <w:gridSpan w:val="2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820" w:type="dxa"/>
            <w:vAlign w:val="bottom"/>
            <w:gridSpan w:val="14"/>
            <w:shd w:val="clear" w:color="auto" w:fill="0000FF"/>
          </w:tcPr>
          <w:p>
            <w:pPr>
              <w:spacing w:after="0" w:line="20" w:lineRule="exact"/>
              <w:rPr>
                <w:sz w:val="1"/>
                <w:szCs w:val="1"/>
                <w:color w:val="auto"/>
              </w:rPr>
            </w:pPr>
          </w:p>
        </w:tc>
        <w:tc>
          <w:tcPr>
            <w:tcW w:w="1340" w:type="dxa"/>
            <w:vAlign w:val="bottom"/>
            <w:gridSpan w:val="25"/>
          </w:tcPr>
          <w:p>
            <w:pPr>
              <w:spacing w:after="0" w:line="20" w:lineRule="exact"/>
              <w:rPr>
                <w:sz w:val="1"/>
                <w:szCs w:val="1"/>
                <w:color w:val="auto"/>
              </w:rPr>
            </w:pPr>
          </w:p>
        </w:tc>
      </w:tr>
      <w:tr>
        <w:trPr>
          <w:trHeight w:val="34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w:t>
            </w:r>
          </w:p>
        </w:tc>
      </w:tr>
      <w:tr>
        <w:trPr>
          <w:trHeight w:val="260"/>
        </w:trPr>
        <w:tc>
          <w:tcPr>
            <w:tcW w:w="1140" w:type="dxa"/>
            <w:vAlign w:val="bottom"/>
          </w:tcPr>
          <w:p>
            <w:pPr>
              <w:spacing w:after="0"/>
              <w:rPr>
                <w:sz w:val="22"/>
                <w:szCs w:val="22"/>
                <w:color w:val="auto"/>
              </w:rPr>
            </w:pP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7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160" w:type="dxa"/>
            <w:vAlign w:val="bottom"/>
            <w:gridSpan w:val="39"/>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bl>
    <w:p>
      <w:pPr>
        <w:spacing w:after="0" w:line="1" w:lineRule="exact"/>
        <w:rPr>
          <w:sz w:val="20"/>
          <w:szCs w:val="20"/>
          <w:color w:val="auto"/>
        </w:rPr>
      </w:pPr>
    </w:p>
    <w:p>
      <w:pPr>
        <w:sectPr>
          <w:pgSz w:w="12240" w:h="15840" w:orient="portrait"/>
          <w:cols w:equalWidth="0" w:num="1">
            <w:col w:w="9360"/>
          </w:cols>
          <w:pgMar w:left="1440" w:top="1417" w:right="1440" w:bottom="147"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17" w:right="1440" w:bottom="147" w:gutter="0" w:footer="0" w:header="0"/>
          <w:type w:val="continuous"/>
        </w:sectPr>
      </w:pPr>
    </w:p>
    <w:bookmarkStart w:id="83" w:name="page84"/>
    <w:bookmarkEnd w:id="83"/>
    <w:p>
      <w:pPr>
        <w:ind w:left="330"/>
        <w:spacing w:after="0"/>
        <w:tabs>
          <w:tab w:leader="none" w:pos="1450" w:val="left"/>
        </w:tabs>
        <w:rPr>
          <w:sz w:val="20"/>
          <w:szCs w:val="20"/>
          <w:color w:val="auto"/>
        </w:rPr>
      </w:pPr>
      <w:r>
        <w:rPr>
          <w:rFonts w:ascii="Times New Roman" w:cs="Times New Roman" w:eastAsia="Times New Roman" w:hAnsi="Times New Roman"/>
          <w:sz w:val="20"/>
          <w:szCs w:val="20"/>
          <w:color w:val="auto"/>
        </w:rPr>
        <w:t>101.DEF*</w:t>
      </w:r>
      <w:r>
        <w:rPr>
          <w:sz w:val="20"/>
          <w:szCs w:val="20"/>
          <w:color w:val="auto"/>
        </w:rPr>
        <w:tab/>
      </w:r>
      <w:r>
        <w:rPr>
          <w:rFonts w:ascii="Times New Roman" w:cs="Times New Roman" w:eastAsia="Times New Roman" w:hAnsi="Times New Roman"/>
          <w:sz w:val="19"/>
          <w:szCs w:val="19"/>
          <w:color w:val="auto"/>
        </w:rPr>
        <w:t>Inline XBRL Taxonomy Extension Definitions Linkbase Document.</w:t>
      </w:r>
    </w:p>
    <w:p>
      <w:pPr>
        <w:spacing w:after="0" w:line="55" w:lineRule="exact"/>
        <w:rPr>
          <w:sz w:val="20"/>
          <w:szCs w:val="20"/>
          <w:color w:val="auto"/>
        </w:rPr>
      </w:pPr>
    </w:p>
    <w:p>
      <w:pPr>
        <w:ind w:left="330"/>
        <w:spacing w:after="0"/>
        <w:tabs>
          <w:tab w:leader="none" w:pos="1450" w:val="left"/>
        </w:tabs>
        <w:rPr>
          <w:sz w:val="20"/>
          <w:szCs w:val="20"/>
          <w:color w:val="auto"/>
        </w:rPr>
      </w:pPr>
      <w:r>
        <w:rPr>
          <w:rFonts w:ascii="Times New Roman" w:cs="Times New Roman" w:eastAsia="Times New Roman" w:hAnsi="Times New Roman"/>
          <w:sz w:val="20"/>
          <w:szCs w:val="20"/>
          <w:color w:val="auto"/>
        </w:rPr>
        <w:t>101.LAB*</w:t>
        <w:tab/>
        <w:t>Inline XBRL Taxonomy Extension Label Linkbase Document.</w:t>
      </w:r>
    </w:p>
    <w:p>
      <w:pPr>
        <w:spacing w:after="0" w:line="55" w:lineRule="exact"/>
        <w:rPr>
          <w:sz w:val="20"/>
          <w:szCs w:val="20"/>
          <w:color w:val="auto"/>
        </w:rPr>
      </w:pPr>
    </w:p>
    <w:p>
      <w:pPr>
        <w:ind w:left="330"/>
        <w:spacing w:after="0"/>
        <w:tabs>
          <w:tab w:leader="none" w:pos="1450" w:val="left"/>
        </w:tabs>
        <w:rPr>
          <w:sz w:val="20"/>
          <w:szCs w:val="20"/>
          <w:color w:val="auto"/>
        </w:rPr>
      </w:pPr>
      <w:r>
        <w:rPr>
          <w:rFonts w:ascii="Times New Roman" w:cs="Times New Roman" w:eastAsia="Times New Roman" w:hAnsi="Times New Roman"/>
          <w:sz w:val="20"/>
          <w:szCs w:val="20"/>
          <w:color w:val="auto"/>
        </w:rPr>
        <w:t>101.PRE*</w:t>
      </w:r>
      <w:r>
        <w:rPr>
          <w:sz w:val="20"/>
          <w:szCs w:val="20"/>
          <w:color w:val="auto"/>
        </w:rPr>
        <w:tab/>
      </w:r>
      <w:r>
        <w:rPr>
          <w:rFonts w:ascii="Times New Roman" w:cs="Times New Roman" w:eastAsia="Times New Roman" w:hAnsi="Times New Roman"/>
          <w:sz w:val="20"/>
          <w:szCs w:val="20"/>
          <w:color w:val="auto"/>
        </w:rPr>
        <w:t>Inline XBRL Taxonomy Extension Presentation Linkbase Document.</w:t>
      </w:r>
    </w:p>
    <w:p>
      <w:pPr>
        <w:spacing w:after="0" w:line="55" w:lineRule="exact"/>
        <w:rPr>
          <w:sz w:val="20"/>
          <w:szCs w:val="20"/>
          <w:color w:val="auto"/>
        </w:rPr>
      </w:pPr>
    </w:p>
    <w:p>
      <w:pPr>
        <w:ind w:left="330"/>
        <w:spacing w:after="0"/>
        <w:tabs>
          <w:tab w:leader="none" w:pos="145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 and contained in Exhibit 101)</w:t>
      </w:r>
    </w:p>
    <w:p>
      <w:pPr>
        <w:spacing w:after="0" w:line="1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10"/>
        <w:spacing w:after="0"/>
        <w:tabs>
          <w:tab w:leader="none" w:pos="35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8" w:lineRule="exact"/>
        <w:rPr>
          <w:sz w:val="20"/>
          <w:szCs w:val="20"/>
          <w:color w:val="auto"/>
        </w:rPr>
      </w:pPr>
    </w:p>
    <w:p>
      <w:pPr>
        <w:ind w:left="370" w:hanging="370"/>
        <w:spacing w:after="0"/>
        <w:tabs>
          <w:tab w:leader="none" w:pos="37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370" w:hanging="370"/>
        <w:spacing w:after="0" w:line="237" w:lineRule="auto"/>
        <w:tabs>
          <w:tab w:leader="none" w:pos="37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Indicates a management or compensatory plan.</w:t>
      </w:r>
    </w:p>
    <w:p>
      <w:pPr>
        <w:spacing w:after="0" w:line="13" w:lineRule="exact"/>
        <w:rPr>
          <w:sz w:val="20"/>
          <w:szCs w:val="20"/>
          <w:color w:val="auto"/>
        </w:rPr>
      </w:pPr>
    </w:p>
    <w:p>
      <w:pPr>
        <w:ind w:left="370" w:hanging="370"/>
        <w:spacing w:after="0" w:line="271" w:lineRule="auto"/>
        <w:tabs>
          <w:tab w:leader="none" w:pos="3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to this Exhibit have been omitted in accordance with Item 601(b)(2) of Regulation S-K. The Company hereby agrees to hereby furnish supplementally a copy of all omitted schedules to the SEC upon request.</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10"/>
          </w:cols>
          <w:pgMar w:left="1170" w:top="143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10"/>
          </w:cols>
          <w:pgMar w:left="1170" w:top="1431" w:right="1160" w:bottom="169"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in New York, New York.</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500" w:type="dxa"/>
            <w:vAlign w:val="bottom"/>
          </w:tcPr>
          <w:p>
            <w:pPr>
              <w:spacing w:after="0"/>
              <w:rPr>
                <w:sz w:val="22"/>
                <w:szCs w:val="22"/>
                <w:color w:val="auto"/>
              </w:rPr>
            </w:pPr>
          </w:p>
        </w:tc>
        <w:tc>
          <w:tcPr>
            <w:tcW w:w="6360" w:type="dxa"/>
            <w:vAlign w:val="bottom"/>
            <w:gridSpan w:val="2"/>
          </w:tcPr>
          <w:p>
            <w:pPr>
              <w:ind w:left="1480"/>
              <w:spacing w:after="0"/>
              <w:rPr>
                <w:sz w:val="20"/>
                <w:szCs w:val="20"/>
                <w:color w:val="auto"/>
              </w:rPr>
            </w:pPr>
            <w:r>
              <w:rPr>
                <w:rFonts w:ascii="Times New Roman" w:cs="Times New Roman" w:eastAsia="Times New Roman" w:hAnsi="Times New Roman"/>
                <w:sz w:val="20"/>
                <w:szCs w:val="20"/>
                <w:color w:val="auto"/>
              </w:rPr>
              <w:t>PERELLA WEINBERG PARTNERS</w:t>
            </w:r>
          </w:p>
        </w:tc>
      </w:tr>
      <w:tr>
        <w:trPr>
          <w:trHeight w:val="603"/>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2025</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ANDREW BEDNAR</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Andrew Bednar</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Executive Officer</w:t>
            </w:r>
          </w:p>
        </w:tc>
      </w:tr>
      <w:tr>
        <w:trPr>
          <w:trHeight w:val="5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2025</w:t>
            </w:r>
          </w:p>
        </w:tc>
        <w:tc>
          <w:tcPr>
            <w:tcW w:w="19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ALEXANDRA GOTTSCHALK</w:t>
            </w:r>
          </w:p>
        </w:tc>
      </w:tr>
      <w:tr>
        <w:trPr>
          <w:trHeight w:val="264"/>
        </w:trPr>
        <w:tc>
          <w:tcPr>
            <w:tcW w:w="3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Alexandra Gottschalk</w:t>
            </w:r>
          </w:p>
        </w:tc>
      </w:tr>
      <w:tr>
        <w:trPr>
          <w:trHeight w:val="283"/>
        </w:trPr>
        <w:tc>
          <w:tcPr>
            <w:tcW w:w="3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Chief Financial Officer</w:t>
            </w: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00"/>
          </w:cols>
          <w:pgMar w:left="1180" w:top="1371" w:right="1160" w:bottom="169"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KNOW BY ALL PERSONS BY THESE PRESENTS, that each person whose signature appears below constitutes and appoints Andrew Bednar and Alexandra Gottschalk,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86"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auto"/>
        </w:rPr>
        <w:t>Pursuant to the requirements of the Securities Act of 1934, this report has been signed below by the following persons on behalf of the registrant and in the capacities indicated on February 27,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490"/>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ANDREW BEDNAR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Andrew Bednar</w:t>
            </w: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ALEXANDRA GOTTSCHALK</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r>
      <w:tr>
        <w:trPr>
          <w:trHeight w:val="182"/>
        </w:trPr>
        <w:tc>
          <w:tcPr>
            <w:tcW w:w="480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rPr>
              <w:t>Alexandra Gottschalk</w:t>
            </w:r>
          </w:p>
        </w:tc>
        <w:tc>
          <w:tcPr>
            <w:tcW w:w="60" w:type="dxa"/>
            <w:vAlign w:val="bottom"/>
          </w:tcPr>
          <w:p>
            <w:pPr>
              <w:spacing w:after="0"/>
              <w:rPr>
                <w:sz w:val="15"/>
                <w:szCs w:val="15"/>
                <w:color w:val="auto"/>
              </w:rPr>
            </w:pPr>
          </w:p>
        </w:tc>
        <w:tc>
          <w:tcPr>
            <w:tcW w:w="504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auto"/>
                <w:w w:val="99"/>
              </w:rPr>
              <w:t>(Principal Financial Officer and Principal Accounting</w:t>
            </w:r>
          </w:p>
        </w:tc>
      </w:tr>
      <w:tr>
        <w:trPr>
          <w:trHeight w:val="260"/>
        </w:trPr>
        <w:tc>
          <w:tcPr>
            <w:tcW w:w="4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Officer)</w:t>
            </w: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PETER A. WEINBERG</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Peter A. Weinberg</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JOSEPH R. PERELLA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Emeritus</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Joseph R. Perella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K. STEEL</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Vice Chairman</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K. Steel</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DIETRICH BECKER</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Dietrich Becker</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ELIZABETH COGAN FASCITELLI</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Elizabeth Cogan Fascitelli</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4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KRISTIN W. MUGFORD</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2"/>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Kristin W. Mugford</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51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JORMA OLLILA</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Jorma Ollila</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485"/>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JANE C. SHERBURNE</w:t>
            </w:r>
          </w:p>
        </w:tc>
        <w:tc>
          <w:tcPr>
            <w:tcW w:w="6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Jane C. Sherburne</w:t>
            </w:r>
          </w:p>
        </w:tc>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900"/>
          </w:cols>
          <w:pgMar w:left="1180" w:top="1371"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00"/>
          </w:cols>
          <w:pgMar w:left="1180" w:top="1371" w:right="1160" w:bottom="169" w:gutter="0" w:footer="0" w:header="0"/>
          <w:type w:val="continuous"/>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3143250</wp:posOffset>
            </wp:positionH>
            <wp:positionV relativeFrom="page">
              <wp:posOffset>914400</wp:posOffset>
            </wp:positionV>
            <wp:extent cx="1704975" cy="843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704975" cy="84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960" w:type="dxa"/>
            <w:vAlign w:val="bottom"/>
          </w:tcPr>
          <w:p>
            <w:pPr>
              <w:spacing w:after="0"/>
              <w:rPr>
                <w:sz w:val="24"/>
                <w:szCs w:val="24"/>
                <w:color w:val="auto"/>
              </w:rPr>
            </w:pPr>
          </w:p>
        </w:tc>
        <w:tc>
          <w:tcPr>
            <w:tcW w:w="3140" w:type="dxa"/>
            <w:vAlign w:val="bottom"/>
          </w:tcPr>
          <w:p>
            <w:pPr>
              <w:ind w:left="560"/>
              <w:spacing w:after="0"/>
              <w:rPr>
                <w:sz w:val="20"/>
                <w:szCs w:val="20"/>
                <w:color w:val="auto"/>
              </w:rPr>
            </w:pPr>
            <w:r>
              <w:rPr>
                <w:rFonts w:ascii="Arial" w:cs="Arial" w:eastAsia="Arial" w:hAnsi="Arial"/>
                <w:sz w:val="22"/>
                <w:szCs w:val="22"/>
                <w:b w:val="1"/>
                <w:bCs w:val="1"/>
                <w:color w:val="503C64"/>
              </w:rPr>
              <w:t>Corporate Information</w:t>
            </w:r>
          </w:p>
        </w:tc>
        <w:tc>
          <w:tcPr>
            <w:tcW w:w="2960" w:type="dxa"/>
            <w:vAlign w:val="bottom"/>
          </w:tcPr>
          <w:p>
            <w:pPr>
              <w:spacing w:after="0"/>
              <w:rPr>
                <w:sz w:val="24"/>
                <w:szCs w:val="24"/>
                <w:color w:val="auto"/>
              </w:rPr>
            </w:pPr>
          </w:p>
        </w:tc>
      </w:tr>
      <w:tr>
        <w:trPr>
          <w:trHeight w:val="758"/>
        </w:trPr>
        <w:tc>
          <w:tcPr>
            <w:tcW w:w="2960" w:type="dxa"/>
            <w:vAlign w:val="bottom"/>
          </w:tcPr>
          <w:p>
            <w:pPr>
              <w:spacing w:after="0"/>
              <w:rPr>
                <w:sz w:val="20"/>
                <w:szCs w:val="20"/>
                <w:color w:val="auto"/>
              </w:rPr>
            </w:pPr>
            <w:r>
              <w:rPr>
                <w:rFonts w:ascii="Arial" w:cs="Arial" w:eastAsia="Arial" w:hAnsi="Arial"/>
                <w:sz w:val="22"/>
                <w:szCs w:val="22"/>
                <w:b w:val="1"/>
                <w:bCs w:val="1"/>
                <w:color w:val="503C64"/>
              </w:rPr>
              <w:t>Board of Directors</w:t>
            </w:r>
          </w:p>
        </w:tc>
        <w:tc>
          <w:tcPr>
            <w:tcW w:w="31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47"/>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Peter A. Weinberg</w:t>
            </w:r>
          </w:p>
        </w:tc>
        <w:tc>
          <w:tcPr>
            <w:tcW w:w="3140" w:type="dxa"/>
            <w:vAlign w:val="bottom"/>
          </w:tcPr>
          <w:p>
            <w:pPr>
              <w:ind w:left="260"/>
              <w:spacing w:after="0"/>
              <w:rPr>
                <w:sz w:val="20"/>
                <w:szCs w:val="20"/>
                <w:color w:val="auto"/>
              </w:rPr>
            </w:pPr>
            <w:r>
              <w:rPr>
                <w:rFonts w:ascii="Arial" w:cs="Arial" w:eastAsia="Arial" w:hAnsi="Arial"/>
                <w:sz w:val="22"/>
                <w:szCs w:val="22"/>
                <w:b w:val="1"/>
                <w:bCs w:val="1"/>
                <w:color w:val="auto"/>
              </w:rPr>
              <w:t>Joseph R. Perella</w:t>
            </w:r>
          </w:p>
        </w:tc>
        <w:tc>
          <w:tcPr>
            <w:tcW w:w="2960" w:type="dxa"/>
            <w:vAlign w:val="bottom"/>
          </w:tcPr>
          <w:p>
            <w:pPr>
              <w:ind w:left="240"/>
              <w:spacing w:after="0"/>
              <w:rPr>
                <w:sz w:val="20"/>
                <w:szCs w:val="20"/>
                <w:color w:val="auto"/>
              </w:rPr>
            </w:pPr>
            <w:r>
              <w:rPr>
                <w:rFonts w:ascii="Arial" w:cs="Arial" w:eastAsia="Arial" w:hAnsi="Arial"/>
                <w:sz w:val="22"/>
                <w:szCs w:val="22"/>
                <w:b w:val="1"/>
                <w:bCs w:val="1"/>
                <w:color w:val="auto"/>
              </w:rPr>
              <w:t>Robert K. Steel</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Chairman and Founding</w:t>
            </w:r>
          </w:p>
        </w:tc>
        <w:tc>
          <w:tcPr>
            <w:tcW w:w="3140" w:type="dxa"/>
            <w:vAlign w:val="bottom"/>
          </w:tcPr>
          <w:p>
            <w:pPr>
              <w:ind w:left="260"/>
              <w:spacing w:after="0"/>
              <w:rPr>
                <w:sz w:val="20"/>
                <w:szCs w:val="20"/>
                <w:color w:val="auto"/>
              </w:rPr>
            </w:pPr>
            <w:r>
              <w:rPr>
                <w:rFonts w:ascii="Arial" w:cs="Arial" w:eastAsia="Arial" w:hAnsi="Arial"/>
                <w:sz w:val="22"/>
                <w:szCs w:val="22"/>
                <w:color w:val="auto"/>
              </w:rPr>
              <w:t>Chairman Emeritus and</w:t>
            </w:r>
          </w:p>
        </w:tc>
        <w:tc>
          <w:tcPr>
            <w:tcW w:w="2960" w:type="dxa"/>
            <w:vAlign w:val="bottom"/>
          </w:tcPr>
          <w:p>
            <w:pPr>
              <w:ind w:left="240"/>
              <w:spacing w:after="0"/>
              <w:rPr>
                <w:sz w:val="20"/>
                <w:szCs w:val="20"/>
                <w:color w:val="auto"/>
              </w:rPr>
            </w:pPr>
            <w:r>
              <w:rPr>
                <w:rFonts w:ascii="Arial" w:cs="Arial" w:eastAsia="Arial" w:hAnsi="Arial"/>
                <w:sz w:val="22"/>
                <w:szCs w:val="22"/>
                <w:color w:val="auto"/>
                <w:w w:val="99"/>
              </w:rPr>
              <w:t>Vice Chairman and Partner,</w:t>
            </w:r>
          </w:p>
        </w:tc>
      </w:tr>
      <w:tr>
        <w:trPr>
          <w:trHeight w:val="252"/>
        </w:trPr>
        <w:tc>
          <w:tcPr>
            <w:tcW w:w="2960" w:type="dxa"/>
            <w:vAlign w:val="bottom"/>
          </w:tcPr>
          <w:p>
            <w:pPr>
              <w:ind w:left="100"/>
              <w:spacing w:after="0" w:line="252" w:lineRule="exact"/>
              <w:rPr>
                <w:sz w:val="20"/>
                <w:szCs w:val="20"/>
                <w:color w:val="auto"/>
              </w:rPr>
            </w:pPr>
            <w:r>
              <w:rPr>
                <w:rFonts w:ascii="Arial" w:cs="Arial" w:eastAsia="Arial" w:hAnsi="Arial"/>
                <w:sz w:val="22"/>
                <w:szCs w:val="22"/>
                <w:color w:val="auto"/>
              </w:rPr>
              <w:t>Partner,</w:t>
            </w:r>
          </w:p>
        </w:tc>
        <w:tc>
          <w:tcPr>
            <w:tcW w:w="3140" w:type="dxa"/>
            <w:vAlign w:val="bottom"/>
          </w:tcPr>
          <w:p>
            <w:pPr>
              <w:ind w:left="260"/>
              <w:spacing w:after="0" w:line="252" w:lineRule="exact"/>
              <w:rPr>
                <w:sz w:val="20"/>
                <w:szCs w:val="20"/>
                <w:color w:val="auto"/>
              </w:rPr>
            </w:pPr>
            <w:r>
              <w:rPr>
                <w:rFonts w:ascii="Arial" w:cs="Arial" w:eastAsia="Arial" w:hAnsi="Arial"/>
                <w:sz w:val="22"/>
                <w:szCs w:val="22"/>
                <w:color w:val="auto"/>
              </w:rPr>
              <w:t>Founding Partner,</w:t>
            </w:r>
          </w:p>
        </w:tc>
        <w:tc>
          <w:tcPr>
            <w:tcW w:w="2960" w:type="dxa"/>
            <w:vAlign w:val="bottom"/>
          </w:tcPr>
          <w:p>
            <w:pPr>
              <w:ind w:left="240"/>
              <w:spacing w:after="0" w:line="252" w:lineRule="exact"/>
              <w:rPr>
                <w:sz w:val="20"/>
                <w:szCs w:val="20"/>
                <w:color w:val="auto"/>
              </w:rPr>
            </w:pPr>
            <w:r>
              <w:rPr>
                <w:rFonts w:ascii="Arial" w:cs="Arial" w:eastAsia="Arial" w:hAnsi="Arial"/>
                <w:sz w:val="22"/>
                <w:szCs w:val="22"/>
                <w:color w:val="auto"/>
              </w:rPr>
              <w:t>Perella Weinberg Partners</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Perella Weinberg Partners</w:t>
            </w:r>
          </w:p>
        </w:tc>
        <w:tc>
          <w:tcPr>
            <w:tcW w:w="3140" w:type="dxa"/>
            <w:vAlign w:val="bottom"/>
          </w:tcPr>
          <w:p>
            <w:pPr>
              <w:ind w:left="260"/>
              <w:spacing w:after="0"/>
              <w:rPr>
                <w:sz w:val="20"/>
                <w:szCs w:val="20"/>
                <w:color w:val="auto"/>
              </w:rPr>
            </w:pPr>
            <w:r>
              <w:rPr>
                <w:rFonts w:ascii="Arial" w:cs="Arial" w:eastAsia="Arial" w:hAnsi="Arial"/>
                <w:sz w:val="22"/>
                <w:szCs w:val="22"/>
                <w:color w:val="auto"/>
              </w:rPr>
              <w:t>Perella Weinberg Partners</w:t>
            </w:r>
          </w:p>
        </w:tc>
        <w:tc>
          <w:tcPr>
            <w:tcW w:w="2960" w:type="dxa"/>
            <w:vAlign w:val="bottom"/>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Dietrich Becker</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Andrew Bednar</w:t>
            </w:r>
          </w:p>
        </w:tc>
        <w:tc>
          <w:tcPr>
            <w:tcW w:w="3060" w:type="dxa"/>
            <w:vAlign w:val="bottom"/>
          </w:tcPr>
          <w:p>
            <w:pPr>
              <w:ind w:left="220"/>
              <w:spacing w:after="0"/>
              <w:rPr>
                <w:sz w:val="20"/>
                <w:szCs w:val="20"/>
                <w:color w:val="auto"/>
              </w:rPr>
            </w:pPr>
            <w:r>
              <w:rPr>
                <w:rFonts w:ascii="Arial" w:cs="Arial" w:eastAsia="Arial" w:hAnsi="Arial"/>
                <w:sz w:val="22"/>
                <w:szCs w:val="22"/>
                <w:b w:val="1"/>
                <w:bCs w:val="1"/>
                <w:color w:val="auto"/>
              </w:rPr>
              <w:t>Jorma Ollila</w:t>
            </w:r>
          </w:p>
        </w:tc>
      </w:tr>
      <w:tr>
        <w:trPr>
          <w:trHeight w:val="252"/>
        </w:trPr>
        <w:tc>
          <w:tcPr>
            <w:tcW w:w="2960" w:type="dxa"/>
            <w:vAlign w:val="bottom"/>
          </w:tcPr>
          <w:p>
            <w:pPr>
              <w:ind w:left="100"/>
              <w:spacing w:after="0" w:line="252" w:lineRule="exact"/>
              <w:rPr>
                <w:sz w:val="20"/>
                <w:szCs w:val="20"/>
                <w:color w:val="auto"/>
              </w:rPr>
            </w:pPr>
            <w:r>
              <w:rPr>
                <w:rFonts w:ascii="Arial" w:cs="Arial" w:eastAsia="Arial" w:hAnsi="Arial"/>
                <w:sz w:val="22"/>
                <w:szCs w:val="22"/>
                <w:color w:val="auto"/>
              </w:rPr>
              <w:t>President and Founding</w:t>
            </w: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Chief Executive Officer and</w:t>
            </w:r>
          </w:p>
        </w:tc>
        <w:tc>
          <w:tcPr>
            <w:tcW w:w="3060" w:type="dxa"/>
            <w:vAlign w:val="bottom"/>
          </w:tcPr>
          <w:p>
            <w:pPr>
              <w:ind w:left="220"/>
              <w:spacing w:after="0" w:line="252" w:lineRule="exact"/>
              <w:rPr>
                <w:sz w:val="20"/>
                <w:szCs w:val="20"/>
                <w:color w:val="auto"/>
              </w:rPr>
            </w:pPr>
            <w:r>
              <w:rPr>
                <w:rFonts w:ascii="Arial" w:cs="Arial" w:eastAsia="Arial" w:hAnsi="Arial"/>
                <w:sz w:val="22"/>
                <w:szCs w:val="22"/>
                <w:color w:val="auto"/>
              </w:rPr>
              <w:t>Former Chairman and CEO,</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ind w:left="260"/>
              <w:spacing w:after="0"/>
              <w:rPr>
                <w:sz w:val="20"/>
                <w:szCs w:val="20"/>
                <w:color w:val="auto"/>
              </w:rPr>
            </w:pPr>
            <w:r>
              <w:rPr>
                <w:rFonts w:ascii="Arial" w:cs="Arial" w:eastAsia="Arial" w:hAnsi="Arial"/>
                <w:sz w:val="22"/>
                <w:szCs w:val="22"/>
                <w:color w:val="auto"/>
              </w:rPr>
              <w:t>Founding Partner,</w:t>
            </w:r>
          </w:p>
        </w:tc>
        <w:tc>
          <w:tcPr>
            <w:tcW w:w="3060" w:type="dxa"/>
            <w:vAlign w:val="bottom"/>
          </w:tcPr>
          <w:p>
            <w:pPr>
              <w:ind w:left="220"/>
              <w:spacing w:after="0"/>
              <w:rPr>
                <w:sz w:val="20"/>
                <w:szCs w:val="20"/>
                <w:color w:val="auto"/>
              </w:rPr>
            </w:pPr>
            <w:r>
              <w:rPr>
                <w:rFonts w:ascii="Arial" w:cs="Arial" w:eastAsia="Arial" w:hAnsi="Arial"/>
                <w:sz w:val="22"/>
                <w:szCs w:val="22"/>
                <w:color w:val="auto"/>
              </w:rPr>
              <w:t>Nokia</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Perella Weinberg Partners</w:t>
            </w:r>
          </w:p>
        </w:tc>
        <w:tc>
          <w:tcPr>
            <w:tcW w:w="3160" w:type="dxa"/>
            <w:vAlign w:val="bottom"/>
          </w:tcPr>
          <w:p>
            <w:pPr>
              <w:ind w:left="260"/>
              <w:spacing w:after="0"/>
              <w:rPr>
                <w:sz w:val="20"/>
                <w:szCs w:val="20"/>
                <w:color w:val="auto"/>
              </w:rPr>
            </w:pPr>
            <w:r>
              <w:rPr>
                <w:rFonts w:ascii="Arial" w:cs="Arial" w:eastAsia="Arial" w:hAnsi="Arial"/>
                <w:sz w:val="22"/>
                <w:szCs w:val="22"/>
                <w:color w:val="auto"/>
              </w:rPr>
              <w:t>Perella Weinberg Partners</w:t>
            </w:r>
          </w:p>
        </w:tc>
        <w:tc>
          <w:tcPr>
            <w:tcW w:w="3060" w:type="dxa"/>
            <w:vAlign w:val="bottom"/>
          </w:tcPr>
          <w:p>
            <w:pPr>
              <w:spacing w:after="0"/>
              <w:rPr>
                <w:sz w:val="24"/>
                <w:szCs w:val="24"/>
                <w:color w:val="auto"/>
              </w:rPr>
            </w:pPr>
          </w:p>
        </w:tc>
      </w:tr>
      <w:tr>
        <w:trPr>
          <w:trHeight w:val="455"/>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Jane C. Sherburne</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Elizabeth (Beth) Cogan</w:t>
            </w:r>
          </w:p>
        </w:tc>
        <w:tc>
          <w:tcPr>
            <w:tcW w:w="3060" w:type="dxa"/>
            <w:vAlign w:val="bottom"/>
          </w:tcPr>
          <w:p>
            <w:pPr>
              <w:ind w:left="220"/>
              <w:spacing w:after="0"/>
              <w:rPr>
                <w:sz w:val="20"/>
                <w:szCs w:val="20"/>
                <w:color w:val="auto"/>
              </w:rPr>
            </w:pPr>
            <w:r>
              <w:rPr>
                <w:rFonts w:ascii="Arial" w:cs="Arial" w:eastAsia="Arial" w:hAnsi="Arial"/>
                <w:sz w:val="22"/>
                <w:szCs w:val="22"/>
                <w:b w:val="1"/>
                <w:bCs w:val="1"/>
                <w:color w:val="auto"/>
              </w:rPr>
              <w:t>Kristin W. Mugford</w:t>
            </w:r>
          </w:p>
        </w:tc>
      </w:tr>
      <w:tr>
        <w:trPr>
          <w:trHeight w:val="255"/>
        </w:trPr>
        <w:tc>
          <w:tcPr>
            <w:tcW w:w="2960" w:type="dxa"/>
            <w:vAlign w:val="bottom"/>
          </w:tcPr>
          <w:p>
            <w:pPr>
              <w:ind w:left="100"/>
              <w:spacing w:after="0"/>
              <w:rPr>
                <w:sz w:val="20"/>
                <w:szCs w:val="20"/>
                <w:color w:val="auto"/>
              </w:rPr>
            </w:pPr>
            <w:r>
              <w:rPr>
                <w:rFonts w:ascii="Arial" w:cs="Arial" w:eastAsia="Arial" w:hAnsi="Arial"/>
                <w:sz w:val="22"/>
                <w:szCs w:val="22"/>
                <w:color w:val="auto"/>
              </w:rPr>
              <w:t>Principal,</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Fascitelli</w:t>
            </w:r>
          </w:p>
        </w:tc>
        <w:tc>
          <w:tcPr>
            <w:tcW w:w="3060" w:type="dxa"/>
            <w:vAlign w:val="bottom"/>
          </w:tcPr>
          <w:p>
            <w:pPr>
              <w:ind w:left="220"/>
              <w:spacing w:after="0"/>
              <w:rPr>
                <w:sz w:val="20"/>
                <w:szCs w:val="20"/>
                <w:color w:val="auto"/>
              </w:rPr>
            </w:pPr>
            <w:r>
              <w:rPr>
                <w:rFonts w:ascii="Arial" w:cs="Arial" w:eastAsia="Arial" w:hAnsi="Arial"/>
                <w:sz w:val="22"/>
                <w:szCs w:val="22"/>
                <w:color w:val="auto"/>
              </w:rPr>
              <w:t>Melvin Tukman Senior</w:t>
            </w:r>
          </w:p>
        </w:tc>
      </w:tr>
      <w:tr>
        <w:trPr>
          <w:trHeight w:val="254"/>
        </w:trPr>
        <w:tc>
          <w:tcPr>
            <w:tcW w:w="2960" w:type="dxa"/>
            <w:vAlign w:val="bottom"/>
          </w:tcPr>
          <w:p>
            <w:pPr>
              <w:ind w:left="100"/>
              <w:spacing w:after="0"/>
              <w:rPr>
                <w:sz w:val="20"/>
                <w:szCs w:val="20"/>
                <w:color w:val="auto"/>
              </w:rPr>
            </w:pPr>
            <w:r>
              <w:rPr>
                <w:rFonts w:ascii="Arial" w:cs="Arial" w:eastAsia="Arial" w:hAnsi="Arial"/>
                <w:sz w:val="22"/>
                <w:szCs w:val="22"/>
                <w:color w:val="auto"/>
              </w:rPr>
              <w:t>Sherburne PLLC</w:t>
            </w:r>
          </w:p>
        </w:tc>
        <w:tc>
          <w:tcPr>
            <w:tcW w:w="3160" w:type="dxa"/>
            <w:vAlign w:val="bottom"/>
          </w:tcPr>
          <w:p>
            <w:pPr>
              <w:ind w:left="260"/>
              <w:spacing w:after="0"/>
              <w:rPr>
                <w:sz w:val="20"/>
                <w:szCs w:val="20"/>
                <w:color w:val="auto"/>
              </w:rPr>
            </w:pPr>
            <w:r>
              <w:rPr>
                <w:rFonts w:ascii="Arial" w:cs="Arial" w:eastAsia="Arial" w:hAnsi="Arial"/>
                <w:sz w:val="22"/>
                <w:szCs w:val="22"/>
                <w:color w:val="auto"/>
              </w:rPr>
              <w:t>Former Partner and</w:t>
            </w:r>
          </w:p>
        </w:tc>
        <w:tc>
          <w:tcPr>
            <w:tcW w:w="3060" w:type="dxa"/>
            <w:vAlign w:val="bottom"/>
          </w:tcPr>
          <w:p>
            <w:pPr>
              <w:ind w:left="220"/>
              <w:spacing w:after="0"/>
              <w:rPr>
                <w:sz w:val="20"/>
                <w:szCs w:val="20"/>
                <w:color w:val="auto"/>
              </w:rPr>
            </w:pPr>
            <w:r>
              <w:rPr>
                <w:rFonts w:ascii="Arial" w:cs="Arial" w:eastAsia="Arial" w:hAnsi="Arial"/>
                <w:sz w:val="22"/>
                <w:szCs w:val="22"/>
                <w:color w:val="auto"/>
              </w:rPr>
              <w:t>Lecturer of Business</w:t>
            </w:r>
          </w:p>
        </w:tc>
      </w:tr>
      <w:tr>
        <w:trPr>
          <w:trHeight w:val="252"/>
        </w:trPr>
        <w:tc>
          <w:tcPr>
            <w:tcW w:w="2960" w:type="dxa"/>
            <w:vAlign w:val="bottom"/>
          </w:tcPr>
          <w:p>
            <w:pPr>
              <w:spacing w:after="0"/>
              <w:rPr>
                <w:sz w:val="21"/>
                <w:szCs w:val="21"/>
                <w:color w:val="auto"/>
              </w:rPr>
            </w:pP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Managing Director,</w:t>
            </w:r>
          </w:p>
        </w:tc>
        <w:tc>
          <w:tcPr>
            <w:tcW w:w="3060" w:type="dxa"/>
            <w:vAlign w:val="bottom"/>
          </w:tcPr>
          <w:p>
            <w:pPr>
              <w:ind w:left="220"/>
              <w:spacing w:after="0" w:line="252" w:lineRule="exact"/>
              <w:rPr>
                <w:sz w:val="20"/>
                <w:szCs w:val="20"/>
                <w:color w:val="auto"/>
              </w:rPr>
            </w:pPr>
            <w:r>
              <w:rPr>
                <w:rFonts w:ascii="Arial" w:cs="Arial" w:eastAsia="Arial" w:hAnsi="Arial"/>
                <w:sz w:val="22"/>
                <w:szCs w:val="22"/>
                <w:color w:val="auto"/>
                <w:w w:val="99"/>
              </w:rPr>
              <w:t>Administration in the Finance</w:t>
            </w:r>
          </w:p>
        </w:tc>
      </w:tr>
      <w:tr>
        <w:trPr>
          <w:trHeight w:val="255"/>
        </w:trPr>
        <w:tc>
          <w:tcPr>
            <w:tcW w:w="2960" w:type="dxa"/>
            <w:vAlign w:val="bottom"/>
          </w:tcPr>
          <w:p>
            <w:pPr>
              <w:spacing w:after="0"/>
              <w:rPr>
                <w:sz w:val="22"/>
                <w:szCs w:val="22"/>
                <w:color w:val="auto"/>
              </w:rPr>
            </w:pPr>
          </w:p>
        </w:tc>
        <w:tc>
          <w:tcPr>
            <w:tcW w:w="3160" w:type="dxa"/>
            <w:vAlign w:val="bottom"/>
          </w:tcPr>
          <w:p>
            <w:pPr>
              <w:ind w:left="260"/>
              <w:spacing w:after="0"/>
              <w:rPr>
                <w:sz w:val="20"/>
                <w:szCs w:val="20"/>
                <w:color w:val="auto"/>
              </w:rPr>
            </w:pPr>
            <w:r>
              <w:rPr>
                <w:rFonts w:ascii="Arial" w:cs="Arial" w:eastAsia="Arial" w:hAnsi="Arial"/>
                <w:sz w:val="22"/>
                <w:szCs w:val="22"/>
                <w:color w:val="auto"/>
              </w:rPr>
              <w:t>Goldman Sachs Group</w:t>
            </w:r>
          </w:p>
        </w:tc>
        <w:tc>
          <w:tcPr>
            <w:tcW w:w="3060" w:type="dxa"/>
            <w:vAlign w:val="bottom"/>
          </w:tcPr>
          <w:p>
            <w:pPr>
              <w:ind w:left="220"/>
              <w:spacing w:after="0"/>
              <w:rPr>
                <w:sz w:val="20"/>
                <w:szCs w:val="20"/>
                <w:color w:val="auto"/>
              </w:rPr>
            </w:pPr>
            <w:r>
              <w:rPr>
                <w:rFonts w:ascii="Arial" w:cs="Arial" w:eastAsia="Arial" w:hAnsi="Arial"/>
                <w:sz w:val="22"/>
                <w:szCs w:val="22"/>
                <w:color w:val="auto"/>
              </w:rPr>
              <w:t>Unit,</w:t>
            </w:r>
          </w:p>
        </w:tc>
      </w:tr>
      <w:tr>
        <w:trPr>
          <w:trHeight w:val="300"/>
        </w:trPr>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60" w:type="dxa"/>
            <w:vAlign w:val="bottom"/>
          </w:tcPr>
          <w:p>
            <w:pPr>
              <w:ind w:left="220"/>
              <w:spacing w:after="0"/>
              <w:rPr>
                <w:sz w:val="20"/>
                <w:szCs w:val="20"/>
                <w:color w:val="auto"/>
              </w:rPr>
            </w:pPr>
            <w:r>
              <w:rPr>
                <w:rFonts w:ascii="Arial" w:cs="Arial" w:eastAsia="Arial" w:hAnsi="Arial"/>
                <w:sz w:val="22"/>
                <w:szCs w:val="22"/>
                <w:color w:val="auto"/>
              </w:rPr>
              <w:t>Harvard Business School</w:t>
            </w:r>
          </w:p>
        </w:tc>
      </w:tr>
      <w:tr>
        <w:trPr>
          <w:trHeight w:val="770"/>
        </w:trPr>
        <w:tc>
          <w:tcPr>
            <w:tcW w:w="2960" w:type="dxa"/>
            <w:vAlign w:val="bottom"/>
          </w:tcPr>
          <w:p>
            <w:pPr>
              <w:spacing w:after="0"/>
              <w:rPr>
                <w:sz w:val="20"/>
                <w:szCs w:val="20"/>
                <w:color w:val="auto"/>
              </w:rPr>
            </w:pPr>
            <w:r>
              <w:rPr>
                <w:rFonts w:ascii="Arial" w:cs="Arial" w:eastAsia="Arial" w:hAnsi="Arial"/>
                <w:sz w:val="22"/>
                <w:szCs w:val="22"/>
                <w:b w:val="1"/>
                <w:bCs w:val="1"/>
                <w:color w:val="503C64"/>
              </w:rPr>
              <w:t>Key Management</w:t>
            </w:r>
          </w:p>
        </w:tc>
        <w:tc>
          <w:tcPr>
            <w:tcW w:w="31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47"/>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Peter A. Weinberg</w:t>
            </w:r>
          </w:p>
        </w:tc>
        <w:tc>
          <w:tcPr>
            <w:tcW w:w="3160" w:type="dxa"/>
            <w:vAlign w:val="bottom"/>
          </w:tcPr>
          <w:p>
            <w:pPr>
              <w:ind w:left="260"/>
              <w:spacing w:after="0"/>
              <w:rPr>
                <w:sz w:val="20"/>
                <w:szCs w:val="20"/>
                <w:color w:val="auto"/>
              </w:rPr>
            </w:pPr>
            <w:r>
              <w:rPr>
                <w:rFonts w:ascii="Arial" w:cs="Arial" w:eastAsia="Arial" w:hAnsi="Arial"/>
                <w:sz w:val="22"/>
                <w:szCs w:val="22"/>
                <w:b w:val="1"/>
                <w:bCs w:val="1"/>
                <w:color w:val="auto"/>
              </w:rPr>
              <w:t>Andrew Bednar</w:t>
            </w:r>
          </w:p>
        </w:tc>
        <w:tc>
          <w:tcPr>
            <w:tcW w:w="3060" w:type="dxa"/>
            <w:vAlign w:val="bottom"/>
          </w:tcPr>
          <w:p>
            <w:pPr>
              <w:ind w:left="220"/>
              <w:spacing w:after="0"/>
              <w:rPr>
                <w:sz w:val="20"/>
                <w:szCs w:val="20"/>
                <w:color w:val="auto"/>
              </w:rPr>
            </w:pPr>
            <w:r>
              <w:rPr>
                <w:rFonts w:ascii="Arial" w:cs="Arial" w:eastAsia="Arial" w:hAnsi="Arial"/>
                <w:sz w:val="22"/>
                <w:szCs w:val="22"/>
                <w:b w:val="1"/>
                <w:bCs w:val="1"/>
                <w:color w:val="auto"/>
              </w:rPr>
              <w:t>Dietrich Becker</w:t>
            </w:r>
          </w:p>
        </w:tc>
      </w:tr>
      <w:tr>
        <w:trPr>
          <w:trHeight w:val="252"/>
        </w:trPr>
        <w:tc>
          <w:tcPr>
            <w:tcW w:w="2960" w:type="dxa"/>
            <w:vAlign w:val="bottom"/>
          </w:tcPr>
          <w:p>
            <w:pPr>
              <w:ind w:left="100"/>
              <w:spacing w:after="0" w:line="252" w:lineRule="exact"/>
              <w:rPr>
                <w:sz w:val="20"/>
                <w:szCs w:val="20"/>
                <w:color w:val="auto"/>
              </w:rPr>
            </w:pPr>
            <w:r>
              <w:rPr>
                <w:rFonts w:ascii="Arial" w:cs="Arial" w:eastAsia="Arial" w:hAnsi="Arial"/>
                <w:sz w:val="22"/>
                <w:szCs w:val="22"/>
                <w:color w:val="auto"/>
              </w:rPr>
              <w:t>Chairman and Founding</w:t>
            </w:r>
          </w:p>
        </w:tc>
        <w:tc>
          <w:tcPr>
            <w:tcW w:w="3160" w:type="dxa"/>
            <w:vAlign w:val="bottom"/>
          </w:tcPr>
          <w:p>
            <w:pPr>
              <w:ind w:left="260"/>
              <w:spacing w:after="0" w:line="252" w:lineRule="exact"/>
              <w:rPr>
                <w:sz w:val="20"/>
                <w:szCs w:val="20"/>
                <w:color w:val="auto"/>
              </w:rPr>
            </w:pPr>
            <w:r>
              <w:rPr>
                <w:rFonts w:ascii="Arial" w:cs="Arial" w:eastAsia="Arial" w:hAnsi="Arial"/>
                <w:sz w:val="22"/>
                <w:szCs w:val="22"/>
                <w:color w:val="auto"/>
              </w:rPr>
              <w:t>Chief Executive Officer and</w:t>
            </w:r>
          </w:p>
        </w:tc>
        <w:tc>
          <w:tcPr>
            <w:tcW w:w="3060" w:type="dxa"/>
            <w:vAlign w:val="bottom"/>
          </w:tcPr>
          <w:p>
            <w:pPr>
              <w:ind w:left="220"/>
              <w:spacing w:after="0" w:line="252" w:lineRule="exact"/>
              <w:rPr>
                <w:sz w:val="20"/>
                <w:szCs w:val="20"/>
                <w:color w:val="auto"/>
              </w:rPr>
            </w:pPr>
            <w:r>
              <w:rPr>
                <w:rFonts w:ascii="Arial" w:cs="Arial" w:eastAsia="Arial" w:hAnsi="Arial"/>
                <w:sz w:val="22"/>
                <w:szCs w:val="22"/>
                <w:color w:val="auto"/>
              </w:rPr>
              <w:t>President and Founding</w:t>
            </w: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ind w:left="260"/>
              <w:spacing w:after="0"/>
              <w:rPr>
                <w:sz w:val="20"/>
                <w:szCs w:val="20"/>
                <w:color w:val="auto"/>
              </w:rPr>
            </w:pPr>
            <w:r>
              <w:rPr>
                <w:rFonts w:ascii="Arial" w:cs="Arial" w:eastAsia="Arial" w:hAnsi="Arial"/>
                <w:sz w:val="22"/>
                <w:szCs w:val="22"/>
                <w:color w:val="auto"/>
              </w:rPr>
              <w:t>Founding Partner</w:t>
            </w:r>
          </w:p>
        </w:tc>
        <w:tc>
          <w:tcPr>
            <w:tcW w:w="3060" w:type="dxa"/>
            <w:vAlign w:val="bottom"/>
          </w:tcPr>
          <w:p>
            <w:pPr>
              <w:ind w:left="220"/>
              <w:spacing w:after="0"/>
              <w:rPr>
                <w:sz w:val="20"/>
                <w:szCs w:val="20"/>
                <w:color w:val="auto"/>
              </w:rPr>
            </w:pPr>
            <w:r>
              <w:rPr>
                <w:rFonts w:ascii="Arial" w:cs="Arial" w:eastAsia="Arial" w:hAnsi="Arial"/>
                <w:sz w:val="22"/>
                <w:szCs w:val="22"/>
                <w:color w:val="auto"/>
              </w:rPr>
              <w:t>Partner</w:t>
            </w:r>
          </w:p>
        </w:tc>
      </w:tr>
      <w:tr>
        <w:trPr>
          <w:trHeight w:val="713"/>
        </w:trPr>
        <w:tc>
          <w:tcPr>
            <w:tcW w:w="2960" w:type="dxa"/>
            <w:vAlign w:val="bottom"/>
          </w:tcPr>
          <w:p>
            <w:pPr>
              <w:ind w:left="100"/>
              <w:spacing w:after="0"/>
              <w:rPr>
                <w:sz w:val="20"/>
                <w:szCs w:val="20"/>
                <w:color w:val="auto"/>
              </w:rPr>
            </w:pPr>
            <w:r>
              <w:rPr>
                <w:rFonts w:ascii="Arial" w:cs="Arial" w:eastAsia="Arial" w:hAnsi="Arial"/>
                <w:sz w:val="22"/>
                <w:szCs w:val="22"/>
                <w:b w:val="1"/>
                <w:bCs w:val="1"/>
                <w:color w:val="auto"/>
              </w:rPr>
              <w:t>Alexandra Gottschalk</w:t>
            </w:r>
          </w:p>
        </w:tc>
        <w:tc>
          <w:tcPr>
            <w:tcW w:w="31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2"/>
        </w:trPr>
        <w:tc>
          <w:tcPr>
            <w:tcW w:w="2960" w:type="dxa"/>
            <w:vAlign w:val="bottom"/>
          </w:tcPr>
          <w:p>
            <w:pPr>
              <w:ind w:left="100"/>
              <w:spacing w:after="0"/>
              <w:rPr>
                <w:sz w:val="20"/>
                <w:szCs w:val="20"/>
                <w:color w:val="auto"/>
              </w:rPr>
            </w:pPr>
            <w:r>
              <w:rPr>
                <w:rFonts w:ascii="Arial" w:cs="Arial" w:eastAsia="Arial" w:hAnsi="Arial"/>
                <w:sz w:val="22"/>
                <w:szCs w:val="22"/>
                <w:color w:val="auto"/>
              </w:rPr>
              <w:t>Chief Financial Officer and</w:t>
            </w:r>
          </w:p>
        </w:tc>
        <w:tc>
          <w:tcPr>
            <w:tcW w:w="31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300"/>
        </w:trPr>
        <w:tc>
          <w:tcPr>
            <w:tcW w:w="2960" w:type="dxa"/>
            <w:vAlign w:val="bottom"/>
          </w:tcPr>
          <w:p>
            <w:pPr>
              <w:ind w:left="100"/>
              <w:spacing w:after="0"/>
              <w:rPr>
                <w:sz w:val="20"/>
                <w:szCs w:val="20"/>
                <w:color w:val="auto"/>
              </w:rPr>
            </w:pPr>
            <w:r>
              <w:rPr>
                <w:rFonts w:ascii="Arial" w:cs="Arial" w:eastAsia="Arial" w:hAnsi="Arial"/>
                <w:sz w:val="22"/>
                <w:szCs w:val="22"/>
                <w:color w:val="auto"/>
              </w:rPr>
              <w:t>Partner</w:t>
            </w:r>
          </w:p>
        </w:tc>
        <w:tc>
          <w:tcPr>
            <w:tcW w:w="316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1" w:lineRule="exact"/>
        <w:rPr>
          <w:sz w:val="20"/>
          <w:szCs w:val="20"/>
          <w:color w:val="auto"/>
        </w:rPr>
      </w:pP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3"/>
    </w:lvl>
  </w:abstractNum>
  <w:abstractNum w:abstractNumId="5">
    <w:nsid w:val="140E0F76"/>
    <w:multiLevelType w:val="hybridMultilevel"/>
    <w:lvl w:ilvl="0">
      <w:lvlJc w:val="left"/>
      <w:lvlText w:val="&amp;"/>
      <w:numFmt w:val="bullet"/>
      <w:start w:val="1"/>
    </w:lvl>
  </w:abstractNum>
  <w:abstractNum w:abstractNumId="6">
    <w:nsid w:val="3352255A"/>
    <w:multiLevelType w:val="hybridMultilevel"/>
    <w:lvl w:ilvl="0">
      <w:lvlJc w:val="left"/>
      <w:lvlText w:val="(%1)"/>
      <w:numFmt w:val="lowerRoman"/>
      <w:start w:val="3"/>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2025-04-11T22:36:12Z</dcterms:created>
  <dcterms:modified xsi:type="dcterms:W3CDTF">2025-04-11T22:36:12Z</dcterms:modified>
</cp:coreProperties>
</file>