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8, 2024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2024, Perella Weinberg Partners (the “Company”) issued a press release announcing its financial results for the fiscal quarter ended September 30, 2024.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November 8, 2024</w:t>
            </w:r>
          </w:p>
        </w:tc>
        <w:tc>
          <w:tcPr>
            <w:tcW w:w="532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3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8, 2024</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Third Quarter 2024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Third Quarter</w:t>
      </w:r>
    </w:p>
    <w:p>
      <w:pPr>
        <w:spacing w:after="0" w:line="19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$278 Million, Up 100%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Pre-Tax Income of $52 Million, GAAP Pre-Tax Income of $36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$0.34; GAAP Diluted EPS of $0.24</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Nine Months</w:t>
      </w:r>
    </w:p>
    <w:p>
      <w:pPr>
        <w:spacing w:after="0" w:line="204"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$652 Million, Up 50%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Pre-Tax Income of $97 Million, GAAP Pre-Tax Loss of $(96)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$0.69; GAAP Diluted EPS of $(1.61)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9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Year-to-Date Added Five New Partners and Eleven New Managing Directors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$335 Million of Cash, Cash Equivalents and Short-Term Investments and No Debt</w:t>
      </w:r>
    </w:p>
    <w:p>
      <w:pPr>
        <w:spacing w:after="0" w:line="188" w:lineRule="exact"/>
        <w:rPr>
          <w:rFonts w:ascii="Arial" w:cs="Arial" w:eastAsia="Arial" w:hAnsi="Arial"/>
          <w:sz w:val="20"/>
          <w:szCs w:val="20"/>
          <w:i w:val="1"/>
          <w:iCs w:val="1"/>
          <w:color w:val="auto"/>
        </w:rPr>
      </w:pPr>
    </w:p>
    <w:p>
      <w:pPr>
        <w:ind w:left="580" w:right="780" w:hanging="329"/>
        <w:spacing w:after="0" w:line="271" w:lineRule="auto"/>
        <w:tabs>
          <w:tab w:leader="none" w:pos="568"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Retired Approximately 12.3 Million Shares and Share Equivalents through Purchase, Exchange and Net Settlement</w:t>
      </w:r>
    </w:p>
    <w:p>
      <w:pPr>
        <w:spacing w:after="0" w:line="12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Returned $215 Million to Equity Holders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889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240" w:right="140"/>
        <w:spacing w:after="0" w:line="320" w:lineRule="auto"/>
        <w:rPr>
          <w:sz w:val="20"/>
          <w:szCs w:val="20"/>
          <w:color w:val="auto"/>
        </w:rPr>
      </w:pPr>
      <w:r>
        <w:rPr>
          <w:rFonts w:ascii="Arial" w:cs="Arial" w:eastAsia="Arial" w:hAnsi="Arial"/>
          <w:sz w:val="20"/>
          <w:szCs w:val="20"/>
          <w:color w:val="auto"/>
        </w:rPr>
        <w:t>“We delivered another record quarter and for the nine-month period produced the highest revenue in the Firm’s history. Our performance demonstrates the strength of our franchise and the benefit of our increasing scale and broadening client coverage in an improving operating environment. Our priority remains providing best-in-class advice to our clients, and in turn, delivering more value for our shareholders,” stated Andrew Bednar, Chief Executive Officer.</w:t>
      </w:r>
    </w:p>
    <w:p>
      <w:pPr>
        <w:spacing w:after="0" w:line="200" w:lineRule="exact"/>
        <w:rPr>
          <w:sz w:val="20"/>
          <w:szCs w:val="20"/>
          <w:color w:val="auto"/>
        </w:rPr>
      </w:pPr>
    </w:p>
    <w:p>
      <w:pPr>
        <w:spacing w:after="0" w:line="232" w:lineRule="exact"/>
        <w:rPr>
          <w:sz w:val="20"/>
          <w:szCs w:val="20"/>
          <w:color w:val="auto"/>
        </w:rPr>
      </w:pPr>
    </w:p>
    <w:p>
      <w:pPr>
        <w:ind w:right="680"/>
        <w:spacing w:after="0" w:line="344" w:lineRule="auto"/>
        <w:rPr>
          <w:sz w:val="20"/>
          <w:szCs w:val="20"/>
          <w:color w:val="auto"/>
        </w:rPr>
      </w:pPr>
      <w:r>
        <w:rPr>
          <w:rFonts w:ascii="Arial" w:cs="Arial" w:eastAsia="Arial" w:hAnsi="Arial"/>
          <w:sz w:val="20"/>
          <w:szCs w:val="20"/>
          <w:b w:val="1"/>
          <w:bCs w:val="1"/>
          <w:color w:val="auto"/>
        </w:rPr>
        <w:t xml:space="preserve">NEW YORK, NY, November 8, 2024 </w:t>
      </w:r>
      <w:r>
        <w:rPr>
          <w:rFonts w:ascii="Arial" w:cs="Arial" w:eastAsia="Arial" w:hAnsi="Arial"/>
          <w:sz w:val="20"/>
          <w:szCs w:val="20"/>
          <w:color w:val="auto"/>
        </w:rPr>
        <w:t>– Perella Weinberg Partners (the “Firm” or “PWP”) (NASDAQ:PWP) today reported</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results for the third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99"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the third quarter of 2024, revenues were $278.2 million, an increase of 100% from $139.0 million for the third quarter of 2023. For the nine months ended September 30, 2024, revenues were $652.4 million, an increase of 50% from $436.0 million for the nine months ended September 30, 2023. The higher revenues in both current year periods was attributable to increased mergers and acquisition and financing and capital solutions activity, driven by larger transactions and related fee events across the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ectPr>
          <w:pgSz w:w="11900" w:h="16838" w:orient="portrait"/>
          <w:cols w:equalWidth="0" w:num="1">
            <w:col w:w="11240"/>
          </w:cols>
          <w:pgMar w:left="320" w:top="1412" w:right="339" w:bottom="1440" w:gutter="0" w:footer="0" w:header="0"/>
        </w:sectPr>
      </w:pPr>
    </w:p>
    <w:p>
      <w:pPr>
        <w:spacing w:after="0" w:line="288" w:lineRule="exact"/>
        <w:rPr>
          <w:sz w:val="20"/>
          <w:szCs w:val="20"/>
          <w:color w:val="auto"/>
        </w:rPr>
      </w:pPr>
    </w:p>
    <w:p>
      <w:pPr>
        <w:jc w:val="center"/>
        <w:ind w:left="2080"/>
        <w:spacing w:after="0"/>
        <w:rPr>
          <w:sz w:val="20"/>
          <w:szCs w:val="20"/>
          <w:color w:val="auto"/>
        </w:rPr>
      </w:pPr>
      <w:r>
        <w:rPr>
          <w:rFonts w:ascii="Arial" w:cs="Arial" w:eastAsia="Arial" w:hAnsi="Arial"/>
          <w:sz w:val="17"/>
          <w:szCs w:val="17"/>
          <w:b w:val="1"/>
          <w:bCs w:val="1"/>
          <w:color w:val="503C64"/>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24765</wp:posOffset>
            </wp:positionV>
            <wp:extent cx="2768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1" w:lineRule="exact"/>
        <w:rPr>
          <w:sz w:val="20"/>
          <w:szCs w:val="20"/>
          <w:color w:val="auto"/>
        </w:rPr>
      </w:pPr>
    </w:p>
    <w:p>
      <w:pPr>
        <w:ind w:left="3040"/>
        <w:spacing w:after="0"/>
        <w:tabs>
          <w:tab w:leader="none" w:pos="5240" w:val="left"/>
        </w:tabs>
        <w:rPr>
          <w:sz w:val="20"/>
          <w:szCs w:val="20"/>
          <w:color w:val="auto"/>
        </w:rPr>
      </w:pPr>
      <w:r>
        <w:rPr>
          <w:rFonts w:ascii="Arial" w:cs="Arial" w:eastAsia="Arial" w:hAnsi="Arial"/>
          <w:sz w:val="18"/>
          <w:szCs w:val="18"/>
          <w:b w:val="1"/>
          <w:bCs w:val="1"/>
          <w:color w:val="503C64"/>
        </w:rPr>
        <w:t>2024</w:t>
      </w:r>
      <w:r>
        <w:rPr>
          <w:sz w:val="20"/>
          <w:szCs w:val="20"/>
          <w:color w:val="auto"/>
        </w:rPr>
        <w:tab/>
      </w:r>
      <w:r>
        <w:rPr>
          <w:rFonts w:ascii="Arial" w:cs="Arial" w:eastAsia="Arial" w:hAnsi="Arial"/>
          <w:sz w:val="18"/>
          <w:szCs w:val="18"/>
          <w:b w:val="1"/>
          <w:bCs w:val="1"/>
          <w:color w:val="503C64"/>
        </w:rPr>
        <w:t>2023</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940"/>
        <w:spacing w:after="0"/>
        <w:rPr>
          <w:sz w:val="20"/>
          <w:szCs w:val="20"/>
          <w:color w:val="auto"/>
        </w:rPr>
      </w:pPr>
      <w:r>
        <w:rPr>
          <w:rFonts w:ascii="Arial" w:cs="Arial" w:eastAsia="Arial" w:hAnsi="Arial"/>
          <w:sz w:val="17"/>
          <w:szCs w:val="17"/>
          <w:b w:val="1"/>
          <w:bCs w:val="1"/>
          <w:color w:val="503C64"/>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24765</wp:posOffset>
            </wp:positionV>
            <wp:extent cx="2811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1" w:lineRule="exact"/>
        <w:rPr>
          <w:sz w:val="20"/>
          <w:szCs w:val="20"/>
          <w:color w:val="auto"/>
        </w:rPr>
      </w:pPr>
    </w:p>
    <w:p>
      <w:pPr>
        <w:ind w:left="140"/>
        <w:spacing w:after="0"/>
        <w:tabs>
          <w:tab w:leader="none" w:pos="2380" w:val="left"/>
        </w:tabs>
        <w:rPr>
          <w:sz w:val="20"/>
          <w:szCs w:val="20"/>
          <w:color w:val="auto"/>
        </w:rPr>
      </w:pPr>
      <w:r>
        <w:rPr>
          <w:rFonts w:ascii="Arial" w:cs="Arial" w:eastAsia="Arial" w:hAnsi="Arial"/>
          <w:sz w:val="18"/>
          <w:szCs w:val="18"/>
          <w:b w:val="1"/>
          <w:bCs w:val="1"/>
          <w:color w:val="503C64"/>
        </w:rPr>
        <w:t>2024</w:t>
      </w:r>
      <w:r>
        <w:rPr>
          <w:sz w:val="20"/>
          <w:szCs w:val="20"/>
          <w:color w:val="auto"/>
        </w:rPr>
        <w:tab/>
      </w:r>
      <w:r>
        <w:rPr>
          <w:rFonts w:ascii="Arial" w:cs="Arial" w:eastAsia="Arial" w:hAnsi="Arial"/>
          <w:sz w:val="18"/>
          <w:szCs w:val="18"/>
          <w:b w:val="1"/>
          <w:bCs w:val="1"/>
          <w:color w:val="503C64"/>
        </w:rPr>
        <w:t>2023</w:t>
      </w:r>
    </w:p>
    <w:p>
      <w:pPr>
        <w:spacing w:after="0" w:line="24" w:lineRule="exact"/>
        <w:rPr>
          <w:sz w:val="20"/>
          <w:szCs w:val="20"/>
          <w:color w:val="auto"/>
        </w:rPr>
      </w:pPr>
    </w:p>
    <w:p>
      <w:pPr>
        <w:sectPr>
          <w:pgSz w:w="11900" w:h="16838" w:orient="portrait"/>
          <w:cols w:equalWidth="0" w:num="2">
            <w:col w:w="6620" w:space="720"/>
            <w:col w:w="3900"/>
          </w:cols>
          <w:pgMar w:left="320" w:top="1412" w:right="339" w:bottom="1440" w:gutter="0" w:footer="0" w:header="0"/>
          <w:type w:val="continuous"/>
        </w:sectPr>
      </w:pPr>
    </w:p>
    <w:tbl>
      <w:tblPr>
        <w:tblLayout w:type="fixed"/>
        <w:tblInd w:w="220" w:type="dxa"/>
        <w:tblCellMar>
          <w:top w:w="0" w:type="dxa"/>
          <w:left w:w="0" w:type="dxa"/>
          <w:bottom w:w="0" w:type="dxa"/>
          <w:right w:w="0" w:type="dxa"/>
        </w:tblCellMar>
      </w:tblPr>
      <w:tr>
        <w:trPr>
          <w:trHeight w:val="196"/>
        </w:trPr>
        <w:tc>
          <w:tcPr>
            <w:tcW w:w="1940" w:type="dxa"/>
            <w:vAlign w:val="bottom"/>
            <w:tcBorders>
              <w:top w:val="single" w:sz="8" w:color="B6B6B6"/>
              <w:bottom w:val="single" w:sz="8" w:color="B6B6B6"/>
            </w:tcBorders>
            <w:vMerge w:val="restart"/>
          </w:tcPr>
          <w:p>
            <w:pPr>
              <w:jc w:val="center"/>
              <w:ind w:right="130"/>
              <w:spacing w:after="0"/>
              <w:rPr>
                <w:sz w:val="20"/>
                <w:szCs w:val="20"/>
                <w:color w:val="auto"/>
              </w:rPr>
            </w:pPr>
            <w:r>
              <w:rPr>
                <w:rFonts w:ascii="Arial" w:cs="Arial" w:eastAsia="Arial" w:hAnsi="Arial"/>
                <w:sz w:val="18"/>
                <w:szCs w:val="18"/>
                <w:b w:val="1"/>
                <w:bCs w:val="1"/>
                <w:color w:val="auto"/>
                <w:w w:val="99"/>
              </w:rPr>
              <w:t>Operating expenses</w:t>
            </w:r>
          </w:p>
        </w:tc>
        <w:tc>
          <w:tcPr>
            <w:tcW w:w="22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54"/>
              <w:spacing w:after="0"/>
              <w:rPr>
                <w:sz w:val="20"/>
                <w:szCs w:val="20"/>
                <w:color w:val="auto"/>
              </w:rPr>
            </w:pPr>
            <w:r>
              <w:rPr>
                <w:rFonts w:ascii="Arial" w:cs="Arial" w:eastAsia="Arial" w:hAnsi="Arial"/>
                <w:sz w:val="14"/>
                <w:szCs w:val="14"/>
                <w:b w:val="1"/>
                <w:bCs w:val="1"/>
                <w:color w:val="503C64"/>
              </w:rPr>
              <w:t>GAAP</w:t>
            </w:r>
          </w:p>
        </w:tc>
        <w:tc>
          <w:tcPr>
            <w:tcW w:w="22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ind w:right="156"/>
              <w:spacing w:after="0"/>
              <w:rPr>
                <w:sz w:val="20"/>
                <w:szCs w:val="20"/>
                <w:color w:val="auto"/>
              </w:rPr>
            </w:pPr>
            <w:r>
              <w:rPr>
                <w:rFonts w:ascii="Arial" w:cs="Arial" w:eastAsia="Arial" w:hAnsi="Arial"/>
                <w:sz w:val="14"/>
                <w:szCs w:val="14"/>
                <w:b w:val="1"/>
                <w:bCs w:val="1"/>
                <w:color w:val="503C64"/>
              </w:rPr>
              <w:t>Adjusted</w:t>
            </w:r>
          </w:p>
        </w:tc>
        <w:tc>
          <w:tcPr>
            <w:tcW w:w="26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54"/>
              <w:spacing w:after="0"/>
              <w:rPr>
                <w:sz w:val="20"/>
                <w:szCs w:val="20"/>
                <w:color w:val="auto"/>
              </w:rPr>
            </w:pPr>
            <w:r>
              <w:rPr>
                <w:rFonts w:ascii="Arial" w:cs="Arial" w:eastAsia="Arial" w:hAnsi="Arial"/>
                <w:sz w:val="14"/>
                <w:szCs w:val="14"/>
                <w:b w:val="1"/>
                <w:bCs w:val="1"/>
                <w:color w:val="503C64"/>
              </w:rPr>
              <w:t>GAAP</w:t>
            </w:r>
          </w:p>
        </w:tc>
        <w:tc>
          <w:tcPr>
            <w:tcW w:w="200" w:type="dxa"/>
            <w:vAlign w:val="bottom"/>
            <w:tcBorders>
              <w:top w:val="single" w:sz="8" w:color="B6B6B6"/>
              <w:bottom w:val="single" w:sz="8" w:color="B6B6B6"/>
            </w:tcBorders>
          </w:tcPr>
          <w:p>
            <w:pPr>
              <w:spacing w:after="0"/>
              <w:rPr>
                <w:sz w:val="17"/>
                <w:szCs w:val="17"/>
                <w:color w:val="auto"/>
              </w:rPr>
            </w:pPr>
          </w:p>
        </w:tc>
        <w:tc>
          <w:tcPr>
            <w:tcW w:w="840" w:type="dxa"/>
            <w:vAlign w:val="bottom"/>
            <w:tcBorders>
              <w:top w:val="single" w:sz="8" w:color="B6B6B6"/>
              <w:bottom w:val="single" w:sz="8" w:color="B6B6B6"/>
            </w:tcBorders>
          </w:tcPr>
          <w:p>
            <w:pPr>
              <w:jc w:val="right"/>
              <w:ind w:right="94"/>
              <w:spacing w:after="0"/>
              <w:rPr>
                <w:sz w:val="20"/>
                <w:szCs w:val="20"/>
                <w:color w:val="auto"/>
              </w:rPr>
            </w:pPr>
            <w:r>
              <w:rPr>
                <w:rFonts w:ascii="Arial" w:cs="Arial" w:eastAsia="Arial" w:hAnsi="Arial"/>
                <w:sz w:val="14"/>
                <w:szCs w:val="14"/>
                <w:b w:val="1"/>
                <w:bCs w:val="1"/>
                <w:color w:val="503C64"/>
              </w:rPr>
              <w:t>Adjusted</w:t>
            </w:r>
          </w:p>
        </w:tc>
        <w:tc>
          <w:tcPr>
            <w:tcW w:w="80" w:type="dxa"/>
            <w:vAlign w:val="bottom"/>
          </w:tcPr>
          <w:p>
            <w:pPr>
              <w:spacing w:after="0"/>
              <w:rPr>
                <w:sz w:val="17"/>
                <w:szCs w:val="17"/>
                <w:color w:val="auto"/>
              </w:rPr>
            </w:pPr>
          </w:p>
        </w:tc>
        <w:tc>
          <w:tcPr>
            <w:tcW w:w="22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54"/>
              <w:spacing w:after="0"/>
              <w:rPr>
                <w:sz w:val="20"/>
                <w:szCs w:val="20"/>
                <w:color w:val="auto"/>
              </w:rPr>
            </w:pPr>
            <w:r>
              <w:rPr>
                <w:rFonts w:ascii="Arial" w:cs="Arial" w:eastAsia="Arial" w:hAnsi="Arial"/>
                <w:sz w:val="14"/>
                <w:szCs w:val="14"/>
                <w:b w:val="1"/>
                <w:bCs w:val="1"/>
                <w:color w:val="503C64"/>
              </w:rPr>
              <w:t>GAAP</w:t>
            </w:r>
          </w:p>
        </w:tc>
        <w:tc>
          <w:tcPr>
            <w:tcW w:w="22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ind w:right="156"/>
              <w:spacing w:after="0"/>
              <w:rPr>
                <w:sz w:val="20"/>
                <w:szCs w:val="20"/>
                <w:color w:val="auto"/>
              </w:rPr>
            </w:pPr>
            <w:r>
              <w:rPr>
                <w:rFonts w:ascii="Arial" w:cs="Arial" w:eastAsia="Arial" w:hAnsi="Arial"/>
                <w:sz w:val="14"/>
                <w:szCs w:val="14"/>
                <w:b w:val="1"/>
                <w:bCs w:val="1"/>
                <w:color w:val="503C64"/>
              </w:rPr>
              <w:t>Adjusted</w:t>
            </w:r>
          </w:p>
        </w:tc>
        <w:tc>
          <w:tcPr>
            <w:tcW w:w="26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274"/>
              <w:spacing w:after="0"/>
              <w:rPr>
                <w:sz w:val="20"/>
                <w:szCs w:val="20"/>
                <w:color w:val="auto"/>
              </w:rPr>
            </w:pPr>
            <w:r>
              <w:rPr>
                <w:rFonts w:ascii="Arial" w:cs="Arial" w:eastAsia="Arial" w:hAnsi="Arial"/>
                <w:sz w:val="14"/>
                <w:szCs w:val="14"/>
                <w:b w:val="1"/>
                <w:bCs w:val="1"/>
                <w:color w:val="503C64"/>
              </w:rPr>
              <w:t>GAAP</w:t>
            </w:r>
          </w:p>
        </w:tc>
        <w:tc>
          <w:tcPr>
            <w:tcW w:w="22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3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503C64"/>
              </w:rPr>
              <w:t>(Dollars in Millions)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503C64"/>
              </w:rPr>
              <w:t>(Dollars in Millions)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Total compensation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202.3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6"/>
              <w:spacing w:after="0"/>
              <w:rPr>
                <w:sz w:val="20"/>
                <w:szCs w:val="20"/>
                <w:color w:val="auto"/>
              </w:rPr>
            </w:pPr>
            <w:r>
              <w:rPr>
                <w:rFonts w:ascii="Arial" w:cs="Arial" w:eastAsia="Arial" w:hAnsi="Arial"/>
                <w:sz w:val="18"/>
                <w:szCs w:val="18"/>
                <w:color w:val="auto"/>
              </w:rPr>
              <w:t>189.2</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127.8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54"/>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628.2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76"/>
              <w:spacing w:after="0"/>
              <w:rPr>
                <w:sz w:val="20"/>
                <w:szCs w:val="20"/>
                <w:color w:val="auto"/>
              </w:rPr>
            </w:pPr>
            <w:r>
              <w:rPr>
                <w:rFonts w:ascii="Arial" w:cs="Arial" w:eastAsia="Arial" w:hAnsi="Arial"/>
                <w:sz w:val="18"/>
                <w:szCs w:val="18"/>
                <w:color w:val="auto"/>
              </w:rPr>
              <w:t>443.7</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4"/>
              <w:spacing w:after="0"/>
              <w:rPr>
                <w:sz w:val="20"/>
                <w:szCs w:val="20"/>
                <w:color w:val="auto"/>
              </w:rPr>
            </w:pPr>
            <w:r>
              <w:rPr>
                <w:rFonts w:ascii="Arial" w:cs="Arial" w:eastAsia="Arial" w:hAnsi="Arial"/>
                <w:sz w:val="18"/>
                <w:szCs w:val="18"/>
                <w:color w:val="auto"/>
              </w:rPr>
              <w:t>393.8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r>
              <w:rPr>
                <w:rFonts w:ascii="Arial" w:cs="Arial" w:eastAsia="Arial" w:hAnsi="Arial"/>
                <w:sz w:val="18"/>
                <w:szCs w:val="18"/>
                <w:color w:val="auto"/>
              </w:rPr>
              <w:t>and benefits</w:t>
            </w: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940" w:type="dxa"/>
            <w:vAlign w:val="bottom"/>
          </w:tcPr>
          <w:p>
            <w:pPr>
              <w:jc w:val="center"/>
              <w:ind w:right="110"/>
              <w:spacing w:after="0"/>
              <w:rPr>
                <w:sz w:val="20"/>
                <w:szCs w:val="20"/>
                <w:color w:val="auto"/>
              </w:rPr>
            </w:pPr>
            <w:r>
              <w:rPr>
                <w:rFonts w:ascii="Arial" w:cs="Arial" w:eastAsia="Arial" w:hAnsi="Arial"/>
                <w:sz w:val="18"/>
                <w:szCs w:val="18"/>
                <w:i w:val="1"/>
                <w:iCs w:val="1"/>
                <w:color w:val="auto"/>
                <w:w w:val="99"/>
              </w:rPr>
              <w:t>% of Revenues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73 %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189"/>
        </w:trPr>
        <w:tc>
          <w:tcPr>
            <w:tcW w:w="1940" w:type="dxa"/>
            <w:vAlign w:val="bottom"/>
          </w:tcPr>
          <w:p>
            <w:pPr>
              <w:jc w:val="center"/>
              <w:ind w:right="130"/>
              <w:spacing w:after="0" w:line="189" w:lineRule="exact"/>
              <w:rPr>
                <w:sz w:val="20"/>
                <w:szCs w:val="20"/>
                <w:color w:val="auto"/>
              </w:rPr>
            </w:pPr>
            <w:r>
              <w:rPr>
                <w:rFonts w:ascii="Arial" w:cs="Arial" w:eastAsia="Arial" w:hAnsi="Arial"/>
                <w:sz w:val="18"/>
                <w:szCs w:val="18"/>
                <w:color w:val="auto"/>
              </w:rPr>
              <w:t>Non-compensation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40.0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96"/>
              <w:spacing w:after="0"/>
              <w:rPr>
                <w:sz w:val="20"/>
                <w:szCs w:val="20"/>
                <w:color w:val="auto"/>
              </w:rPr>
            </w:pPr>
            <w:r>
              <w:rPr>
                <w:rFonts w:ascii="Arial" w:cs="Arial" w:eastAsia="Arial" w:hAnsi="Arial"/>
                <w:sz w:val="18"/>
                <w:szCs w:val="18"/>
                <w:color w:val="auto"/>
              </w:rPr>
              <w:t>37.9</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37.9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54"/>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124.1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76"/>
              <w:spacing w:after="0"/>
              <w:rPr>
                <w:sz w:val="20"/>
                <w:szCs w:val="20"/>
                <w:color w:val="auto"/>
              </w:rPr>
            </w:pPr>
            <w:r>
              <w:rPr>
                <w:rFonts w:ascii="Arial" w:cs="Arial" w:eastAsia="Arial" w:hAnsi="Arial"/>
                <w:sz w:val="18"/>
                <w:szCs w:val="18"/>
                <w:color w:val="auto"/>
              </w:rPr>
              <w:t>116.1</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94"/>
              <w:spacing w:after="0"/>
              <w:rPr>
                <w:sz w:val="20"/>
                <w:szCs w:val="20"/>
                <w:color w:val="auto"/>
              </w:rPr>
            </w:pPr>
            <w:r>
              <w:rPr>
                <w:rFonts w:ascii="Arial" w:cs="Arial" w:eastAsia="Arial" w:hAnsi="Arial"/>
                <w:sz w:val="18"/>
                <w:szCs w:val="18"/>
                <w:color w:val="auto"/>
              </w:rPr>
              <w:t>113.3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40" w:type="dxa"/>
            <w:vAlign w:val="bottom"/>
          </w:tcPr>
          <w:p>
            <w:pPr>
              <w:jc w:val="center"/>
              <w:ind w:right="110"/>
              <w:spacing w:after="0"/>
              <w:rPr>
                <w:sz w:val="20"/>
                <w:szCs w:val="20"/>
                <w:color w:val="auto"/>
              </w:rPr>
            </w:pPr>
            <w:r>
              <w:rPr>
                <w:rFonts w:ascii="Arial" w:cs="Arial" w:eastAsia="Arial" w:hAnsi="Arial"/>
                <w:sz w:val="18"/>
                <w:szCs w:val="18"/>
                <w:i w:val="1"/>
                <w:iCs w:val="1"/>
                <w:color w:val="auto"/>
                <w:w w:val="99"/>
              </w:rPr>
              <w:t>% of Revenues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27 %</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26 %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10"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GAAP total compensation and benefits were $202.3 million for the third quarter of 2024, compared to $127.8 million for the third quarter of 2023. Adjusted total compensation and benefits were $189.2 million for the third quarter of 2024, compared to $93.0 million for the same period a year ago. The increase in total compensation and benefits was due to a larger bonus accrual on an absolute dollar basis associated with higher revenues along with a higher compensation margin.</w:t>
      </w:r>
    </w:p>
    <w:p>
      <w:pPr>
        <w:spacing w:after="0" w:line="204"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GAAP non-compensation expenses were $40.0 million for the third quarter of 2024, compared to $37.9 million for the third quarter of 2023. Adjusted non-compensation expenses were $37.9 million for the third quarter of 2024, compared to $34.3 million for the same period a year ago. The increase in non-compensation expenses was largely driven by higher depreciation expense tied to office renovations and an increase in general, administrative and other expenses and technology related spend.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Nine Months Ended</w:t>
      </w:r>
    </w:p>
    <w:p>
      <w:pPr>
        <w:spacing w:after="0" w:line="200" w:lineRule="exact"/>
        <w:rPr>
          <w:sz w:val="20"/>
          <w:szCs w:val="20"/>
          <w:color w:val="auto"/>
        </w:rPr>
      </w:pPr>
    </w:p>
    <w:p>
      <w:pPr>
        <w:spacing w:after="0" w:line="205"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total compensation and benefits were $628.2 million for the nine months ended September 30, 2024, compared to $393.8 million for the prior year period. The current period compensation expense includes the second quarter impact of the one-time accelerated vesting of certain partnership unit awards (the “Vesting Acceleration”). Adjusted total compensation and benefits were $443.7 million for the nine months ended September 30, 2024, compared to $291.9 million for the same period a year ago. The increase in total compensation and benefits was due to a larger bonus accrual on an absolute dollar basis associated with higher revenues along with a higher compensation margin.</w:t>
      </w:r>
    </w:p>
    <w:p>
      <w:pPr>
        <w:spacing w:after="0" w:line="208"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GAAP non-compensation expenses were $124.1 million for the nine months ended September 30, 2024, compared to $113.3 million for the prior year period. Adjusted non-compensation expenses were $116.1 million for the nine months ended September 30, 2024, compared to $105.2 million for the same period a year ago. The increase in non-compensation expenses was largely driven by an increase in professional fees including consulting and legal, higher depreciation expense tied to office renovations and relocations, and bad debt write-offs, partially offset by lower rent and occupancy costs.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64.6%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results for the period were subject to U.S. corporate income tax. For the nine months ended September 30, 2024, the effective tax rate for adjusted if-converted net income was 29%. This tax rate includes a $3.4 million benefit from the vesting of restricted stock units at a share price higher than the grant price.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As of September 30, 2024, PWP had $335.1 million of cash, cash equivalents and short-term investments in U.S. Treasury securities. The Firm has no outstanding indebtedness and has an undrawn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4" w:right="339" w:bottom="1440" w:gutter="0" w:footer="0" w:header="0"/>
        </w:sectPr>
      </w:pPr>
    </w:p>
    <w:bookmarkStart w:id="6" w:name="page7"/>
    <w:bookmarkEnd w:id="6"/>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5" w:lineRule="auto"/>
        <w:rPr>
          <w:sz w:val="20"/>
          <w:szCs w:val="20"/>
          <w:color w:val="auto"/>
        </w:rPr>
      </w:pPr>
      <w:r>
        <w:rPr>
          <w:rFonts w:ascii="Arial" w:cs="Arial" w:eastAsia="Arial" w:hAnsi="Arial"/>
          <w:sz w:val="20"/>
          <w:szCs w:val="20"/>
          <w:color w:val="auto"/>
        </w:rPr>
        <w:t>During the nine months ended September 30, 2024, PWP returned $215.1 million in aggregate to our equity holders through (i) the settlement of 6,149,211 PWP OpCo units in connection with the one-time Vesting Acceleration at a price of $14.07 per unit and the net settlement of 3,773,416 share equivalents at an average price per share of $16.28, (ii) the settlement of exchanges of 1,343,257 PWP OpCo units for cash at $15.17 per unit and the repurchase of 1,000,000 shares pursuant to a contractual repurchase right at $15.00 per share, (iii) the payment of $16.2 million in distributions to limited partners, and (iv) the payment of aggregate dividends of $15.6 million to Class A common stockholders. Certain tax withholding amounts related to the above activity were accrued and unpaid as of September 30, 2024 and are expected to be paid within one year.</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At September 30, 2024, there were 57.0 million shares of Class A common stock and 31.2 million partnership units outstanding.</w:t>
      </w:r>
    </w:p>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December 18, 2024 to Class A common stockholders of record on 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November 8, 2024 at 9:00 am ET to discuss Perella Weinberg’s financial results for the third quarter ended September 30, 2024.</w:t>
      </w:r>
    </w:p>
    <w:p>
      <w:pPr>
        <w:spacing w:after="0" w:line="290"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Domestic: (800) 579-2543</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(785) 424-1789</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Conference ID: PWPQ324</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 replay of the call will also be available two hours after the live call through November 15, 2024. To access the replay, dial</w:t>
      </w:r>
    </w:p>
    <w:p>
      <w:pPr>
        <w:spacing w:after="0" w:line="67" w:lineRule="exact"/>
        <w:rPr>
          <w:sz w:val="20"/>
          <w:szCs w:val="20"/>
          <w:color w:val="auto"/>
        </w:rPr>
      </w:pPr>
    </w:p>
    <w:p>
      <w:pPr>
        <w:ind w:firstLine="8"/>
        <w:spacing w:after="0" w:line="342" w:lineRule="auto"/>
        <w:tabs>
          <w:tab w:leader="none" w:pos="551" w:val="left"/>
        </w:tabs>
        <w:numPr>
          <w:ilvl w:val="0"/>
          <w:numId w:val="11"/>
        </w:numPr>
        <w:rPr>
          <w:rFonts w:ascii="Arial" w:cs="Arial" w:eastAsia="Arial" w:hAnsi="Arial"/>
          <w:sz w:val="20"/>
          <w:szCs w:val="20"/>
          <w:color w:val="auto"/>
        </w:rPr>
      </w:pPr>
      <w:r>
        <w:rPr>
          <w:rFonts w:ascii="Arial" w:cs="Arial" w:eastAsia="Arial" w:hAnsi="Arial"/>
          <w:sz w:val="20"/>
          <w:szCs w:val="20"/>
          <w:color w:val="auto"/>
        </w:rPr>
        <w:t>839-5687 (Domestic) or (402) 220-2569 (International). The replay can also be accessed on the Investors section of PWP’s website at https://investors.pwpartners.com/.</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November 8, 2024,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some of the most active industry sectors and global markets. With approximately 700 employees, Perella Weinberg currently maintains offices in New York, London, Houston, San Francisco, Paris, Los Angeles, Chicago, Calgary, Denver, and Munich. The financial information of PWP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2"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23, 2024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Three Months Ended</w:t>
            </w:r>
          </w:p>
        </w:tc>
        <w:tc>
          <w:tcPr>
            <w:tcW w:w="200" w:type="dxa"/>
            <w:vAlign w:val="bottom"/>
          </w:tcPr>
          <w:p>
            <w:pPr>
              <w:spacing w:after="0"/>
              <w:rPr>
                <w:sz w:val="16"/>
                <w:szCs w:val="16"/>
                <w:color w:val="auto"/>
              </w:rPr>
            </w:pPr>
          </w:p>
        </w:tc>
        <w:tc>
          <w:tcPr>
            <w:tcW w:w="220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503C64"/>
              </w:rPr>
              <w:t>Nine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503C64"/>
              </w:rPr>
              <w:t>September 30,</w:t>
            </w:r>
          </w:p>
        </w:tc>
        <w:tc>
          <w:tcPr>
            <w:tcW w:w="200" w:type="dxa"/>
            <w:vAlign w:val="bottom"/>
          </w:tcPr>
          <w:p>
            <w:pPr>
              <w:spacing w:after="0"/>
              <w:rPr>
                <w:sz w:val="19"/>
                <w:szCs w:val="19"/>
                <w:color w:val="auto"/>
              </w:rPr>
            </w:pPr>
          </w:p>
        </w:tc>
        <w:tc>
          <w:tcPr>
            <w:tcW w:w="22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r>
      <w:tr>
        <w:trPr>
          <w:trHeight w:val="210"/>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278,242</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139,003</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652,367</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435,974</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174,080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84,872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392,643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261,051</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28,225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235,530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132,775</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202,305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127,764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628,173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393,826</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32,170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26,546</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26,749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25,850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6,170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18,307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20,858</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13,782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13,634</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6,027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17,769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16,226</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15,318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10,168</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242,348</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165,695</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752,268</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507,108</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35,894</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(99,901)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(71,134)</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3,859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1,488</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3,859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2,258</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36,351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(96,042)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(68,876)</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7,508</w:t>
            </w:r>
          </w:p>
        </w:tc>
        <w:tc>
          <w:tcPr>
            <w:tcW w:w="30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19"/>
              <w:spacing w:after="0"/>
              <w:rPr>
                <w:sz w:val="20"/>
                <w:szCs w:val="20"/>
                <w:color w:val="auto"/>
              </w:rPr>
            </w:pPr>
            <w:r>
              <w:rPr>
                <w:rFonts w:ascii="Arial" w:cs="Arial" w:eastAsia="Arial" w:hAnsi="Arial"/>
                <w:sz w:val="16"/>
                <w:szCs w:val="16"/>
                <w:color w:val="auto"/>
              </w:rPr>
              <w:t>25,960</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552</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28,843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(122,002)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(69,428)</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12,473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(36,500)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(62,615)</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16,370</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(2,049)</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(85,502)</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(6,813)</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0.29</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(0.16)</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0.24</w:t>
            </w:r>
          </w:p>
        </w:tc>
        <w:tc>
          <w:tcPr>
            <w:tcW w:w="3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(0.84)</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spacing w:after="0"/>
              <w:rPr>
                <w:sz w:val="18"/>
                <w:szCs w:val="18"/>
                <w:color w:val="auto"/>
              </w:rPr>
            </w:pP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55,513,159</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43,123,465</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53,115,490</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42,731,252</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69,795,656</w:t>
            </w:r>
          </w:p>
        </w:tc>
        <w:tc>
          <w:tcPr>
            <w:tcW w:w="30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86,647,697</w:t>
            </w:r>
          </w:p>
        </w:tc>
        <w:tc>
          <w:tcPr>
            <w:tcW w:w="80" w:type="dxa"/>
            <w:vAlign w:val="bottom"/>
            <w:shd w:val="clear" w:color="auto" w:fill="E3E1E9"/>
          </w:tcPr>
          <w:p>
            <w:pPr>
              <w:spacing w:after="0"/>
              <w:rPr>
                <w:sz w:val="18"/>
                <w:szCs w:val="18"/>
                <w:color w:val="auto"/>
              </w:rPr>
            </w:pPr>
          </w:p>
        </w:tc>
        <w:tc>
          <w:tcPr>
            <w:tcW w:w="20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53,115,490</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86,593,581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503C64"/>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503C64"/>
              </w:rPr>
              <w:t>Nine Months Ended</w:t>
            </w:r>
          </w:p>
        </w:tc>
      </w:tr>
      <w:tr>
        <w:trPr>
          <w:trHeight w:val="223"/>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503C64"/>
              </w:rPr>
              <w:t>September 30,</w:t>
            </w:r>
          </w:p>
        </w:tc>
        <w:tc>
          <w:tcPr>
            <w:tcW w:w="260" w:type="dxa"/>
            <w:vAlign w:val="bottom"/>
          </w:tcPr>
          <w:p>
            <w:pPr>
              <w:spacing w:after="0"/>
              <w:rPr>
                <w:sz w:val="19"/>
                <w:szCs w:val="19"/>
                <w:color w:val="auto"/>
              </w:rPr>
            </w:pPr>
          </w:p>
        </w:tc>
        <w:tc>
          <w:tcPr>
            <w:tcW w:w="2120" w:type="dxa"/>
            <w:vAlign w:val="bottom"/>
            <w:gridSpan w:val="3"/>
          </w:tcPr>
          <w:p>
            <w:pPr>
              <w:jc w:val="right"/>
              <w:ind w:right="568"/>
              <w:spacing w:after="0"/>
              <w:rPr>
                <w:sz w:val="20"/>
                <w:szCs w:val="20"/>
                <w:color w:val="auto"/>
              </w:rPr>
            </w:pPr>
            <w:r>
              <w:rPr>
                <w:rFonts w:ascii="Arial" w:cs="Arial" w:eastAsia="Arial" w:hAnsi="Arial"/>
                <w:sz w:val="16"/>
                <w:szCs w:val="16"/>
                <w:b w:val="1"/>
                <w:bCs w:val="1"/>
                <w:color w:val="503C64"/>
              </w:rPr>
              <w:t>September 30,</w:t>
            </w:r>
          </w:p>
        </w:tc>
      </w:tr>
      <w:tr>
        <w:trPr>
          <w:trHeight w:val="21"/>
        </w:trPr>
        <w:tc>
          <w:tcPr>
            <w:tcW w:w="61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r>
      <w:tr>
        <w:trPr>
          <w:trHeight w:val="195"/>
        </w:trPr>
        <w:tc>
          <w:tcPr>
            <w:tcW w:w="6180" w:type="dxa"/>
            <w:vAlign w:val="bottom"/>
            <w:tcBorders>
              <w:bottom w:val="single" w:sz="8" w:color="B6B6B6"/>
            </w:tcBorders>
          </w:tcPr>
          <w:p>
            <w:pPr>
              <w:spacing w:after="0"/>
              <w:rPr>
                <w:sz w:val="16"/>
                <w:szCs w:val="16"/>
                <w:color w:val="auto"/>
              </w:rPr>
            </w:pPr>
          </w:p>
        </w:tc>
        <w:tc>
          <w:tcPr>
            <w:tcW w:w="240" w:type="dxa"/>
            <w:vAlign w:val="bottom"/>
            <w:tcBorders>
              <w:bottom w:val="single" w:sz="8" w:color="B6B6B6"/>
            </w:tcBorders>
          </w:tcPr>
          <w:p>
            <w:pPr>
              <w:spacing w:after="0"/>
              <w:rPr>
                <w:sz w:val="16"/>
                <w:szCs w:val="16"/>
                <w:color w:val="auto"/>
              </w:rPr>
            </w:pPr>
          </w:p>
        </w:tc>
        <w:tc>
          <w:tcPr>
            <w:tcW w:w="9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B6B6B6"/>
            </w:tcBorders>
          </w:tcPr>
          <w:p>
            <w:pPr>
              <w:spacing w:after="0"/>
              <w:rPr>
                <w:sz w:val="16"/>
                <w:szCs w:val="16"/>
                <w:color w:val="auto"/>
              </w:rPr>
            </w:pPr>
          </w:p>
        </w:tc>
        <w:tc>
          <w:tcPr>
            <w:tcW w:w="9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B6B6B6"/>
            </w:tcBorders>
          </w:tcPr>
          <w:p>
            <w:pPr>
              <w:spacing w:after="0"/>
              <w:rPr>
                <w:sz w:val="16"/>
                <w:szCs w:val="16"/>
                <w:color w:val="auto"/>
              </w:rPr>
            </w:pPr>
          </w:p>
        </w:tc>
        <w:tc>
          <w:tcPr>
            <w:tcW w:w="90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r>
      <w:tr>
        <w:trPr>
          <w:trHeight w:val="19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202,305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127,764</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628,173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393,826</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(54,648)</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(13,070)</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(37,527)</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(35,733)</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(6,392)</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(11,497)</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189,235</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92,977</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443,683</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291,948</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40,043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37,931</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124,095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113,282</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(3,054)</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(2,375)</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(809)</w:t>
            </w:r>
          </w:p>
        </w:tc>
      </w:tr>
      <w:tr>
        <w:trPr>
          <w:trHeight w:val="196"/>
        </w:trPr>
        <w:tc>
          <w:tcPr>
            <w:tcW w:w="618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(7)</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37,914</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34,267</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116,106</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105,163</w:t>
            </w:r>
          </w:p>
        </w:tc>
      </w:tr>
      <w:tr>
        <w:trPr>
          <w:trHeight w:val="254"/>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35,894</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(26,692)</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(99,901)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(71,134)</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16,045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54,648</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13,070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37,527</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35,733</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6,392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11,497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3,054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2,375</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809</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809</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51,093</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11,759</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92,578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38,863</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36,351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(23,929)</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(96,042)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(68,876)</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16,045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54,648</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13,070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37,527</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35,733</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6,392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11,497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2"/>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3,054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(6)</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1,287</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226</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2,725</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before income taxes</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51,588</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15,809</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96,663</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43,846</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7,508</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25,960</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552</w:t>
            </w:r>
          </w:p>
        </w:tc>
      </w:tr>
      <w:tr>
        <w:trPr>
          <w:trHeight w:val="204"/>
        </w:trPr>
        <w:tc>
          <w:tcPr>
            <w:tcW w:w="618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3,178</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3,381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(7,350)</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5,265</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10,686</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3,190</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18,610</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5,817</w:t>
            </w:r>
          </w:p>
        </w:tc>
      </w:tr>
      <w:tr>
        <w:trPr>
          <w:trHeight w:val="255"/>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28,843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(23,738)</w:t>
            </w:r>
          </w:p>
        </w:tc>
        <w:tc>
          <w:tcPr>
            <w:tcW w:w="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(122,002)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(69,428)</w:t>
            </w:r>
          </w:p>
        </w:tc>
      </w:tr>
      <w:tr>
        <w:trPr>
          <w:trHeight w:val="206"/>
        </w:trPr>
        <w:tc>
          <w:tcPr>
            <w:tcW w:w="618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16,045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54,648</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13,070</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37,527</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35,733</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6,392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11,497</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4,935</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4,935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3,054</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2,375</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Settlement related expenses</w:t>
            </w:r>
            <w:r>
              <w:rPr>
                <w:rFonts w:ascii="Arial" w:cs="Arial" w:eastAsia="Arial" w:hAnsi="Arial"/>
                <w:sz w:val="18"/>
                <w:szCs w:val="18"/>
                <w:color w:val="auto"/>
                <w:vertAlign w:val="superscript"/>
              </w:rPr>
              <w:t>(7)</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809</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40" w:type="dxa"/>
            <w:vAlign w:val="bottom"/>
          </w:tcPr>
          <w:p>
            <w:pPr>
              <w:spacing w:after="0"/>
              <w:rPr>
                <w:sz w:val="17"/>
                <w:szCs w:val="17"/>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3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2,725</w:t>
            </w:r>
          </w:p>
        </w:tc>
      </w:tr>
      <w:tr>
        <w:trPr>
          <w:trHeight w:val="201"/>
        </w:trPr>
        <w:tc>
          <w:tcPr>
            <w:tcW w:w="61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40" w:type="dxa"/>
            <w:vAlign w:val="bottom"/>
            <w:tcBorders>
              <w:bottom w:val="single" w:sz="8" w:color="B6B6B6"/>
            </w:tcBorders>
          </w:tcPr>
          <w:p>
            <w:pPr>
              <w:spacing w:after="0"/>
              <w:rPr>
                <w:sz w:val="17"/>
                <w:szCs w:val="17"/>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(3,178)</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(3,381)</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7,350</w:t>
            </w:r>
          </w:p>
        </w:tc>
        <w:tc>
          <w:tcPr>
            <w:tcW w:w="300" w:type="dxa"/>
            <w:vAlign w:val="bottom"/>
            <w:tcBorders>
              <w:bottom w:val="single" w:sz="8" w:color="B6B6B6"/>
            </w:tcBorders>
          </w:tcPr>
          <w:p>
            <w:pPr>
              <w:spacing w:after="0"/>
              <w:rPr>
                <w:sz w:val="17"/>
                <w:szCs w:val="17"/>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(5,265)</w:t>
            </w:r>
          </w:p>
        </w:tc>
      </w:tr>
      <w:tr>
        <w:trPr>
          <w:trHeight w:val="196"/>
        </w:trPr>
        <w:tc>
          <w:tcPr>
            <w:tcW w:w="61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4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40,902</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12,619</w:t>
            </w:r>
          </w:p>
        </w:tc>
        <w:tc>
          <w:tcPr>
            <w:tcW w:w="80" w:type="dxa"/>
            <w:vAlign w:val="bottom"/>
            <w:shd w:val="clear" w:color="auto" w:fill="E3E1E9"/>
          </w:tcPr>
          <w:p>
            <w:pPr>
              <w:spacing w:after="0"/>
              <w:rPr>
                <w:sz w:val="17"/>
                <w:szCs w:val="17"/>
                <w:color w:val="auto"/>
              </w:rPr>
            </w:pPr>
          </w:p>
        </w:tc>
        <w:tc>
          <w:tcPr>
            <w:tcW w:w="26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78,053</w:t>
            </w:r>
          </w:p>
        </w:tc>
        <w:tc>
          <w:tcPr>
            <w:tcW w:w="30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38,029</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360" w:type="dxa"/>
            <w:vAlign w:val="bottom"/>
            <w:gridSpan w:val="3"/>
          </w:tcPr>
          <w:p>
            <w:pPr>
              <w:jc w:val="right"/>
              <w:ind w:right="468"/>
              <w:spacing w:after="0"/>
              <w:rPr>
                <w:sz w:val="20"/>
                <w:szCs w:val="20"/>
                <w:color w:val="auto"/>
              </w:rPr>
            </w:pPr>
            <w:r>
              <w:rPr>
                <w:rFonts w:ascii="Arial" w:cs="Arial" w:eastAsia="Arial" w:hAnsi="Arial"/>
                <w:sz w:val="16"/>
                <w:szCs w:val="16"/>
                <w:b w:val="1"/>
                <w:bCs w:val="1"/>
                <w:color w:val="503C64"/>
              </w:rPr>
              <w:t>Nine Months Ended</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503C64"/>
              </w:rPr>
              <w:t>September 30,</w:t>
            </w:r>
          </w:p>
        </w:tc>
        <w:tc>
          <w:tcPr>
            <w:tcW w:w="220" w:type="dxa"/>
            <w:vAlign w:val="bottom"/>
          </w:tcPr>
          <w:p>
            <w:pPr>
              <w:spacing w:after="0"/>
              <w:rPr>
                <w:sz w:val="19"/>
                <w:szCs w:val="19"/>
                <w:color w:val="auto"/>
              </w:rPr>
            </w:pPr>
          </w:p>
        </w:tc>
        <w:tc>
          <w:tcPr>
            <w:tcW w:w="2360" w:type="dxa"/>
            <w:vAlign w:val="bottom"/>
            <w:gridSpan w:val="3"/>
          </w:tcPr>
          <w:p>
            <w:pPr>
              <w:jc w:val="right"/>
              <w:ind w:right="668"/>
              <w:spacing w:after="0"/>
              <w:rPr>
                <w:sz w:val="20"/>
                <w:szCs w:val="20"/>
                <w:color w:val="auto"/>
              </w:rPr>
            </w:pPr>
            <w:r>
              <w:rPr>
                <w:rFonts w:ascii="Arial" w:cs="Arial" w:eastAsia="Arial" w:hAnsi="Arial"/>
                <w:sz w:val="16"/>
                <w:szCs w:val="16"/>
                <w:b w:val="1"/>
                <w:bCs w:val="1"/>
                <w:color w:val="503C64"/>
              </w:rPr>
              <w:t>September 30,</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1060" w:type="dxa"/>
            <w:vAlign w:val="bottom"/>
            <w:tcBorders>
              <w:bottom w:val="single" w:sz="8" w:color="B6B6B6"/>
            </w:tcBorders>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B6B6B6"/>
            </w:tcBorders>
          </w:tcPr>
          <w:p>
            <w:pPr>
              <w:spacing w:after="0"/>
              <w:rPr>
                <w:sz w:val="16"/>
                <w:szCs w:val="16"/>
                <w:color w:val="auto"/>
              </w:rPr>
            </w:pPr>
          </w:p>
        </w:tc>
        <w:tc>
          <w:tcPr>
            <w:tcW w:w="200" w:type="dxa"/>
            <w:vAlign w:val="bottom"/>
            <w:tcBorders>
              <w:bottom w:val="single" w:sz="8" w:color="B6B6B6"/>
            </w:tcBorders>
          </w:tcPr>
          <w:p>
            <w:pPr>
              <w:spacing w:after="0"/>
              <w:rPr>
                <w:sz w:val="16"/>
                <w:szCs w:val="16"/>
                <w:color w:val="auto"/>
              </w:rPr>
            </w:pPr>
          </w:p>
        </w:tc>
        <w:tc>
          <w:tcPr>
            <w:tcW w:w="110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B6B6B6"/>
            </w:tcBorders>
          </w:tcPr>
          <w:p>
            <w:pPr>
              <w:spacing w:after="0"/>
              <w:rPr>
                <w:sz w:val="16"/>
                <w:szCs w:val="16"/>
                <w:color w:val="auto"/>
              </w:rPr>
            </w:pPr>
          </w:p>
        </w:tc>
        <w:tc>
          <w:tcPr>
            <w:tcW w:w="102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1060" w:type="dxa"/>
            <w:vAlign w:val="bottom"/>
            <w:tcBorders>
              <w:bottom w:val="single" w:sz="8" w:color="B6B6B6"/>
            </w:tcBorders>
          </w:tcPr>
          <w:p>
            <w:pPr>
              <w:jc w:val="right"/>
              <w:ind w:right="427"/>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B6B6B6"/>
            </w:tcBorders>
          </w:tcPr>
          <w:p>
            <w:pPr>
              <w:spacing w:after="0"/>
              <w:rPr>
                <w:sz w:val="16"/>
                <w:szCs w:val="16"/>
                <w:color w:val="auto"/>
              </w:rPr>
            </w:pPr>
          </w:p>
        </w:tc>
        <w:tc>
          <w:tcPr>
            <w:tcW w:w="10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40,902</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12,619</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78,053</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38,029</w:t>
            </w: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rPr>
                <w:sz w:val="20"/>
                <w:szCs w:val="20"/>
                <w:color w:val="auto"/>
              </w:rPr>
            </w:pPr>
            <w:r>
              <w:rPr>
                <w:rFonts w:ascii="Arial" w:cs="Arial" w:eastAsia="Arial" w:hAnsi="Arial"/>
                <w:sz w:val="14"/>
                <w:szCs w:val="14"/>
                <w:color w:val="auto"/>
              </w:rPr>
              <w:t>Less: Adjusted income tax expense</w:t>
            </w:r>
          </w:p>
        </w:tc>
        <w:tc>
          <w:tcPr>
            <w:tcW w:w="200" w:type="dxa"/>
            <w:vAlign w:val="bottom"/>
          </w:tcPr>
          <w:p>
            <w:pPr>
              <w:spacing w:after="0"/>
              <w:rPr>
                <w:sz w:val="16"/>
                <w:szCs w:val="16"/>
                <w:color w:val="auto"/>
              </w:rPr>
            </w:pPr>
          </w:p>
        </w:tc>
        <w:tc>
          <w:tcPr>
            <w:tcW w:w="1100" w:type="dxa"/>
            <w:vAlign w:val="bottom"/>
          </w:tcPr>
          <w:p>
            <w:pPr>
              <w:jc w:val="right"/>
              <w:ind w:right="107"/>
              <w:spacing w:after="0"/>
              <w:rPr>
                <w:sz w:val="20"/>
                <w:szCs w:val="20"/>
                <w:color w:val="auto"/>
              </w:rPr>
            </w:pPr>
            <w:r>
              <w:rPr>
                <w:rFonts w:ascii="Arial" w:cs="Arial" w:eastAsia="Arial" w:hAnsi="Arial"/>
                <w:sz w:val="14"/>
                <w:szCs w:val="14"/>
                <w:color w:val="auto"/>
              </w:rPr>
              <w:t>(10,686)</w:t>
            </w:r>
          </w:p>
        </w:tc>
        <w:tc>
          <w:tcPr>
            <w:tcW w:w="26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(3,190)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07"/>
              <w:spacing w:after="0"/>
              <w:rPr>
                <w:sz w:val="20"/>
                <w:szCs w:val="20"/>
                <w:color w:val="auto"/>
              </w:rPr>
            </w:pPr>
            <w:r>
              <w:rPr>
                <w:rFonts w:ascii="Arial" w:cs="Arial" w:eastAsia="Arial" w:hAnsi="Arial"/>
                <w:sz w:val="14"/>
                <w:szCs w:val="14"/>
                <w:color w:val="auto"/>
              </w:rPr>
              <w:t>(18,610)</w:t>
            </w:r>
          </w:p>
        </w:tc>
        <w:tc>
          <w:tcPr>
            <w:tcW w:w="26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(5,817)</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(10)</w:t>
            </w:r>
          </w:p>
        </w:tc>
        <w:tc>
          <w:tcPr>
            <w:tcW w:w="20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16,303</w:t>
            </w:r>
          </w:p>
        </w:tc>
        <w:tc>
          <w:tcPr>
            <w:tcW w:w="260" w:type="dxa"/>
            <w:vAlign w:val="bottom"/>
            <w:tcBorders>
              <w:bottom w:val="single" w:sz="8" w:color="B6B6B6"/>
            </w:tcBorders>
          </w:tcPr>
          <w:p>
            <w:pPr>
              <w:spacing w:after="0"/>
              <w:rPr>
                <w:sz w:val="18"/>
                <w:szCs w:val="18"/>
                <w:color w:val="auto"/>
              </w:rPr>
            </w:pPr>
          </w:p>
        </w:tc>
        <w:tc>
          <w:tcPr>
            <w:tcW w:w="102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5,183</w:t>
            </w:r>
          </w:p>
        </w:tc>
        <w:tc>
          <w:tcPr>
            <w:tcW w:w="8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106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27,923</w:t>
            </w:r>
          </w:p>
        </w:tc>
        <w:tc>
          <w:tcPr>
            <w:tcW w:w="260" w:type="dxa"/>
            <w:vAlign w:val="bottom"/>
            <w:tcBorders>
              <w:bottom w:val="single" w:sz="8" w:color="B6B6B6"/>
            </w:tcBorders>
          </w:tcPr>
          <w:p>
            <w:pPr>
              <w:spacing w:after="0"/>
              <w:rPr>
                <w:sz w:val="18"/>
                <w:szCs w:val="18"/>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11,451</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35,285</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10,626</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68,740</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32,395</w:t>
            </w:r>
          </w:p>
        </w:tc>
        <w:tc>
          <w:tcPr>
            <w:tcW w:w="0" w:type="dxa"/>
            <w:vAlign w:val="bottom"/>
          </w:tcPr>
          <w:p>
            <w:pPr>
              <w:spacing w:after="0"/>
              <w:rPr>
                <w:sz w:val="1"/>
                <w:szCs w:val="1"/>
                <w:color w:val="auto"/>
              </w:rPr>
            </w:pPr>
          </w:p>
        </w:tc>
      </w:tr>
      <w:tr>
        <w:trPr>
          <w:trHeight w:val="356"/>
        </w:trPr>
        <w:tc>
          <w:tcPr>
            <w:tcW w:w="578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Arial" w:cs="Arial" w:eastAsia="Arial" w:hAnsi="Arial"/>
                <w:sz w:val="14"/>
                <w:szCs w:val="14"/>
                <w:color w:val="auto"/>
              </w:rPr>
              <w:t>69,795,656</w:t>
            </w:r>
          </w:p>
        </w:tc>
        <w:tc>
          <w:tcPr>
            <w:tcW w:w="26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86,647,697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53,115,490</w:t>
            </w:r>
          </w:p>
        </w:tc>
        <w:tc>
          <w:tcPr>
            <w:tcW w:w="26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86,593,581</w:t>
            </w:r>
          </w:p>
        </w:tc>
        <w:tc>
          <w:tcPr>
            <w:tcW w:w="0" w:type="dxa"/>
            <w:vAlign w:val="bottom"/>
          </w:tcPr>
          <w:p>
            <w:pPr>
              <w:spacing w:after="0"/>
              <w:rPr>
                <w:sz w:val="1"/>
                <w:szCs w:val="1"/>
                <w:color w:val="auto"/>
              </w:rPr>
            </w:pPr>
          </w:p>
        </w:tc>
      </w:tr>
      <w:tr>
        <w:trPr>
          <w:trHeight w:val="158"/>
        </w:trPr>
        <w:tc>
          <w:tcPr>
            <w:tcW w:w="5780" w:type="dxa"/>
            <w:vAlign w:val="bottom"/>
          </w:tcPr>
          <w:p>
            <w:pPr>
              <w:ind w:left="20"/>
              <w:spacing w:after="0" w:line="159" w:lineRule="exact"/>
              <w:rPr>
                <w:sz w:val="20"/>
                <w:szCs w:val="20"/>
                <w:color w:val="auto"/>
              </w:rPr>
            </w:pPr>
            <w:r>
              <w:rPr>
                <w:rFonts w:ascii="Arial" w:cs="Arial" w:eastAsia="Arial" w:hAnsi="Arial"/>
                <w:sz w:val="14"/>
                <w:szCs w:val="14"/>
                <w:color w:val="auto"/>
              </w:rPr>
              <w:t>Weighted average number of incremental shares from assumed vesting of RSUs and</w:t>
            </w:r>
          </w:p>
        </w:tc>
        <w:tc>
          <w:tcPr>
            <w:tcW w:w="200" w:type="dxa"/>
            <w:vAlign w:val="bottom"/>
          </w:tcPr>
          <w:p>
            <w:pPr>
              <w:spacing w:after="0"/>
              <w:rPr>
                <w:sz w:val="13"/>
                <w:szCs w:val="13"/>
                <w:color w:val="auto"/>
              </w:rPr>
            </w:pPr>
          </w:p>
        </w:tc>
        <w:tc>
          <w:tcPr>
            <w:tcW w:w="110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2,682,303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9,564,794</w:t>
            </w:r>
          </w:p>
        </w:tc>
        <w:tc>
          <w:tcPr>
            <w:tcW w:w="26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1,561,627</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(11)</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(12)</w:t>
            </w:r>
          </w:p>
        </w:tc>
        <w:tc>
          <w:tcPr>
            <w:tcW w:w="20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32,727,568</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ind w:right="147"/>
              <w:spacing w:after="0"/>
              <w:rPr>
                <w:sz w:val="20"/>
                <w:szCs w:val="20"/>
                <w:color w:val="auto"/>
              </w:rPr>
            </w:pPr>
            <w:r>
              <w:rPr>
                <w:rFonts w:ascii="Arial" w:cs="Arial" w:eastAsia="Arial" w:hAnsi="Arial"/>
                <w:sz w:val="14"/>
                <w:szCs w:val="14"/>
                <w:color w:val="auto"/>
              </w:rPr>
              <w:t>36,778,325</w:t>
            </w:r>
          </w:p>
        </w:tc>
        <w:tc>
          <w:tcPr>
            <w:tcW w:w="2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00" w:type="dxa"/>
            <w:vAlign w:val="bottom"/>
            <w:shd w:val="clear" w:color="auto" w:fill="E3E1E9"/>
          </w:tcPr>
          <w:p>
            <w:pPr>
              <w:spacing w:after="0"/>
              <w:rPr>
                <w:sz w:val="17"/>
                <w:szCs w:val="17"/>
                <w:color w:val="auto"/>
              </w:rPr>
            </w:pP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102,523,224</w:t>
            </w:r>
          </w:p>
        </w:tc>
        <w:tc>
          <w:tcPr>
            <w:tcW w:w="260" w:type="dxa"/>
            <w:vAlign w:val="bottom"/>
            <w:shd w:val="clear" w:color="auto" w:fill="E3E1E9"/>
          </w:tcPr>
          <w:p>
            <w:pPr>
              <w:spacing w:after="0"/>
              <w:rPr>
                <w:sz w:val="17"/>
                <w:szCs w:val="17"/>
                <w:color w:val="auto"/>
              </w:rPr>
            </w:pP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89,330,000</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106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99,458,609</w:t>
            </w:r>
          </w:p>
        </w:tc>
        <w:tc>
          <w:tcPr>
            <w:tcW w:w="260" w:type="dxa"/>
            <w:vAlign w:val="bottom"/>
            <w:shd w:val="clear" w:color="auto" w:fill="E3E1E9"/>
          </w:tcPr>
          <w:p>
            <w:pPr>
              <w:spacing w:after="0"/>
              <w:rPr>
                <w:sz w:val="17"/>
                <w:szCs w:val="17"/>
                <w:color w:val="auto"/>
              </w:rPr>
            </w:pP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88,155,208</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2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0.34</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0.12</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3E1E9"/>
          </w:tcPr>
          <w:p>
            <w:pPr>
              <w:jc w:val="right"/>
              <w:ind w:right="147"/>
              <w:spacing w:after="0"/>
              <w:rPr>
                <w:sz w:val="20"/>
                <w:szCs w:val="20"/>
                <w:color w:val="auto"/>
              </w:rPr>
            </w:pPr>
            <w:r>
              <w:rPr>
                <w:rFonts w:ascii="Arial" w:cs="Arial" w:eastAsia="Arial" w:hAnsi="Arial"/>
                <w:sz w:val="14"/>
                <w:szCs w:val="14"/>
                <w:color w:val="auto"/>
              </w:rPr>
              <w:t>0.69</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369"/>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(13)</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12.9 %</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32 %</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29 %</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16"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legacy awards granted to certain partners prior to the business combination that closed on June 24, 2021 (the “Business Combination”) and the amortization of awards granted by PWP Professional Partners LP (the “Professional Partners Awards”), which were subject to the Vesting Acceleration in the second quarter of 2024. The vesting of these awards did not economically dilute PWP shareholders’ interests relative to the interests of other investors in PWP OpCo. The legacy awards were fully amortized as of September 30, 2023.</w:t>
      </w:r>
    </w:p>
    <w:p>
      <w:pPr>
        <w:spacing w:after="0" w:line="113" w:lineRule="exact"/>
        <w:rPr>
          <w:rFonts w:ascii="Arial" w:cs="Arial" w:eastAsia="Arial" w:hAnsi="Arial"/>
          <w:sz w:val="20"/>
          <w:szCs w:val="20"/>
          <w:color w:val="auto"/>
        </w:rPr>
      </w:pPr>
    </w:p>
    <w:p>
      <w:pPr>
        <w:jc w:val="both"/>
        <w:ind w:left="500" w:hanging="492"/>
        <w:spacing w:after="0" w:line="320" w:lineRule="auto"/>
        <w:tabs>
          <w:tab w:leader="none" w:pos="495"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the Business Combination process and reorganization. These payments were outside of PWP’s normal and recurring bonus and compensation processes.</w:t>
      </w:r>
    </w:p>
    <w:p>
      <w:pPr>
        <w:spacing w:after="0" w:line="200" w:lineRule="exact"/>
        <w:rPr>
          <w:sz w:val="20"/>
          <w:szCs w:val="20"/>
          <w:color w:val="auto"/>
        </w:rPr>
      </w:pPr>
    </w:p>
    <w:p>
      <w:pPr>
        <w:spacing w:after="0" w:line="314" w:lineRule="exact"/>
        <w:rPr>
          <w:sz w:val="20"/>
          <w:szCs w:val="20"/>
          <w:color w:val="auto"/>
        </w:rPr>
      </w:pPr>
    </w:p>
    <w:p>
      <w:pPr>
        <w:jc w:val="both"/>
        <w:ind w:firstLine="8"/>
        <w:spacing w:after="0" w:line="259" w:lineRule="auto"/>
        <w:tabs>
          <w:tab w:leader="none" w:pos="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hanging="492"/>
        <w:spacing w:after="0" w:line="31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13"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88"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61" w:lineRule="exact"/>
        <w:rPr>
          <w:rFonts w:ascii="Arial" w:cs="Arial" w:eastAsia="Arial" w:hAnsi="Arial"/>
          <w:sz w:val="20"/>
          <w:szCs w:val="20"/>
          <w:color w:val="auto"/>
        </w:rPr>
      </w:pPr>
    </w:p>
    <w:p>
      <w:pPr>
        <w:ind w:left="500" w:hanging="492"/>
        <w:spacing w:after="0"/>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Certain expenses incurred related to the previously reported settlement with the staff of the SEC (the “Settlement”).</w:t>
      </w:r>
    </w:p>
    <w:p>
      <w:pPr>
        <w:spacing w:after="0" w:line="296"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73" w:lineRule="exact"/>
        <w:rPr>
          <w:rFonts w:ascii="Arial" w:cs="Arial" w:eastAsia="Arial" w:hAnsi="Arial"/>
          <w:sz w:val="20"/>
          <w:szCs w:val="20"/>
          <w:color w:val="auto"/>
        </w:rPr>
      </w:pPr>
    </w:p>
    <w:p>
      <w:pPr>
        <w:jc w:val="both"/>
        <w:ind w:left="500" w:hanging="492"/>
        <w:spacing w:after="0" w:line="320"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Includes (i) the amortization of debt discounts and issuance costs for all periods presented, (ii) minimal charges related to the Vesting Acceleration for the nine months ended September 2024, (iii) the $1.25 million charge related to the Settlement for the three and nine months ended September 30, 2023, and (iv) a non-operating loss on investment for the nine months ended September 2023.</w:t>
      </w:r>
    </w:p>
    <w:p>
      <w:pPr>
        <w:spacing w:after="0" w:line="109"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adjusted income tax expense represents the Company’s calculated tax expense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2" w:lineRule="exact"/>
        <w:rPr>
          <w:rFonts w:ascii="Arial" w:cs="Arial" w:eastAsia="Arial" w:hAnsi="Arial"/>
          <w:sz w:val="20"/>
          <w:szCs w:val="20"/>
          <w:color w:val="auto"/>
        </w:rPr>
      </w:pPr>
    </w:p>
    <w:p>
      <w:pPr>
        <w:jc w:val="both"/>
        <w:ind w:left="500" w:hanging="492"/>
        <w:spacing w:after="0" w:line="326" w:lineRule="auto"/>
        <w:tabs>
          <w:tab w:leader="none" w:pos="4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if-converted income tax expense represents the Company's calculated tax expense on adjusted non-GAAP results assuming the exchange of all partnership units for PWP Class A common stock, resulting in all of the Company’s results for the period being subject to corporate-level tax.</w:t>
      </w:r>
    </w:p>
    <w:p>
      <w:pPr>
        <w:spacing w:after="0" w:line="88" w:lineRule="exact"/>
        <w:rPr>
          <w:rFonts w:ascii="Arial" w:cs="Arial" w:eastAsia="Arial" w:hAnsi="Arial"/>
          <w:sz w:val="20"/>
          <w:szCs w:val="20"/>
          <w:color w:val="auto"/>
        </w:rPr>
      </w:pPr>
    </w:p>
    <w:p>
      <w:pPr>
        <w:ind w:left="480" w:hanging="472"/>
        <w:spacing w:after="0"/>
        <w:tabs>
          <w:tab w:leader="none" w:pos="4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15" w:lineRule="exact"/>
        <w:rPr>
          <w:rFonts w:ascii="Arial" w:cs="Arial" w:eastAsia="Arial" w:hAnsi="Arial"/>
          <w:sz w:val="20"/>
          <w:szCs w:val="20"/>
          <w:color w:val="auto"/>
        </w:rPr>
      </w:pPr>
    </w:p>
    <w:p>
      <w:pPr>
        <w:ind w:left="500" w:hanging="492"/>
        <w:spacing w:after="0" w:line="342" w:lineRule="auto"/>
        <w:tabs>
          <w:tab w:leader="none" w:pos="4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Represents the dilutive impact assuming the vesting and conversion of all PWP OpCo units to shares of Class A common stock.</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200" w:type="dxa"/>
            <w:vAlign w:val="bottom"/>
            <w:tcBorders>
              <w:bottom w:val="single" w:sz="8" w:color="B6B6B6"/>
            </w:tcBorders>
            <w:gridSpan w:val="4"/>
          </w:tcPr>
          <w:p>
            <w:pPr>
              <w:jc w:val="right"/>
              <w:ind w:right="48"/>
              <w:spacing w:after="0"/>
              <w:rPr>
                <w:sz w:val="20"/>
                <w:szCs w:val="20"/>
                <w:color w:val="auto"/>
              </w:rPr>
            </w:pPr>
            <w:r>
              <w:rPr>
                <w:rFonts w:ascii="Arial" w:cs="Arial" w:eastAsia="Arial" w:hAnsi="Arial"/>
                <w:sz w:val="14"/>
                <w:szCs w:val="14"/>
                <w:b w:val="1"/>
                <w:bCs w:val="1"/>
                <w:color w:val="503C64"/>
              </w:rPr>
              <w:t>Three Months Ended September 30, 2024</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9,367</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(484) </w:t>
            </w:r>
            <w:r>
              <w:rPr>
                <w:rFonts w:ascii="Arial" w:cs="Arial" w:eastAsia="Arial" w:hAnsi="Arial"/>
                <w:sz w:val="12"/>
                <w:szCs w:val="12"/>
                <w:color w:val="auto"/>
              </w:rPr>
              <w:t>(1)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8,883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8,852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8,852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6,170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6,170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4,497</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4,497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6,027</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6,027</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5,130</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20"/>
                <w:szCs w:val="20"/>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3,485</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40,043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(2,129)</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37,914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200" w:type="dxa"/>
            <w:vAlign w:val="bottom"/>
            <w:tcBorders>
              <w:bottom w:val="single" w:sz="8" w:color="B6B6B6"/>
            </w:tcBorders>
            <w:gridSpan w:val="4"/>
          </w:tcPr>
          <w:p>
            <w:pPr>
              <w:jc w:val="center"/>
              <w:ind w:left="88"/>
              <w:spacing w:after="0"/>
              <w:rPr>
                <w:sz w:val="20"/>
                <w:szCs w:val="20"/>
                <w:color w:val="auto"/>
              </w:rPr>
            </w:pPr>
            <w:r>
              <w:rPr>
                <w:rFonts w:ascii="Arial" w:cs="Arial" w:eastAsia="Arial" w:hAnsi="Arial"/>
                <w:sz w:val="14"/>
                <w:szCs w:val="14"/>
                <w:b w:val="1"/>
                <w:bCs w:val="1"/>
                <w:color w:val="503C64"/>
              </w:rPr>
              <w:t>Three Months Ended September 30, 2023</w:t>
            </w:r>
          </w:p>
        </w:tc>
        <w:tc>
          <w:tcPr>
            <w:tcW w:w="12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10,256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(2,019) </w:t>
            </w:r>
            <w:r>
              <w:rPr>
                <w:rFonts w:ascii="Arial" w:cs="Arial" w:eastAsia="Arial" w:hAnsi="Arial"/>
                <w:sz w:val="12"/>
                <w:szCs w:val="12"/>
                <w:color w:val="auto"/>
              </w:rPr>
              <w:t>(3)</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8,045</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8,045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6,766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6,766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4,134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4,134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5,036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5,036</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3,694</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46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2,049</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37,931</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(3,664)</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34,267</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3860" w:type="dxa"/>
            <w:vAlign w:val="bottom"/>
            <w:tcBorders>
              <w:bottom w:val="single" w:sz="8" w:color="B6B6B6"/>
            </w:tcBorders>
            <w:gridSpan w:val="4"/>
          </w:tcPr>
          <w:p>
            <w:pPr>
              <w:jc w:val="center"/>
              <w:ind w:left="788"/>
              <w:spacing w:after="0"/>
              <w:rPr>
                <w:sz w:val="20"/>
                <w:szCs w:val="20"/>
                <w:color w:val="auto"/>
              </w:rPr>
            </w:pPr>
            <w:r>
              <w:rPr>
                <w:rFonts w:ascii="Arial" w:cs="Arial" w:eastAsia="Arial" w:hAnsi="Arial"/>
                <w:sz w:val="14"/>
                <w:szCs w:val="14"/>
                <w:b w:val="1"/>
                <w:bCs w:val="1"/>
                <w:color w:val="503C64"/>
              </w:rPr>
              <w:t>Nine Months Ended September 30, 2024</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648"/>
              <w:spacing w:after="0"/>
              <w:rPr>
                <w:sz w:val="20"/>
                <w:szCs w:val="20"/>
                <w:color w:val="auto"/>
              </w:rPr>
            </w:pPr>
            <w:r>
              <w:rPr>
                <w:rFonts w:ascii="Arial" w:cs="Arial" w:eastAsia="Arial" w:hAnsi="Arial"/>
                <w:sz w:val="14"/>
                <w:szCs w:val="14"/>
                <w:b w:val="1"/>
                <w:bCs w:val="1"/>
                <w:color w:val="503C64"/>
              </w:rPr>
              <w:t>GAAP</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32,170</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28"/>
              <w:spacing w:after="0"/>
              <w:rPr>
                <w:sz w:val="20"/>
                <w:szCs w:val="20"/>
                <w:color w:val="auto"/>
              </w:rPr>
            </w:pPr>
            <w:r>
              <w:rPr>
                <w:rFonts w:ascii="Arial" w:cs="Arial" w:eastAsia="Arial" w:hAnsi="Arial"/>
                <w:sz w:val="14"/>
                <w:szCs w:val="14"/>
                <w:color w:val="auto"/>
              </w:rPr>
              <w:t xml:space="preserve">(3,054) </w:t>
            </w:r>
            <w:r>
              <w:rPr>
                <w:rFonts w:ascii="Arial" w:cs="Arial" w:eastAsia="Arial" w:hAnsi="Arial"/>
                <w:sz w:val="12"/>
                <w:szCs w:val="12"/>
                <w:color w:val="auto"/>
              </w:rPr>
              <w:t>(1)</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29,116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26,749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26,749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18,307</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18,307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13,782</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13,782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360" w:type="dxa"/>
            <w:vAlign w:val="bottom"/>
          </w:tcPr>
          <w:p>
            <w:pPr>
              <w:spacing w:after="0"/>
              <w:rPr>
                <w:sz w:val="17"/>
                <w:szCs w:val="17"/>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17,769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17,769</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B6B6B6"/>
            </w:tcBorders>
          </w:tcPr>
          <w:p>
            <w:pPr>
              <w:spacing w:after="0"/>
              <w:rPr>
                <w:sz w:val="17"/>
                <w:szCs w:val="17"/>
                <w:color w:val="auto"/>
              </w:rPr>
            </w:pPr>
          </w:p>
        </w:tc>
        <w:tc>
          <w:tcPr>
            <w:tcW w:w="13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15,318</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10,383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124,095</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(7,989)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116,106</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20" w:type="dxa"/>
            <w:vAlign w:val="bottom"/>
            <w:tcBorders>
              <w:bottom w:val="single" w:sz="8" w:color="B6B6B6"/>
            </w:tcBorders>
          </w:tcPr>
          <w:p>
            <w:pPr>
              <w:spacing w:after="0"/>
              <w:rPr>
                <w:sz w:val="17"/>
                <w:szCs w:val="17"/>
                <w:color w:val="auto"/>
              </w:rPr>
            </w:pPr>
          </w:p>
        </w:tc>
        <w:tc>
          <w:tcPr>
            <w:tcW w:w="3200" w:type="dxa"/>
            <w:vAlign w:val="bottom"/>
            <w:tcBorders>
              <w:bottom w:val="single" w:sz="8" w:color="B6B6B6"/>
            </w:tcBorders>
            <w:gridSpan w:val="4"/>
          </w:tcPr>
          <w:p>
            <w:pPr>
              <w:jc w:val="right"/>
              <w:ind w:right="68"/>
              <w:spacing w:after="0"/>
              <w:rPr>
                <w:sz w:val="20"/>
                <w:szCs w:val="20"/>
                <w:color w:val="auto"/>
              </w:rPr>
            </w:pPr>
            <w:r>
              <w:rPr>
                <w:rFonts w:ascii="Arial" w:cs="Arial" w:eastAsia="Arial" w:hAnsi="Arial"/>
                <w:sz w:val="14"/>
                <w:szCs w:val="14"/>
                <w:b w:val="1"/>
                <w:bCs w:val="1"/>
                <w:color w:val="503C64"/>
              </w:rPr>
              <w:t>Nine Months Ended September 30, 2023</w:t>
            </w:r>
          </w:p>
        </w:tc>
        <w:tc>
          <w:tcPr>
            <w:tcW w:w="122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2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26,546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(3,184) </w:t>
            </w:r>
            <w:r>
              <w:rPr>
                <w:rFonts w:ascii="Arial" w:cs="Arial" w:eastAsia="Arial" w:hAnsi="Arial"/>
                <w:sz w:val="12"/>
                <w:szCs w:val="12"/>
                <w:color w:val="auto"/>
              </w:rPr>
              <w:t>(3)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23,362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25,850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25,850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20,858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20,858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13,634</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13,634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16,226</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16,226</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Borders>
              <w:bottom w:val="single" w:sz="8" w:color="B6B6B6"/>
            </w:tcBorders>
          </w:tcPr>
          <w:p>
            <w:pPr>
              <w:spacing w:after="0"/>
              <w:rPr>
                <w:sz w:val="17"/>
                <w:szCs w:val="17"/>
                <w:color w:val="auto"/>
              </w:rPr>
            </w:pPr>
          </w:p>
        </w:tc>
        <w:tc>
          <w:tcPr>
            <w:tcW w:w="7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10,168</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(4,935) </w:t>
            </w:r>
            <w:r>
              <w:rPr>
                <w:rFonts w:ascii="Arial" w:cs="Arial" w:eastAsia="Arial" w:hAnsi="Arial"/>
                <w:sz w:val="12"/>
                <w:szCs w:val="12"/>
                <w:color w:val="auto"/>
              </w:rPr>
              <w:t>(2)</w:t>
            </w:r>
          </w:p>
        </w:tc>
        <w:tc>
          <w:tcPr>
            <w:tcW w:w="440" w:type="dxa"/>
            <w:vAlign w:val="bottom"/>
            <w:tcBorders>
              <w:bottom w:val="single" w:sz="8" w:color="B6B6B6"/>
            </w:tcBorders>
          </w:tcPr>
          <w:p>
            <w:pPr>
              <w:spacing w:after="0"/>
              <w:rPr>
                <w:sz w:val="17"/>
                <w:szCs w:val="17"/>
                <w:color w:val="auto"/>
              </w:rPr>
            </w:pPr>
          </w:p>
        </w:tc>
        <w:tc>
          <w:tcPr>
            <w:tcW w:w="12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5,233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113,282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(8,119)</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105,163</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109" w:lineRule="exact"/>
        <w:rPr>
          <w:rFonts w:ascii="Arial" w:cs="Arial" w:eastAsia="Arial" w:hAnsi="Arial"/>
          <w:sz w:val="14"/>
          <w:szCs w:val="14"/>
          <w:color w:val="auto"/>
        </w:rPr>
      </w:pPr>
    </w:p>
    <w:p>
      <w:pPr>
        <w:ind w:left="880" w:hanging="382"/>
        <w:spacing w:after="0"/>
        <w:tabs>
          <w:tab w:leader="none" w:pos="8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 and certain expenses related to the Settlement.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7"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800"/>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3"/>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2024-11-08T06:50:38Z</dcterms:created>
  <dcterms:modified xsi:type="dcterms:W3CDTF">2024-11-08T06:50:38Z</dcterms:modified>
</cp:coreProperties>
</file>