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7260" w:type="dxa"/>
            <w:vAlign w:val="bottom"/>
          </w:tcPr>
          <w:p>
            <w:pPr>
              <w:ind w:left="3520"/>
              <w:spacing w:after="0"/>
              <w:rPr>
                <w:sz w:val="20"/>
                <w:szCs w:val="20"/>
                <w:color w:val="auto"/>
              </w:rPr>
            </w:pPr>
            <w:r>
              <w:rPr>
                <w:rFonts w:ascii="Arial" w:cs="Arial" w:eastAsia="Arial" w:hAnsi="Arial"/>
                <w:sz w:val="18"/>
                <w:szCs w:val="18"/>
                <w:b w:val="1"/>
                <w:bCs w:val="1"/>
                <w:color w:val="auto"/>
              </w:rPr>
              <w:t>FOR THE TRANSITION PERIOD FROM</w:t>
            </w:r>
          </w:p>
        </w:tc>
        <w:tc>
          <w:tcPr>
            <w:tcW w:w="3980" w:type="dxa"/>
            <w:vAlign w:val="bottom"/>
          </w:tcPr>
          <w:p>
            <w:pPr>
              <w:ind w:left="180"/>
              <w:spacing w:after="0"/>
              <w:rPr>
                <w:sz w:val="20"/>
                <w:szCs w:val="20"/>
                <w:color w:val="auto"/>
              </w:rPr>
            </w:pPr>
            <w:r>
              <w:rPr>
                <w:rFonts w:ascii="Arial" w:cs="Arial" w:eastAsia="Arial" w:hAnsi="Arial"/>
                <w:sz w:val="18"/>
                <w:szCs w:val="18"/>
                <w:b w:val="1"/>
                <w:bCs w:val="1"/>
                <w:color w:val="auto"/>
              </w:rPr>
              <w:t>TO</w:t>
            </w:r>
          </w:p>
        </w:tc>
      </w:tr>
      <w:tr>
        <w:trPr>
          <w:trHeight w:val="186"/>
        </w:trPr>
        <w:tc>
          <w:tcPr>
            <w:tcW w:w="7260" w:type="dxa"/>
            <w:vAlign w:val="bottom"/>
          </w:tcPr>
          <w:p>
            <w:pPr>
              <w:jc w:val="center"/>
              <w:ind w:left="3890"/>
              <w:spacing w:after="0"/>
              <w:rPr>
                <w:sz w:val="20"/>
                <w:szCs w:val="20"/>
                <w:color w:val="auto"/>
              </w:rPr>
            </w:pPr>
            <w:r>
              <w:rPr>
                <w:rFonts w:ascii="Arial" w:cs="Arial" w:eastAsia="Arial" w:hAnsi="Arial"/>
                <w:sz w:val="14"/>
                <w:szCs w:val="14"/>
                <w:b w:val="1"/>
                <w:bCs w:val="1"/>
                <w:color w:val="auto"/>
                <w:w w:val="93"/>
              </w:rPr>
              <w:t>Commission File Number: 001-39558</w:t>
            </w:r>
          </w:p>
        </w:tc>
        <w:tc>
          <w:tcPr>
            <w:tcW w:w="3980" w:type="dxa"/>
            <w:vAlign w:val="bottom"/>
          </w:tcPr>
          <w:p>
            <w:pPr>
              <w:spacing w:after="0"/>
              <w:rPr>
                <w:sz w:val="16"/>
                <w:szCs w:val="16"/>
                <w:color w:val="auto"/>
              </w:rPr>
            </w:pPr>
          </w:p>
        </w:tc>
      </w:tr>
      <w:tr>
        <w:trPr>
          <w:trHeight w:val="228"/>
        </w:trPr>
        <w:tc>
          <w:tcPr>
            <w:tcW w:w="11240" w:type="dxa"/>
            <w:vAlign w:val="bottom"/>
            <w:tcBorders>
              <w:bottom w:val="single" w:sz="8" w:color="auto"/>
            </w:tcBorders>
            <w:gridSpan w:val="2"/>
          </w:tcPr>
          <w:p>
            <w:pPr>
              <w:spacing w:after="0"/>
              <w:rPr>
                <w:sz w:val="19"/>
                <w:szCs w:val="19"/>
                <w:color w:val="auto"/>
              </w:rPr>
            </w:pPr>
          </w:p>
        </w:tc>
      </w:tr>
      <w:tr>
        <w:trPr>
          <w:trHeight w:val="542"/>
        </w:trPr>
        <w:tc>
          <w:tcPr>
            <w:tcW w:w="11240" w:type="dxa"/>
            <w:vAlign w:val="bottom"/>
            <w:gridSpan w:val="2"/>
          </w:tcPr>
          <w:p>
            <w:pPr>
              <w:jc w:val="center"/>
              <w:spacing w:after="0"/>
              <w:rPr>
                <w:sz w:val="20"/>
                <w:szCs w:val="20"/>
                <w:color w:val="auto"/>
              </w:rPr>
            </w:pPr>
            <w:r>
              <w:rPr>
                <w:rFonts w:ascii="Arial" w:cs="Arial" w:eastAsia="Arial" w:hAnsi="Arial"/>
                <w:sz w:val="43"/>
                <w:szCs w:val="43"/>
                <w:b w:val="1"/>
                <w:bCs w:val="1"/>
                <w:color w:val="auto"/>
                <w:w w:val="99"/>
              </w:rPr>
              <w:t>PERELLA WEINBERG PARTNERS</w:t>
            </w:r>
          </w:p>
        </w:tc>
      </w:tr>
      <w:tr>
        <w:trPr>
          <w:trHeight w:val="164"/>
        </w:trPr>
        <w:tc>
          <w:tcPr>
            <w:tcW w:w="7260" w:type="dxa"/>
            <w:vAlign w:val="bottom"/>
          </w:tcPr>
          <w:p>
            <w:pPr>
              <w:jc w:val="center"/>
              <w:ind w:left="3910"/>
              <w:spacing w:after="0"/>
              <w:rPr>
                <w:sz w:val="20"/>
                <w:szCs w:val="20"/>
                <w:color w:val="auto"/>
              </w:rPr>
            </w:pPr>
            <w:r>
              <w:rPr>
                <w:rFonts w:ascii="Arial" w:cs="Arial" w:eastAsia="Arial" w:hAnsi="Arial"/>
                <w:sz w:val="13"/>
                <w:szCs w:val="13"/>
                <w:b w:val="1"/>
                <w:bCs w:val="1"/>
                <w:color w:val="auto"/>
                <w:w w:val="88"/>
              </w:rPr>
              <w:t>(Exact Name of Registrant as Specified in its Charter)</w:t>
            </w:r>
          </w:p>
        </w:tc>
        <w:tc>
          <w:tcPr>
            <w:tcW w:w="3980" w:type="dxa"/>
            <w:vAlign w:val="bottom"/>
          </w:tcPr>
          <w:p>
            <w:pPr>
              <w:spacing w:after="0"/>
              <w:rPr>
                <w:sz w:val="14"/>
                <w:szCs w:val="14"/>
                <w:color w:val="auto"/>
              </w:rPr>
            </w:pPr>
          </w:p>
        </w:tc>
      </w:tr>
      <w:tr>
        <w:trPr>
          <w:trHeight w:val="232"/>
        </w:trPr>
        <w:tc>
          <w:tcPr>
            <w:tcW w:w="726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r>
      <w:tr>
        <w:trPr>
          <w:trHeight w:val="453"/>
        </w:trPr>
        <w:tc>
          <w:tcPr>
            <w:tcW w:w="72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right"/>
              <w:ind w:right="2304"/>
              <w:spacing w:after="0"/>
              <w:rPr>
                <w:sz w:val="20"/>
                <w:szCs w:val="20"/>
                <w:color w:val="auto"/>
              </w:rPr>
            </w:pPr>
            <w:r>
              <w:rPr>
                <w:rFonts w:ascii="Arial" w:cs="Arial" w:eastAsia="Arial" w:hAnsi="Arial"/>
                <w:sz w:val="18"/>
                <w:szCs w:val="18"/>
                <w:b w:val="1"/>
                <w:bCs w:val="1"/>
                <w:color w:val="auto"/>
              </w:rPr>
              <w:t>84-1770732</w:t>
            </w:r>
          </w:p>
        </w:tc>
      </w:tr>
      <w:tr>
        <w:trPr>
          <w:trHeight w:val="171"/>
        </w:trPr>
        <w:tc>
          <w:tcPr>
            <w:tcW w:w="7260" w:type="dxa"/>
            <w:vAlign w:val="bottom"/>
          </w:tcPr>
          <w:p>
            <w:pPr>
              <w:jc w:val="center"/>
              <w:ind w:right="1530"/>
              <w:spacing w:after="0"/>
              <w:rPr>
                <w:sz w:val="20"/>
                <w:szCs w:val="20"/>
                <w:color w:val="auto"/>
              </w:rPr>
            </w:pPr>
            <w:r>
              <w:rPr>
                <w:rFonts w:ascii="Arial" w:cs="Arial" w:eastAsia="Arial" w:hAnsi="Arial"/>
                <w:sz w:val="13"/>
                <w:szCs w:val="13"/>
                <w:b w:val="1"/>
                <w:bCs w:val="1"/>
                <w:color w:val="auto"/>
                <w:w w:val="87"/>
              </w:rPr>
              <w:t>( State or other jurisdiction of</w:t>
            </w:r>
          </w:p>
        </w:tc>
        <w:tc>
          <w:tcPr>
            <w:tcW w:w="3980" w:type="dxa"/>
            <w:vAlign w:val="bottom"/>
          </w:tcPr>
          <w:p>
            <w:pPr>
              <w:jc w:val="center"/>
              <w:ind w:right="1564"/>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7260" w:type="dxa"/>
            <w:vAlign w:val="bottom"/>
          </w:tcPr>
          <w:p>
            <w:pPr>
              <w:jc w:val="center"/>
              <w:ind w:right="1530"/>
              <w:spacing w:after="0"/>
              <w:rPr>
                <w:sz w:val="20"/>
                <w:szCs w:val="20"/>
                <w:color w:val="auto"/>
              </w:rPr>
            </w:pPr>
            <w:r>
              <w:rPr>
                <w:rFonts w:ascii="Arial" w:cs="Arial" w:eastAsia="Arial" w:hAnsi="Arial"/>
                <w:sz w:val="13"/>
                <w:szCs w:val="13"/>
                <w:b w:val="1"/>
                <w:bCs w:val="1"/>
                <w:color w:val="auto"/>
                <w:w w:val="88"/>
              </w:rPr>
              <w:t>incorporation or organization)</w:t>
            </w:r>
          </w:p>
        </w:tc>
        <w:tc>
          <w:tcPr>
            <w:tcW w:w="3980" w:type="dxa"/>
            <w:vAlign w:val="bottom"/>
          </w:tcPr>
          <w:p>
            <w:pPr>
              <w:jc w:val="center"/>
              <w:ind w:right="1564"/>
              <w:spacing w:after="0"/>
              <w:rPr>
                <w:sz w:val="20"/>
                <w:szCs w:val="20"/>
                <w:color w:val="auto"/>
              </w:rPr>
            </w:pPr>
            <w:r>
              <w:rPr>
                <w:rFonts w:ascii="Arial" w:cs="Arial" w:eastAsia="Arial" w:hAnsi="Arial"/>
                <w:sz w:val="13"/>
                <w:szCs w:val="13"/>
                <w:b w:val="1"/>
                <w:bCs w:val="1"/>
                <w:color w:val="auto"/>
                <w:w w:val="89"/>
              </w:rPr>
              <w:t>Identification No.)</w:t>
            </w:r>
          </w:p>
        </w:tc>
      </w:tr>
      <w:tr>
        <w:trPr>
          <w:trHeight w:val="241"/>
        </w:trPr>
        <w:tc>
          <w:tcPr>
            <w:tcW w:w="7260" w:type="dxa"/>
            <w:vAlign w:val="bottom"/>
          </w:tcPr>
          <w:p>
            <w:pPr>
              <w:jc w:val="center"/>
              <w:ind w:right="1550"/>
              <w:spacing w:after="0"/>
              <w:rPr>
                <w:sz w:val="20"/>
                <w:szCs w:val="20"/>
                <w:color w:val="auto"/>
              </w:rPr>
            </w:pPr>
            <w:r>
              <w:rPr>
                <w:rFonts w:ascii="Arial" w:cs="Arial" w:eastAsia="Arial" w:hAnsi="Arial"/>
                <w:sz w:val="18"/>
                <w:szCs w:val="18"/>
                <w:b w:val="1"/>
                <w:bCs w:val="1"/>
                <w:color w:val="auto"/>
                <w:w w:val="90"/>
              </w:rPr>
              <w:t>767 Fifth Avenue</w:t>
            </w:r>
          </w:p>
        </w:tc>
        <w:tc>
          <w:tcPr>
            <w:tcW w:w="3980" w:type="dxa"/>
            <w:vAlign w:val="bottom"/>
          </w:tcPr>
          <w:p>
            <w:pPr>
              <w:spacing w:after="0"/>
              <w:rPr>
                <w:sz w:val="20"/>
                <w:szCs w:val="20"/>
                <w:color w:val="auto"/>
              </w:rPr>
            </w:pPr>
          </w:p>
        </w:tc>
      </w:tr>
      <w:tr>
        <w:trPr>
          <w:trHeight w:val="234"/>
        </w:trPr>
        <w:tc>
          <w:tcPr>
            <w:tcW w:w="72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5"/>
              </w:rPr>
              <w:t>New York, NY</w:t>
            </w:r>
          </w:p>
        </w:tc>
        <w:tc>
          <w:tcPr>
            <w:tcW w:w="3980" w:type="dxa"/>
            <w:vAlign w:val="bottom"/>
          </w:tcPr>
          <w:p>
            <w:pPr>
              <w:jc w:val="right"/>
              <w:ind w:right="2504"/>
              <w:spacing w:after="0"/>
              <w:rPr>
                <w:sz w:val="20"/>
                <w:szCs w:val="20"/>
                <w:color w:val="auto"/>
              </w:rPr>
            </w:pPr>
            <w:r>
              <w:rPr>
                <w:rFonts w:ascii="Arial" w:cs="Arial" w:eastAsia="Arial" w:hAnsi="Arial"/>
                <w:sz w:val="18"/>
                <w:szCs w:val="18"/>
                <w:b w:val="1"/>
                <w:bCs w:val="1"/>
                <w:color w:val="auto"/>
              </w:rPr>
              <w:t>10153</w:t>
            </w:r>
          </w:p>
        </w:tc>
      </w:tr>
      <w:tr>
        <w:trPr>
          <w:trHeight w:val="173"/>
        </w:trPr>
        <w:tc>
          <w:tcPr>
            <w:tcW w:w="7260" w:type="dxa"/>
            <w:vAlign w:val="bottom"/>
          </w:tcPr>
          <w:p>
            <w:pPr>
              <w:jc w:val="center"/>
              <w:ind w:right="153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980" w:type="dxa"/>
            <w:vAlign w:val="bottom"/>
          </w:tcPr>
          <w:p>
            <w:pPr>
              <w:jc w:val="center"/>
              <w:ind w:right="1564"/>
              <w:spacing w:after="0"/>
              <w:rPr>
                <w:sz w:val="20"/>
                <w:szCs w:val="20"/>
                <w:color w:val="auto"/>
              </w:rPr>
            </w:pPr>
            <w:r>
              <w:rPr>
                <w:rFonts w:ascii="Arial" w:cs="Arial" w:eastAsia="Arial" w:hAnsi="Arial"/>
                <w:sz w:val="13"/>
                <w:szCs w:val="13"/>
                <w:b w:val="1"/>
                <w:bCs w:val="1"/>
                <w:color w:val="auto"/>
                <w:w w:val="90"/>
              </w:rPr>
              <w:t>(Zip Code)</w:t>
            </w:r>
          </w:p>
        </w:tc>
      </w:tr>
    </w:tbl>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6"/>
        </w:trPr>
        <w:tc>
          <w:tcPr>
            <w:tcW w:w="4940" w:type="dxa"/>
            <w:vAlign w:val="bottom"/>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14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PWP</w:t>
            </w:r>
          </w:p>
        </w:tc>
        <w:tc>
          <w:tcPr>
            <w:tcW w:w="12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r>
        <w:trPr>
          <w:trHeight w:val="203"/>
        </w:trPr>
        <w:tc>
          <w:tcPr>
            <w:tcW w:w="4940" w:type="dxa"/>
            <w:vAlign w:val="bottom"/>
          </w:tcPr>
          <w:p>
            <w:pPr>
              <w:ind w:left="20"/>
              <w:spacing w:after="0"/>
              <w:rPr>
                <w:sz w:val="20"/>
                <w:szCs w:val="20"/>
                <w:color w:val="auto"/>
              </w:rPr>
            </w:pPr>
            <w:r>
              <w:rPr>
                <w:rFonts w:ascii="Arial" w:cs="Arial" w:eastAsia="Arial" w:hAnsi="Arial"/>
                <w:sz w:val="16"/>
                <w:szCs w:val="16"/>
                <w:color w:val="auto"/>
              </w:rPr>
              <w:t>Warrants, each whole warrant exercisable for one share of Class A</w:t>
            </w:r>
          </w:p>
        </w:tc>
        <w:tc>
          <w:tcPr>
            <w:tcW w:w="14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PWPPW</w:t>
            </w:r>
          </w:p>
        </w:tc>
        <w:tc>
          <w:tcPr>
            <w:tcW w:w="12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r>
        <w:trPr>
          <w:trHeight w:val="206"/>
        </w:trPr>
        <w:tc>
          <w:tcPr>
            <w:tcW w:w="494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Pr>
          <w:p>
            <w:pPr>
              <w:spacing w:after="0"/>
              <w:rPr>
                <w:sz w:val="17"/>
                <w:szCs w:val="17"/>
                <w:color w:val="auto"/>
              </w:rPr>
            </w:pPr>
          </w:p>
        </w:tc>
      </w:tr>
    </w:tbl>
    <w:p>
      <w:pPr>
        <w:spacing w:after="0" w:line="185"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5"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340" w:type="dxa"/>
            <w:vAlign w:val="bottom"/>
          </w:tcPr>
          <w:p>
            <w:pPr>
              <w:ind w:left="1300"/>
              <w:spacing w:after="0"/>
              <w:rPr>
                <w:sz w:val="20"/>
                <w:szCs w:val="20"/>
                <w:color w:val="auto"/>
              </w:rPr>
            </w:pPr>
            <w:r>
              <w:rPr>
                <w:rFonts w:ascii="Arial" w:cs="Arial" w:eastAsia="Arial" w:hAnsi="Arial"/>
                <w:sz w:val="16"/>
                <w:szCs w:val="16"/>
                <w:color w:val="auto"/>
              </w:rPr>
              <w:t>Accelerated filer</w:t>
            </w:r>
          </w:p>
        </w:tc>
        <w:tc>
          <w:tcPr>
            <w:tcW w:w="142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25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340" w:type="dxa"/>
            <w:vAlign w:val="bottom"/>
          </w:tcPr>
          <w:p>
            <w:pPr>
              <w:ind w:left="1300"/>
              <w:spacing w:after="0"/>
              <w:rPr>
                <w:sz w:val="20"/>
                <w:szCs w:val="20"/>
                <w:color w:val="auto"/>
              </w:rPr>
            </w:pPr>
            <w:r>
              <w:rPr>
                <w:rFonts w:ascii="Arial" w:cs="Arial" w:eastAsia="Arial" w:hAnsi="Arial"/>
                <w:sz w:val="16"/>
                <w:szCs w:val="16"/>
                <w:color w:val="auto"/>
              </w:rPr>
              <w:t>Smaller reporting company</w:t>
            </w:r>
          </w:p>
        </w:tc>
        <w:tc>
          <w:tcPr>
            <w:tcW w:w="142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340" w:type="dxa"/>
            <w:vAlign w:val="bottom"/>
          </w:tcPr>
          <w:p>
            <w:pPr>
              <w:ind w:left="1300"/>
              <w:spacing w:after="0"/>
              <w:rPr>
                <w:sz w:val="20"/>
                <w:szCs w:val="20"/>
                <w:color w:val="auto"/>
              </w:rPr>
            </w:pPr>
            <w:r>
              <w:rPr>
                <w:rFonts w:ascii="Arial" w:cs="Arial" w:eastAsia="Arial" w:hAnsi="Arial"/>
                <w:sz w:val="16"/>
                <w:szCs w:val="16"/>
                <w:color w:val="auto"/>
              </w:rPr>
              <w:t>Emerging growth company</w:t>
            </w:r>
          </w:p>
        </w:tc>
        <w:tc>
          <w:tcPr>
            <w:tcW w:w="142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224"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84" w:lineRule="exact"/>
        <w:tabs>
          <w:tab w:leader="none" w:pos="752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24" w:lineRule="exact"/>
        <w:rPr>
          <w:sz w:val="24"/>
          <w:szCs w:val="24"/>
          <w:color w:val="auto"/>
        </w:rPr>
      </w:pPr>
    </w:p>
    <w:p>
      <w:pPr>
        <w:ind w:right="100"/>
        <w:spacing w:after="0" w:line="293" w:lineRule="auto"/>
        <w:rPr>
          <w:sz w:val="20"/>
          <w:szCs w:val="20"/>
          <w:color w:val="auto"/>
        </w:rPr>
      </w:pPr>
      <w:r>
        <w:rPr>
          <w:rFonts w:ascii="Arial" w:cs="Arial" w:eastAsia="Arial" w:hAnsi="Arial"/>
          <w:sz w:val="16"/>
          <w:szCs w:val="16"/>
          <w:color w:val="auto"/>
        </w:rPr>
        <w:t>As of November 2, 2021, the registrant had 42,492,628 shares of Class A common stock, par value $0.0001 per share, and 50,154,199 shares of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745490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 w:name="page2"/>
    <w:bookmarkEnd w:id="1"/>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Table of Contents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16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PART I.</w:t>
            </w:r>
          </w:p>
        </w:tc>
        <w:tc>
          <w:tcPr>
            <w:tcW w:w="9300" w:type="dxa"/>
            <w:vAlign w:val="bottom"/>
            <w:gridSpan w:val="18"/>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Financial Condition as of September 30, 2021 and December 31,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Condensed Consolidated Statements of Operations for the Three and Nine Months Ended September 30, 2021 and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Condensed Consolidated Statements of Comprehensive Income (Loss) for the Three and Nine Months Ended September 30,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2021 and 2020</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Statements of Changes in Equity for the Three and Nine Months Ended September 30, 2021 and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 for the Nine Months Ended September 30, 2021 and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300" w:type="dxa"/>
            <w:vAlign w:val="bottom"/>
            <w:gridSpan w:val="1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960" w:type="dxa"/>
            <w:vAlign w:val="bottom"/>
            <w:tcBorders>
              <w:left w:val="single" w:sz="8" w:color="0000FF"/>
            </w:tcBorders>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vMerge w:val="continue"/>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OTHER INFORMATION</w:t>
              </w:r>
            </w:hyperlink>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30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300" w:type="dxa"/>
            <w:vAlign w:val="bottom"/>
            <w:gridSpan w:val="1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1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300" w:type="dxa"/>
            <w:vAlign w:val="bottom"/>
            <w:gridSpan w:val="18"/>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Signatures</w:t>
              </w:r>
            </w:hyperlink>
          </w:p>
        </w:tc>
        <w:tc>
          <w:tcPr>
            <w:tcW w:w="2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920" w:type="dxa"/>
            <w:vAlign w:val="bottom"/>
            <w:gridSpan w:val="12"/>
          </w:tcPr>
          <w:p>
            <w:pPr>
              <w:ind w:left="4420"/>
              <w:spacing w:after="0"/>
              <w:rPr>
                <w:sz w:val="20"/>
                <w:szCs w:val="20"/>
                <w:color w:val="auto"/>
              </w:rPr>
            </w:pPr>
            <w:r>
              <w:rPr>
                <w:rFonts w:ascii="Arial" w:cs="Arial" w:eastAsia="Arial" w:hAnsi="Arial"/>
                <w:sz w:val="18"/>
                <w:szCs w:val="18"/>
                <w:color w:val="auto"/>
              </w:rPr>
              <w:t>1</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both"/>
        <w:ind w:firstLine="464"/>
        <w:spacing w:after="0" w:line="309" w:lineRule="auto"/>
        <w:rPr>
          <w:sz w:val="20"/>
          <w:szCs w:val="20"/>
          <w:color w:val="auto"/>
        </w:rPr>
      </w:pPr>
      <w:r>
        <w:rPr>
          <w:rFonts w:ascii="Arial" w:cs="Arial" w:eastAsia="Arial" w:hAnsi="Arial"/>
          <w:sz w:val="16"/>
          <w:szCs w:val="16"/>
          <w:color w:val="auto"/>
        </w:rPr>
        <w:t>On June 24, 2021 (the “Closing Date”), Perella Weinberg Partners (formerly known as FinTech Acquisition Corp. IV (“FTIV”)) consummated its previously announced business combination pursuant to that certain Business Combination Agreement, dated as of December 29, 2020. As contemplated by the Business Combination Agreement, (i) FTIV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CAUTIONARY STATEMENT REGARDING FORWARD-LOOKING STATEMENTS</w:t>
      </w:r>
    </w:p>
    <w:p>
      <w:pPr>
        <w:spacing w:after="0" w:line="243"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231F20"/>
        </w:rPr>
        <w:t>Certain statements made in this Quarterly Report on Form 10-Q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18"/>
          <w:szCs w:val="18"/>
          <w:color w:val="231F20"/>
        </w:rPr>
        <w:t>the projected financial information, anticipated growth rate, and market opportunity of the Company;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231F20"/>
        </w:rPr>
        <w:t>the ability to maintain the listing of the Company’s Class A common stock and warrants on Nasdaq following the Business Combination;</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231F20"/>
        </w:rPr>
        <w:t>our public securities’ potential liquidity and trading;</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231F20"/>
        </w:rPr>
        <w:t>our success in retaining or recruiting partners and other employees, or changes related to, our officers, key employees or directors following the completion of the Business Combination;</w:t>
      </w:r>
    </w:p>
    <w:p>
      <w:pPr>
        <w:spacing w:after="0" w:line="62" w:lineRule="exact"/>
        <w:rPr>
          <w:sz w:val="20"/>
          <w:szCs w:val="20"/>
          <w:color w:val="auto"/>
        </w:rPr>
      </w:pPr>
    </w:p>
    <w:p>
      <w:pPr>
        <w:ind w:left="960" w:right="440"/>
        <w:spacing w:after="0" w:line="391" w:lineRule="auto"/>
        <w:rPr>
          <w:sz w:val="20"/>
          <w:szCs w:val="20"/>
          <w:color w:val="auto"/>
        </w:rPr>
      </w:pPr>
      <w:r>
        <w:rPr>
          <w:rFonts w:ascii="Arial" w:cs="Arial" w:eastAsia="Arial" w:hAnsi="Arial"/>
          <w:sz w:val="18"/>
          <w:szCs w:val="18"/>
          <w:color w:val="231F20"/>
        </w:rPr>
        <w:t>members of our management team allocating their time to other businesses and potentially having conflicts of interest with our business; factors relating to the business, operations and financial performance of the Company, including:</w:t>
      </w:r>
    </w:p>
    <w:p>
      <w:pPr>
        <w:spacing w:after="0" w:line="1" w:lineRule="exact"/>
        <w:rPr>
          <w:sz w:val="20"/>
          <w:szCs w:val="20"/>
          <w:color w:val="auto"/>
        </w:rPr>
      </w:pPr>
    </w:p>
    <w:p>
      <w:pPr>
        <w:ind w:left="1460" w:hanging="434"/>
        <w:spacing w:after="0"/>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whether the Company realizes all or any of the anticipated benefits from the Business Combination;</w:t>
      </w:r>
    </w:p>
    <w:p>
      <w:pPr>
        <w:spacing w:after="0" w:line="130" w:lineRule="exact"/>
        <w:rPr>
          <w:rFonts w:ascii="Arial" w:cs="Arial" w:eastAsia="Arial" w:hAnsi="Arial"/>
          <w:sz w:val="18"/>
          <w:szCs w:val="18"/>
          <w:color w:val="231F20"/>
        </w:rPr>
      </w:pPr>
    </w:p>
    <w:p>
      <w:pPr>
        <w:ind w:left="1460" w:right="20" w:hanging="434"/>
        <w:spacing w:after="0" w:line="293" w:lineRule="auto"/>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whether the Business Combination results in any increased or unforeseen costs or has an impact on the Company’s ability to retain or compete for professional talent or investor capital;</w:t>
      </w:r>
    </w:p>
    <w:p>
      <w:pPr>
        <w:spacing w:after="0" w:line="61" w:lineRule="exact"/>
        <w:rPr>
          <w:rFonts w:ascii="Arial" w:cs="Arial" w:eastAsia="Arial" w:hAnsi="Arial"/>
          <w:sz w:val="18"/>
          <w:szCs w:val="18"/>
          <w:color w:val="231F20"/>
        </w:rPr>
      </w:pPr>
    </w:p>
    <w:p>
      <w:pPr>
        <w:ind w:left="1460" w:hanging="434"/>
        <w:spacing w:after="0" w:line="324" w:lineRule="auto"/>
        <w:tabs>
          <w:tab w:leader="none" w:pos="146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global economic, business, market and geopolitical conditions, including the impact of public health crises, such as the ongoing rapid, worldwide spread of a novel strain of coronavirus and the pandemic caused thereby (collectively, “COVID-19”);</w:t>
      </w:r>
    </w:p>
    <w:p>
      <w:pPr>
        <w:spacing w:after="0" w:line="39" w:lineRule="exact"/>
        <w:rPr>
          <w:rFonts w:ascii="Arial" w:cs="Arial" w:eastAsia="Arial" w:hAnsi="Arial"/>
          <w:sz w:val="17"/>
          <w:szCs w:val="17"/>
          <w:color w:val="231F20"/>
        </w:rPr>
      </w:pPr>
    </w:p>
    <w:p>
      <w:pPr>
        <w:ind w:left="1460" w:hanging="434"/>
        <w:spacing w:after="0"/>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Company’s dependence on and ability to retain working partners and other key employees;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Company’s ability to successfully identify, recruit and develop talent;</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risks associated with strategic transactions, such as joint ventures, strategic investments, acquisitions and dispositions;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conditions impacting the corporate advisory industry;</w:t>
      </w:r>
    </w:p>
    <w:p>
      <w:pPr>
        <w:spacing w:after="0" w:line="130" w:lineRule="exact"/>
        <w:rPr>
          <w:rFonts w:ascii="Arial" w:cs="Arial" w:eastAsia="Arial" w:hAnsi="Arial"/>
          <w:sz w:val="18"/>
          <w:szCs w:val="18"/>
          <w:color w:val="231F20"/>
        </w:rPr>
      </w:pPr>
    </w:p>
    <w:p>
      <w:pPr>
        <w:ind w:left="1460" w:hanging="434"/>
        <w:spacing w:after="0" w:line="293" w:lineRule="auto"/>
        <w:tabs>
          <w:tab w:leader="none" w:pos="14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Company’s dependence on its fee-paying clients and fluctuating revenues from its non-exclusive, engagement-by-engagement business model;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ind w:left="1460" w:right="20" w:hanging="434"/>
        <w:spacing w:after="0" w:line="293" w:lineRule="auto"/>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high volatility of the Company’s revenue as a result of its reliance on advisory fees that are largely contingent on the completion of events which may be out of its control;</w:t>
      </w:r>
    </w:p>
    <w:p>
      <w:pPr>
        <w:spacing w:after="0" w:line="61"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ability of the Company’s clients to pay for its services, including its restructuring clients;</w:t>
      </w:r>
    </w:p>
    <w:p>
      <w:pPr>
        <w:spacing w:after="0" w:line="130" w:lineRule="exact"/>
        <w:rPr>
          <w:rFonts w:ascii="Arial" w:cs="Arial" w:eastAsia="Arial" w:hAnsi="Arial"/>
          <w:sz w:val="18"/>
          <w:szCs w:val="18"/>
          <w:color w:val="231F20"/>
        </w:rPr>
      </w:pPr>
    </w:p>
    <w:p>
      <w:pPr>
        <w:ind w:left="1460" w:hanging="434"/>
        <w:spacing w:after="0" w:line="359" w:lineRule="auto"/>
        <w:tabs>
          <w:tab w:leader="none" w:pos="146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6" w:lineRule="exact"/>
        <w:rPr>
          <w:rFonts w:ascii="Arial" w:cs="Arial" w:eastAsia="Arial" w:hAnsi="Arial"/>
          <w:sz w:val="16"/>
          <w:szCs w:val="16"/>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strong competition from other financial advisory and investment banking firms;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potential impairment of goodwill and other intangible assets, which represent a significant portion of the Company’s assets;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Company’s successful formulation and execution of its business and growth strategies;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outcome of third-party litigation involving the Company;</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substantial litigation risks in the financial services industry;</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cybersecurity and other operational risks;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Company’s ability to expand into new markets and lines of businesses for the advisory business;</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exposure to fluctuations in foreign currency exchange rates;</w:t>
      </w:r>
    </w:p>
    <w:p>
      <w:pPr>
        <w:spacing w:after="0" w:line="130" w:lineRule="exact"/>
        <w:rPr>
          <w:rFonts w:ascii="Arial" w:cs="Arial" w:eastAsia="Arial" w:hAnsi="Arial"/>
          <w:sz w:val="18"/>
          <w:szCs w:val="18"/>
          <w:color w:val="231F20"/>
        </w:rPr>
      </w:pPr>
    </w:p>
    <w:p>
      <w:pPr>
        <w:ind w:left="1460" w:hanging="434"/>
        <w:spacing w:after="0" w:line="293" w:lineRule="auto"/>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assumptions relating to the Company’s operations, financial results, financial condition, business prospects, growth strategy and liquidity;</w:t>
      </w:r>
    </w:p>
    <w:p>
      <w:pPr>
        <w:spacing w:after="0" w:line="61" w:lineRule="exact"/>
        <w:rPr>
          <w:rFonts w:ascii="Arial" w:cs="Arial" w:eastAsia="Arial" w:hAnsi="Arial"/>
          <w:sz w:val="18"/>
          <w:szCs w:val="18"/>
          <w:color w:val="231F20"/>
        </w:rPr>
      </w:pPr>
    </w:p>
    <w:p>
      <w:pPr>
        <w:ind w:left="1460" w:hanging="434"/>
        <w:spacing w:after="0" w:line="359" w:lineRule="auto"/>
        <w:tabs>
          <w:tab w:leader="none" w:pos="146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16" w:lineRule="exact"/>
        <w:rPr>
          <w:rFonts w:ascii="Arial" w:cs="Arial" w:eastAsia="Arial" w:hAnsi="Arial"/>
          <w:sz w:val="16"/>
          <w:szCs w:val="16"/>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impact of the global COVID-19 pandemic on any of the foregoing risks; and</w:t>
      </w:r>
    </w:p>
    <w:p>
      <w:pPr>
        <w:spacing w:after="0" w:line="130" w:lineRule="exact"/>
        <w:rPr>
          <w:rFonts w:ascii="Arial" w:cs="Arial" w:eastAsia="Arial" w:hAnsi="Arial"/>
          <w:sz w:val="18"/>
          <w:szCs w:val="18"/>
          <w:color w:val="231F20"/>
        </w:rPr>
      </w:pPr>
    </w:p>
    <w:p>
      <w:pPr>
        <w:ind w:left="1460" w:hanging="434"/>
        <w:spacing w:after="0"/>
        <w:tabs>
          <w:tab w:leader="none" w:pos="14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other risks and uncertainties described under the section entitled “</w:t>
      </w:r>
      <w:r>
        <w:rPr>
          <w:rFonts w:ascii="Arial" w:cs="Arial" w:eastAsia="Arial" w:hAnsi="Arial"/>
          <w:sz w:val="18"/>
          <w:szCs w:val="18"/>
          <w:i w:val="1"/>
          <w:iCs w:val="1"/>
          <w:color w:val="231F20"/>
        </w:rPr>
        <w:t>Risk Factors</w:t>
      </w:r>
      <w:r>
        <w:rPr>
          <w:rFonts w:ascii="Arial" w:cs="Arial" w:eastAsia="Arial" w:hAnsi="Arial"/>
          <w:sz w:val="18"/>
          <w:szCs w:val="18"/>
          <w:color w:val="231F20"/>
        </w:rPr>
        <w:t>” included elsewhere in this Form 10-Q.</w:t>
      </w:r>
    </w:p>
    <w:p>
      <w:pPr>
        <w:spacing w:after="0" w:line="239" w:lineRule="exact"/>
        <w:rPr>
          <w:sz w:val="20"/>
          <w:szCs w:val="20"/>
          <w:color w:val="auto"/>
        </w:rPr>
      </w:pPr>
    </w:p>
    <w:p>
      <w:pPr>
        <w:jc w:val="both"/>
        <w:ind w:firstLine="464"/>
        <w:spacing w:after="0" w:line="296" w:lineRule="auto"/>
        <w:rPr>
          <w:sz w:val="20"/>
          <w:szCs w:val="20"/>
          <w:color w:val="auto"/>
        </w:rPr>
      </w:pPr>
      <w:r>
        <w:rPr>
          <w:rFonts w:ascii="Arial" w:cs="Arial" w:eastAsia="Arial" w:hAnsi="Arial"/>
          <w:sz w:val="17"/>
          <w:szCs w:val="17"/>
          <w:color w:val="231F20"/>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243"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7"/>
          <w:szCs w:val="17"/>
          <w:color w:val="auto"/>
        </w:rPr>
        <w:t>We file annual, quarterly and current reports, proxy statements and other information with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5"/>
        </w:trPr>
        <w:tc>
          <w:tcPr>
            <w:tcW w:w="774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7740" w:type="dxa"/>
            <w:vAlign w:val="bottom"/>
          </w:tcPr>
          <w:p>
            <w:pPr>
              <w:ind w:left="4580"/>
              <w:spacing w:after="0"/>
              <w:rPr>
                <w:sz w:val="20"/>
                <w:szCs w:val="20"/>
                <w:color w:val="auto"/>
              </w:rPr>
            </w:pPr>
            <w:r>
              <w:rPr>
                <w:rFonts w:ascii="Arial" w:cs="Arial" w:eastAsia="Arial" w:hAnsi="Arial"/>
                <w:sz w:val="18"/>
                <w:szCs w:val="18"/>
                <w:b w:val="1"/>
                <w:bCs w:val="1"/>
                <w:color w:val="auto"/>
              </w:rPr>
              <w:t>Perella Weinberg Partners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7"/>
        </w:trPr>
        <w:tc>
          <w:tcPr>
            <w:tcW w:w="8380" w:type="dxa"/>
            <w:vAlign w:val="bottom"/>
            <w:gridSpan w:val="2"/>
          </w:tcPr>
          <w:p>
            <w:pPr>
              <w:ind w:left="3340"/>
              <w:spacing w:after="0"/>
              <w:rPr>
                <w:sz w:val="20"/>
                <w:szCs w:val="20"/>
                <w:color w:val="auto"/>
              </w:rPr>
            </w:pPr>
            <w:r>
              <w:rPr>
                <w:rFonts w:ascii="Arial" w:cs="Arial" w:eastAsia="Arial" w:hAnsi="Arial"/>
                <w:sz w:val="18"/>
                <w:szCs w:val="18"/>
                <w:b w:val="1"/>
                <w:bCs w:val="1"/>
                <w:color w:val="auto"/>
                <w:w w:val="97"/>
              </w:rPr>
              <w:t>Condensed Consolidated Statements of Financial Condition</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0"/>
        </w:trPr>
        <w:tc>
          <w:tcPr>
            <w:tcW w:w="7740" w:type="dxa"/>
            <w:vAlign w:val="bottom"/>
          </w:tcPr>
          <w:p>
            <w:pPr>
              <w:ind w:left="5140"/>
              <w:spacing w:after="0"/>
              <w:rPr>
                <w:sz w:val="20"/>
                <w:szCs w:val="20"/>
                <w:color w:val="auto"/>
              </w:rPr>
            </w:pPr>
            <w:r>
              <w:rPr>
                <w:rFonts w:ascii="Arial" w:cs="Arial" w:eastAsia="Arial" w:hAnsi="Arial"/>
                <w:sz w:val="18"/>
                <w:szCs w:val="18"/>
                <w:b w:val="1"/>
                <w:bCs w:val="1"/>
                <w:color w:val="auto"/>
              </w:rPr>
              <w:t>(Unaudited)</w:t>
            </w:r>
          </w:p>
        </w:tc>
        <w:tc>
          <w:tcPr>
            <w:tcW w:w="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7740" w:type="dxa"/>
            <w:vAlign w:val="bottom"/>
          </w:tcPr>
          <w:p>
            <w:pPr>
              <w:ind w:left="3660"/>
              <w:spacing w:after="0"/>
              <w:rPr>
                <w:sz w:val="20"/>
                <w:szCs w:val="20"/>
                <w:color w:val="auto"/>
              </w:rPr>
            </w:pPr>
            <w:r>
              <w:rPr>
                <w:rFonts w:ascii="Arial" w:cs="Arial" w:eastAsia="Arial" w:hAnsi="Arial"/>
                <w:sz w:val="18"/>
                <w:szCs w:val="18"/>
                <w:b w:val="1"/>
                <w:bCs w:val="1"/>
                <w:color w:val="auto"/>
                <w:w w:val="93"/>
              </w:rPr>
              <w:t>(Dollars in Thousands, Except Per Share Amounts)</w:t>
            </w:r>
          </w:p>
        </w:tc>
        <w:tc>
          <w:tcPr>
            <w:tcW w:w="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54"/>
        </w:trPr>
        <w:tc>
          <w:tcPr>
            <w:tcW w:w="7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7740" w:type="dxa"/>
            <w:vAlign w:val="bottom"/>
          </w:tcPr>
          <w:p>
            <w:pPr>
              <w:spacing w:after="0"/>
              <w:rPr>
                <w:sz w:val="20"/>
                <w:szCs w:val="20"/>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3"/>
              </w:rPr>
              <w:t>September 30, 2021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5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415,839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329,063</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1,835</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1,845</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Accounts receivable, net of allowance</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66,021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40,802</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Due from related parties</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289</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Fixed assets, net of accumulated depreciation and amortization</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11,383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17,189</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Intangible assets, net of accumulated amortization</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33,997</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38,932</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34,383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34,383</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Prepaid expenses and other assets</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37,621</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25,792</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Right-of-use lease assets</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53,444</w:t>
            </w:r>
          </w:p>
        </w:tc>
      </w:tr>
      <w:tr>
        <w:trPr>
          <w:trHeight w:val="263"/>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Deferred tax asset, net</w:t>
            </w:r>
          </w:p>
        </w:tc>
        <w:tc>
          <w:tcPr>
            <w:tcW w:w="64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18,362</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1,214</w:t>
            </w:r>
          </w:p>
        </w:tc>
      </w:tr>
      <w:tr>
        <w:trPr>
          <w:trHeight w:val="250"/>
        </w:trPr>
        <w:tc>
          <w:tcPr>
            <w:tcW w:w="77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663,660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542,953</w:t>
            </w:r>
          </w:p>
        </w:tc>
      </w:tr>
      <w:tr>
        <w:trPr>
          <w:trHeight w:val="20"/>
        </w:trPr>
        <w:tc>
          <w:tcPr>
            <w:tcW w:w="7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6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Accrued compensation and benefits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265,130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213,524</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compensation programs</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13,798</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17,208</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Accounts payable, accrued expenses and other liabilities</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29,848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22,246</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5,939</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10,598</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Lease liabilities</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47,888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58,229</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net of unamortized debt discounts and issuance costs</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146,965</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Warrant liabilities</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24,966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Amount due pursuant to tax receivable agreement</w:t>
            </w:r>
          </w:p>
        </w:tc>
        <w:tc>
          <w:tcPr>
            <w:tcW w:w="64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14,108</w:t>
            </w:r>
          </w:p>
        </w:tc>
        <w:tc>
          <w:tcPr>
            <w:tcW w:w="12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6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401,677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468,770</w:t>
            </w:r>
          </w:p>
        </w:tc>
      </w:tr>
      <w:tr>
        <w:trPr>
          <w:trHeight w:val="25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18)</w:t>
            </w:r>
          </w:p>
        </w:tc>
        <w:tc>
          <w:tcPr>
            <w:tcW w:w="6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42"/>
        </w:trPr>
        <w:tc>
          <w:tcPr>
            <w:tcW w:w="7740" w:type="dxa"/>
            <w:vAlign w:val="bottom"/>
          </w:tcPr>
          <w:p>
            <w:pPr>
              <w:ind w:left="120"/>
              <w:spacing w:after="0"/>
              <w:rPr>
                <w:sz w:val="20"/>
                <w:szCs w:val="20"/>
                <w:color w:val="auto"/>
              </w:rPr>
            </w:pPr>
            <w:r>
              <w:rPr>
                <w:rFonts w:ascii="Arial" w:cs="Arial" w:eastAsia="Arial" w:hAnsi="Arial"/>
                <w:sz w:val="18"/>
                <w:szCs w:val="18"/>
                <w:color w:val="auto"/>
              </w:rPr>
              <w:t>Class A common stock, par value $0.0001 per share (1,500,000,000 shares authorized,</w:t>
            </w: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7"/>
        </w:trPr>
        <w:tc>
          <w:tcPr>
            <w:tcW w:w="7740" w:type="dxa"/>
            <w:vAlign w:val="bottom"/>
          </w:tcPr>
          <w:p>
            <w:pPr>
              <w:ind w:left="120"/>
              <w:spacing w:after="0"/>
              <w:rPr>
                <w:sz w:val="20"/>
                <w:szCs w:val="20"/>
                <w:color w:val="auto"/>
              </w:rPr>
            </w:pPr>
            <w:r>
              <w:rPr>
                <w:rFonts w:ascii="Arial" w:cs="Arial" w:eastAsia="Arial" w:hAnsi="Arial"/>
                <w:sz w:val="18"/>
                <w:szCs w:val="18"/>
                <w:color w:val="auto"/>
              </w:rPr>
              <w:t>43,492,498 issued and 42,492,498 outstanding at September 30, 2021)</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Class B common stock, par value $0.0001 per share (600,000,000 shares authorized,</w:t>
            </w:r>
          </w:p>
        </w:tc>
        <w:tc>
          <w:tcPr>
            <w:tcW w:w="6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44"/>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50,154,199 issued and outstanding at September 30, 2021)</w:t>
            </w:r>
          </w:p>
        </w:tc>
        <w:tc>
          <w:tcPr>
            <w:tcW w:w="6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Additional paid-in-capital</w:t>
            </w:r>
          </w:p>
        </w:tc>
        <w:tc>
          <w:tcPr>
            <w:tcW w:w="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152,308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Retained earnings (accumulated deficit)</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(13,336 )</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(1,774 )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(2,326 )</w:t>
            </w:r>
          </w:p>
        </w:tc>
      </w:tr>
      <w:tr>
        <w:trPr>
          <w:trHeight w:val="26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Treasury stock, at cost (1,000,000 shares at September 30, 2021)</w:t>
            </w:r>
          </w:p>
        </w:tc>
        <w:tc>
          <w:tcPr>
            <w:tcW w:w="6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(12,000 )</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Pr>
          <w:p>
            <w:pPr>
              <w:ind w:left="120"/>
              <w:spacing w:after="0"/>
              <w:rPr>
                <w:sz w:val="20"/>
                <w:szCs w:val="20"/>
                <w:color w:val="auto"/>
              </w:rPr>
            </w:pPr>
            <w:r>
              <w:rPr>
                <w:rFonts w:ascii="Arial" w:cs="Arial" w:eastAsia="Arial" w:hAnsi="Arial"/>
                <w:sz w:val="18"/>
                <w:szCs w:val="18"/>
                <w:color w:val="auto"/>
              </w:rPr>
              <w:t>Partners’ capital</w:t>
            </w:r>
          </w:p>
        </w:tc>
        <w:tc>
          <w:tcPr>
            <w:tcW w:w="6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76,509</w:t>
            </w:r>
          </w:p>
        </w:tc>
      </w:tr>
      <w:tr>
        <w:trPr>
          <w:trHeight w:val="250"/>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Perella Weinberg Partners equity / Partners’ capital</w:t>
            </w:r>
          </w:p>
        </w:tc>
        <w:tc>
          <w:tcPr>
            <w:tcW w:w="6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125,207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74,183</w:t>
            </w:r>
          </w:p>
        </w:tc>
      </w:tr>
      <w:tr>
        <w:trPr>
          <w:trHeight w:val="250"/>
        </w:trPr>
        <w:tc>
          <w:tcPr>
            <w:tcW w:w="774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6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136,776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equity</w:t>
            </w:r>
          </w:p>
        </w:tc>
        <w:tc>
          <w:tcPr>
            <w:tcW w:w="6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261,983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74,183</w:t>
            </w:r>
          </w:p>
        </w:tc>
      </w:tr>
      <w:tr>
        <w:trPr>
          <w:trHeight w:val="250"/>
        </w:trPr>
        <w:tc>
          <w:tcPr>
            <w:tcW w:w="7740" w:type="dxa"/>
            <w:vAlign w:val="bottom"/>
          </w:tcPr>
          <w:p>
            <w:pPr>
              <w:ind w:left="300"/>
              <w:spacing w:after="0"/>
              <w:rPr>
                <w:sz w:val="20"/>
                <w:szCs w:val="20"/>
                <w:color w:val="auto"/>
              </w:rPr>
            </w:pPr>
            <w:r>
              <w:rPr>
                <w:rFonts w:ascii="Arial" w:cs="Arial" w:eastAsia="Arial" w:hAnsi="Arial"/>
                <w:sz w:val="18"/>
                <w:szCs w:val="18"/>
                <w:color w:val="auto"/>
              </w:rPr>
              <w:t>Total liabilities and equity</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663,660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542,953</w:t>
            </w:r>
          </w:p>
        </w:tc>
      </w:tr>
      <w:tr>
        <w:trPr>
          <w:trHeight w:val="20"/>
        </w:trPr>
        <w:tc>
          <w:tcPr>
            <w:tcW w:w="7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-4137025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-2489200</wp:posOffset>
            </wp:positionV>
            <wp:extent cx="939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-536575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-193675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Perella Weinberg Partners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4"/>
              </w:rPr>
              <w:t>Three Months Ended September 30,</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23"/>
        </w:trPr>
        <w:tc>
          <w:tcPr>
            <w:tcW w:w="5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30"/>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177,427</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122,844</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602,749</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329,841</w:t>
            </w:r>
          </w:p>
        </w:tc>
      </w:tr>
      <w:tr>
        <w:trPr>
          <w:trHeight w:val="22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benefits</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113,322</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84,785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387,196</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229,550</w:t>
            </w:r>
          </w:p>
        </w:tc>
      </w:tr>
      <w:tr>
        <w:trPr>
          <w:trHeight w:val="226"/>
        </w:trPr>
        <w:tc>
          <w:tcPr>
            <w:tcW w:w="5100" w:type="dxa"/>
            <w:vAlign w:val="bottom"/>
          </w:tcPr>
          <w:p>
            <w:pPr>
              <w:ind w:left="120"/>
              <w:spacing w:after="0"/>
              <w:rPr>
                <w:sz w:val="20"/>
                <w:szCs w:val="20"/>
                <w:color w:val="auto"/>
              </w:rPr>
            </w:pPr>
            <w:r>
              <w:rPr>
                <w:rFonts w:ascii="Arial" w:cs="Arial" w:eastAsia="Arial" w:hAnsi="Arial"/>
                <w:sz w:val="16"/>
                <w:szCs w:val="16"/>
                <w:color w:val="auto"/>
              </w:rPr>
              <w:t>Equity-based compensation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38,050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6,120</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51,272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18,484</w:t>
            </w:r>
          </w:p>
        </w:tc>
      </w:tr>
      <w:tr>
        <w:trPr>
          <w:trHeight w:val="226"/>
        </w:trPr>
        <w:tc>
          <w:tcPr>
            <w:tcW w:w="5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compensation and benefits</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151,372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90,905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438,468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248,034</w:t>
            </w: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Professional fees</w:t>
            </w: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11,006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6,116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28,954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34,479</w:t>
            </w: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Technology and infrastructure</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7,368</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6,969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21,465</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20,207</w:t>
            </w: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Rent and occupancy</w:t>
            </w: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6,773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6,984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20,068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20,802</w:t>
            </w: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Travel and related expenses</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1,629</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3,505</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4,981</w:t>
            </w: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General, administrative and other expenses</w:t>
            </w: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6,127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6,096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12,005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12,457</w:t>
            </w: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3,479</w:t>
            </w:r>
          </w:p>
        </w:tc>
        <w:tc>
          <w:tcPr>
            <w:tcW w:w="1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3,851</w:t>
            </w:r>
          </w:p>
        </w:tc>
        <w:tc>
          <w:tcPr>
            <w:tcW w:w="1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11,081</w:t>
            </w:r>
          </w:p>
        </w:tc>
        <w:tc>
          <w:tcPr>
            <w:tcW w:w="1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11,645</w:t>
            </w:r>
          </w:p>
        </w:tc>
      </w:tr>
      <w:tr>
        <w:trPr>
          <w:trHeight w:val="206"/>
        </w:trPr>
        <w:tc>
          <w:tcPr>
            <w:tcW w:w="5100" w:type="dxa"/>
            <w:vAlign w:val="bottom"/>
          </w:tcPr>
          <w:p>
            <w:pPr>
              <w:ind w:left="300"/>
              <w:spacing w:after="0"/>
              <w:rPr>
                <w:sz w:val="20"/>
                <w:szCs w:val="20"/>
                <w:color w:val="auto"/>
              </w:rPr>
            </w:pPr>
            <w:r>
              <w:rPr>
                <w:rFonts w:ascii="Arial" w:cs="Arial" w:eastAsia="Arial" w:hAnsi="Arial"/>
                <w:sz w:val="16"/>
                <w:szCs w:val="16"/>
                <w:color w:val="auto"/>
              </w:rPr>
              <w:t>Total expenses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187,754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121,312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535,546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352,605</w:t>
            </w:r>
          </w:p>
        </w:tc>
      </w:tr>
      <w:tr>
        <w:trPr>
          <w:trHeight w:val="22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(10,327 )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1,532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67,203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(22,764 )</w:t>
            </w:r>
          </w:p>
        </w:tc>
      </w:tr>
      <w:tr>
        <w:trPr>
          <w:trHeight w:val="22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Related party income</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1,529</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2,412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5,303</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7,183</w:t>
            </w: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2,564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2,724</w:t>
            </w: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Change in fair value of warrant liabilities</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(3,006 )</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(2,058 )</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Loss on debt extinguishment</w:t>
            </w: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(39,408 )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6"/>
        </w:trPr>
        <w:tc>
          <w:tcPr>
            <w:tcW w:w="5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(3,913 )</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(7,536 )</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(11,883 )</w:t>
            </w:r>
          </w:p>
        </w:tc>
      </w:tr>
      <w:tr>
        <w:trPr>
          <w:trHeight w:val="223"/>
        </w:trPr>
        <w:tc>
          <w:tcPr>
            <w:tcW w:w="5100" w:type="dxa"/>
            <w:vAlign w:val="bottom"/>
          </w:tcPr>
          <w:p>
            <w:pPr>
              <w:ind w:left="200"/>
              <w:spacing w:after="0"/>
              <w:rPr>
                <w:sz w:val="20"/>
                <w:szCs w:val="20"/>
                <w:color w:val="auto"/>
              </w:rPr>
            </w:pPr>
            <w:r>
              <w:rPr>
                <w:rFonts w:ascii="Arial" w:cs="Arial" w:eastAsia="Arial" w:hAnsi="Arial"/>
                <w:sz w:val="16"/>
                <w:szCs w:val="16"/>
                <w:color w:val="auto"/>
              </w:rPr>
              <w:t>Total non-operating income (expenses)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(42,463 )</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(1,976 )</w:t>
            </w:r>
          </w:p>
        </w:tc>
      </w:tr>
      <w:tr>
        <w:trPr>
          <w:trHeight w:val="22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(9,312 )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24,740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(24,740 )</w:t>
            </w:r>
          </w:p>
        </w:tc>
      </w:tr>
      <w:tr>
        <w:trPr>
          <w:trHeight w:val="227"/>
        </w:trPr>
        <w:tc>
          <w:tcPr>
            <w:tcW w:w="5100" w:type="dxa"/>
            <w:vAlign w:val="bottom"/>
          </w:tcPr>
          <w:p>
            <w:pPr>
              <w:ind w:left="120"/>
              <w:spacing w:after="0"/>
              <w:rPr>
                <w:sz w:val="20"/>
                <w:szCs w:val="20"/>
                <w:color w:val="auto"/>
              </w:rPr>
            </w:pPr>
            <w:r>
              <w:rPr>
                <w:rFonts w:ascii="Arial" w:cs="Arial" w:eastAsia="Arial" w:hAnsi="Arial"/>
                <w:sz w:val="16"/>
                <w:szCs w:val="16"/>
                <w:color w:val="auto"/>
              </w:rPr>
              <w:t>Income tax benefit (expense)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(150 )</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(2,695 )</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(2,518 )</w:t>
            </w:r>
          </w:p>
        </w:tc>
      </w:tr>
      <w:tr>
        <w:trPr>
          <w:trHeight w:val="26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shd w:val="clear" w:color="auto" w:fill="CFF0FC"/>
          </w:tcPr>
          <w:p>
            <w:pPr>
              <w:spacing w:after="0"/>
              <w:rPr>
                <w:sz w:val="23"/>
                <w:szCs w:val="2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(9,462 )</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(1,069 )</w:t>
            </w:r>
          </w:p>
        </w:tc>
        <w:tc>
          <w:tcPr>
            <w:tcW w:w="1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22,045</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(27,258 )</w:t>
            </w:r>
          </w:p>
        </w:tc>
      </w:tr>
      <w:tr>
        <w:trPr>
          <w:trHeight w:val="207"/>
        </w:trPr>
        <w:tc>
          <w:tcPr>
            <w:tcW w:w="51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Borders>
              <w:top w:val="single" w:sz="8" w:color="CFF0FC"/>
              <w:bottom w:val="single" w:sz="8" w:color="auto"/>
            </w:tcBorders>
          </w:tcPr>
          <w:p>
            <w:pPr>
              <w:spacing w:after="0"/>
              <w:rPr>
                <w:sz w:val="18"/>
                <w:szCs w:val="18"/>
                <w:color w:val="auto"/>
              </w:rPr>
            </w:pPr>
          </w:p>
        </w:tc>
        <w:tc>
          <w:tcPr>
            <w:tcW w:w="144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6"/>
                <w:szCs w:val="16"/>
                <w:color w:val="auto"/>
              </w:rPr>
              <w:t>(12,938 )</w:t>
            </w: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bottom w:val="single" w:sz="8" w:color="auto"/>
            </w:tcBorders>
          </w:tcPr>
          <w:p>
            <w:pPr>
              <w:spacing w:after="0"/>
              <w:rPr>
                <w:sz w:val="18"/>
                <w:szCs w:val="18"/>
                <w:color w:val="auto"/>
              </w:rPr>
            </w:pPr>
          </w:p>
        </w:tc>
        <w:tc>
          <w:tcPr>
            <w:tcW w:w="1260" w:type="dxa"/>
            <w:vAlign w:val="bottom"/>
            <w:tcBorders>
              <w:top w:val="single" w:sz="8" w:color="CFF0FC"/>
              <w:bottom w:val="single" w:sz="8" w:color="auto"/>
            </w:tcBorders>
          </w:tcPr>
          <w:p>
            <w:pPr>
              <w:jc w:val="right"/>
              <w:ind w:right="39"/>
              <w:spacing w:after="0"/>
              <w:rPr>
                <w:sz w:val="20"/>
                <w:szCs w:val="20"/>
                <w:color w:val="auto"/>
              </w:rPr>
            </w:pPr>
            <w:r>
              <w:rPr>
                <w:rFonts w:ascii="Arial" w:cs="Arial" w:eastAsia="Arial" w:hAnsi="Arial"/>
                <w:sz w:val="16"/>
                <w:szCs w:val="16"/>
                <w:color w:val="auto"/>
              </w:rPr>
              <w:t>31,068</w:t>
            </w:r>
          </w:p>
        </w:tc>
        <w:tc>
          <w:tcPr>
            <w:tcW w:w="1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6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3,476</w:t>
            </w:r>
          </w:p>
        </w:tc>
        <w:tc>
          <w:tcPr>
            <w:tcW w:w="1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(9,023 )</w:t>
            </w:r>
          </w:p>
        </w:tc>
        <w:tc>
          <w:tcPr>
            <w:tcW w:w="1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r>
      <w:tr>
        <w:trPr>
          <w:trHeight w:val="183"/>
        </w:trPr>
        <w:tc>
          <w:tcPr>
            <w:tcW w:w="510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b w:val="1"/>
                <w:bCs w:val="1"/>
                <w:color w:val="auto"/>
              </w:rPr>
              <w:t>Net income (loss) per share attributable to Class A common</w:t>
            </w: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r>
      <w:tr>
        <w:trPr>
          <w:trHeight w:val="22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shareholders (1)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(0.21 )</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(0.09 )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(0.40 )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w w:val="98"/>
              </w:rPr>
              <w:t>Weighted-average shares of Class A common stock outstanding (1)</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20"/>
        </w:trPr>
        <w:tc>
          <w:tcPr>
            <w:tcW w:w="5100" w:type="dxa"/>
            <w:vAlign w:val="bottom"/>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42,572,813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42,599,954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5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92,727,012</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92,754,153</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-3149600</wp:posOffset>
            </wp:positionV>
            <wp:extent cx="111125"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-3149600</wp:posOffset>
            </wp:positionV>
            <wp:extent cx="11112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-3149600</wp:posOffset>
            </wp:positionV>
            <wp:extent cx="111125"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-1959610</wp:posOffset>
            </wp:positionV>
            <wp:extent cx="8572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-1959610</wp:posOffset>
            </wp:positionV>
            <wp:extent cx="8572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-1959610</wp:posOffset>
            </wp:positionV>
            <wp:extent cx="8572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-1353820</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-1336675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-1028065</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-1010920</wp:posOffset>
            </wp:positionV>
            <wp:extent cx="85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-1028065</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-1010920</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7" w:lineRule="exact"/>
        <w:rPr>
          <w:sz w:val="20"/>
          <w:szCs w:val="20"/>
          <w:color w:val="auto"/>
        </w:rPr>
      </w:pPr>
    </w:p>
    <w:p>
      <w:pPr>
        <w:jc w:val="both"/>
        <w:ind w:left="340" w:hanging="332"/>
        <w:spacing w:after="0" w:line="27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nine months ended September 30, 2021, net income (loss) per share of Class A common stock and weighted-average shares of Class A common stock outstanding is representative of the period from June 24, 2021 through September 30, 2021, the period following the Business Combination, as defined in Note 1 – Organization and Nature of Business. For more information, refer to Note 15 – Net Income (Loss) Per Share Attributable to Class A Common Shareholders.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Perella Weinberg Partners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4"/>
        </w:trPr>
        <w:tc>
          <w:tcPr>
            <w:tcW w:w="5760" w:type="dxa"/>
            <w:vAlign w:val="bottom"/>
          </w:tcPr>
          <w:p>
            <w:pPr>
              <w:spacing w:after="0"/>
              <w:rPr>
                <w:sz w:val="24"/>
                <w:szCs w:val="24"/>
                <w:color w:val="auto"/>
              </w:rPr>
            </w:pPr>
          </w:p>
        </w:tc>
        <w:tc>
          <w:tcPr>
            <w:tcW w:w="27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Three Months Ended September</w:t>
            </w:r>
          </w:p>
        </w:tc>
        <w:tc>
          <w:tcPr>
            <w:tcW w:w="120" w:type="dxa"/>
            <w:vAlign w:val="bottom"/>
          </w:tcPr>
          <w:p>
            <w:pPr>
              <w:spacing w:after="0"/>
              <w:rPr>
                <w:sz w:val="24"/>
                <w:szCs w:val="24"/>
                <w:color w:val="auto"/>
              </w:rPr>
            </w:pPr>
          </w:p>
        </w:tc>
        <w:tc>
          <w:tcPr>
            <w:tcW w:w="264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41"/>
        </w:trPr>
        <w:tc>
          <w:tcPr>
            <w:tcW w:w="5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50"/>
        </w:trPr>
        <w:tc>
          <w:tcPr>
            <w:tcW w:w="5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5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(9,462 )</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(1,069 )</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22,045</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(27,258 )</w:t>
            </w:r>
          </w:p>
        </w:tc>
      </w:tr>
      <w:tr>
        <w:trPr>
          <w:trHeight w:val="257"/>
        </w:trPr>
        <w:tc>
          <w:tcPr>
            <w:tcW w:w="5760" w:type="dxa"/>
            <w:vAlign w:val="bottom"/>
          </w:tcPr>
          <w:p>
            <w:pPr>
              <w:ind w:left="120"/>
              <w:spacing w:after="0"/>
              <w:rPr>
                <w:sz w:val="20"/>
                <w:szCs w:val="20"/>
                <w:color w:val="auto"/>
              </w:rPr>
            </w:pPr>
            <w:r>
              <w:rPr>
                <w:rFonts w:ascii="Arial" w:cs="Arial" w:eastAsia="Arial" w:hAnsi="Arial"/>
                <w:sz w:val="18"/>
                <w:szCs w:val="18"/>
                <w:color w:val="auto"/>
              </w:rPr>
              <w:t>Foreign currency translation gain (loss)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(2,086 )</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(1,542 )</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w:t>
            </w:r>
          </w:p>
        </w:tc>
      </w:tr>
      <w:tr>
        <w:trPr>
          <w:trHeight w:val="290"/>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(11,548 )</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20,503</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(26,910 )</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w w:val="95"/>
              </w:rPr>
              <w:t>Less: Comprehensive income (loss) attributable to non-controlling interests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(14,068 )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0"/>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w w:val="93"/>
              </w:rPr>
              <w:t>Comprehensive income (loss) attributable to Perella Weinberg Partners</w:t>
            </w: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(9,971 )</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-385445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-367665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 w:name="page8"/>
    <w:bookmarkEnd w:id="7"/>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5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Shares</w:t>
            </w:r>
          </w:p>
        </w:tc>
        <w:tc>
          <w:tcPr>
            <w:tcW w:w="78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57"/>
              <w:spacing w:after="0"/>
              <w:rPr>
                <w:sz w:val="20"/>
                <w:szCs w:val="20"/>
                <w:color w:val="auto"/>
              </w:rPr>
            </w:pPr>
            <w:r>
              <w:rPr>
                <w:rFonts w:ascii="Arial" w:cs="Arial" w:eastAsia="Arial" w:hAnsi="Arial"/>
                <w:sz w:val="13"/>
                <w:szCs w:val="13"/>
                <w:b w:val="1"/>
                <w:bCs w:val="1"/>
                <w:color w:val="auto"/>
              </w:rPr>
              <w:t>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37"/>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4"/>
                <w:szCs w:val="14"/>
                <w:color w:val="auto"/>
              </w:rPr>
            </w:pPr>
          </w:p>
        </w:tc>
        <w:tc>
          <w:tcPr>
            <w:tcW w:w="700" w:type="dxa"/>
            <w:vAlign w:val="bottom"/>
          </w:tcPr>
          <w:p>
            <w:pPr>
              <w:jc w:val="center"/>
              <w:ind w:right="157"/>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37"/>
              <w:spacing w:after="0"/>
              <w:rPr>
                <w:sz w:val="20"/>
                <w:szCs w:val="20"/>
                <w:color w:val="auto"/>
              </w:rPr>
            </w:pPr>
            <w:r>
              <w:rPr>
                <w:rFonts w:ascii="Arial" w:cs="Arial" w:eastAsia="Arial" w:hAnsi="Arial"/>
                <w:sz w:val="13"/>
                <w:szCs w:val="13"/>
                <w:b w:val="1"/>
                <w:bCs w:val="1"/>
                <w:color w:val="auto"/>
                <w:w w:val="86"/>
              </w:rPr>
              <w:t>Earnings</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Comprehen</w:t>
            </w:r>
          </w:p>
        </w:tc>
        <w:tc>
          <w:tcPr>
            <w:tcW w:w="80" w:type="dxa"/>
            <w:vAlign w:val="bottom"/>
          </w:tcPr>
          <w:p>
            <w:pPr>
              <w:spacing w:after="0"/>
              <w:rPr>
                <w:sz w:val="14"/>
                <w:szCs w:val="14"/>
                <w:color w:val="auto"/>
              </w:rPr>
            </w:pPr>
          </w:p>
        </w:tc>
        <w:tc>
          <w:tcPr>
            <w:tcW w:w="640" w:type="dxa"/>
            <w:vAlign w:val="bottom"/>
          </w:tcPr>
          <w:p>
            <w:pPr>
              <w:jc w:val="center"/>
              <w:ind w:right="117"/>
              <w:spacing w:after="0"/>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Class A</w:t>
            </w: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83"/>
              </w:rPr>
              <w:t>Class B</w:t>
            </w:r>
          </w:p>
        </w:tc>
        <w:tc>
          <w:tcPr>
            <w:tcW w:w="780" w:type="dxa"/>
            <w:vAlign w:val="bottom"/>
          </w:tcPr>
          <w:p>
            <w:pPr>
              <w:spacing w:after="0"/>
              <w:rPr>
                <w:sz w:val="14"/>
                <w:szCs w:val="14"/>
                <w:color w:val="auto"/>
              </w:rPr>
            </w:pPr>
          </w:p>
        </w:tc>
        <w:tc>
          <w:tcPr>
            <w:tcW w:w="600" w:type="dxa"/>
            <w:vAlign w:val="bottom"/>
          </w:tcPr>
          <w:p>
            <w:pPr>
              <w:jc w:val="center"/>
              <w:ind w:left="17"/>
              <w:spacing w:after="0"/>
              <w:rPr>
                <w:sz w:val="20"/>
                <w:szCs w:val="20"/>
                <w:color w:val="auto"/>
              </w:rPr>
            </w:pPr>
            <w:r>
              <w:rPr>
                <w:rFonts w:ascii="Arial" w:cs="Arial" w:eastAsia="Arial" w:hAnsi="Arial"/>
                <w:sz w:val="13"/>
                <w:szCs w:val="13"/>
                <w:b w:val="1"/>
                <w:bCs w:val="1"/>
                <w:color w:val="auto"/>
                <w:w w:val="83"/>
              </w:rPr>
              <w:t>Class 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left="1"/>
              <w:spacing w:after="0"/>
              <w:rPr>
                <w:sz w:val="20"/>
                <w:szCs w:val="20"/>
                <w:color w:val="auto"/>
              </w:rPr>
            </w:pPr>
            <w:r>
              <w:rPr>
                <w:rFonts w:ascii="Arial" w:cs="Arial" w:eastAsia="Arial" w:hAnsi="Arial"/>
                <w:sz w:val="13"/>
                <w:szCs w:val="13"/>
                <w:b w:val="1"/>
                <w:bCs w:val="1"/>
                <w:color w:val="auto"/>
                <w:w w:val="83"/>
              </w:rPr>
              <w:t>Class B</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w w:val="94"/>
              </w:rPr>
              <w:t>Additional</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w:t>
            </w:r>
          </w:p>
        </w:tc>
        <w:tc>
          <w:tcPr>
            <w:tcW w:w="100" w:type="dxa"/>
            <w:vAlign w:val="bottom"/>
          </w:tcPr>
          <w:p>
            <w:pPr>
              <w:spacing w:after="0"/>
              <w:rPr>
                <w:sz w:val="14"/>
                <w:szCs w:val="14"/>
                <w:color w:val="auto"/>
              </w:rPr>
            </w:pPr>
          </w:p>
        </w:tc>
        <w:tc>
          <w:tcPr>
            <w:tcW w:w="700" w:type="dxa"/>
            <w:vAlign w:val="bottom"/>
          </w:tcPr>
          <w:p>
            <w:pPr>
              <w:jc w:val="center"/>
              <w:ind w:right="157"/>
              <w:spacing w:after="0"/>
              <w:rPr>
                <w:sz w:val="20"/>
                <w:szCs w:val="20"/>
                <w:color w:val="auto"/>
              </w:rPr>
            </w:pPr>
            <w:r>
              <w:rPr>
                <w:rFonts w:ascii="Arial" w:cs="Arial" w:eastAsia="Arial" w:hAnsi="Arial"/>
                <w:sz w:val="13"/>
                <w:szCs w:val="13"/>
                <w:b w:val="1"/>
                <w:bCs w:val="1"/>
                <w:color w:val="auto"/>
                <w:w w:val="78"/>
              </w:rPr>
              <w:t>sive</w:t>
            </w:r>
          </w:p>
        </w:tc>
        <w:tc>
          <w:tcPr>
            <w:tcW w:w="72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91"/>
              </w:rPr>
              <w:t>Controllin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78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w w:val="99"/>
              </w:rPr>
              <w:t>Partners’</w:t>
            </w: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Common</w:t>
            </w: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Common</w:t>
            </w: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rPr>
              <w:t>Treasury</w:t>
            </w:r>
          </w:p>
        </w:tc>
        <w:tc>
          <w:tcPr>
            <w:tcW w:w="60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Common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left="21"/>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8"/>
              </w:rPr>
              <w:t>Treasury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4"/>
                <w:szCs w:val="14"/>
                <w:color w:val="auto"/>
              </w:rPr>
            </w:pPr>
          </w:p>
        </w:tc>
        <w:tc>
          <w:tcPr>
            <w:tcW w:w="720" w:type="dxa"/>
            <w:vAlign w:val="bottom"/>
          </w:tcPr>
          <w:p>
            <w:pPr>
              <w:jc w:val="center"/>
              <w:ind w:right="137"/>
              <w:spacing w:after="0"/>
              <w:rPr>
                <w:sz w:val="20"/>
                <w:szCs w:val="20"/>
                <w:color w:val="auto"/>
              </w:rPr>
            </w:pPr>
            <w:r>
              <w:rPr>
                <w:rFonts w:ascii="Arial" w:cs="Arial" w:eastAsia="Arial" w:hAnsi="Arial"/>
                <w:sz w:val="13"/>
                <w:szCs w:val="13"/>
                <w:b w:val="1"/>
                <w:bCs w:val="1"/>
                <w:color w:val="auto"/>
                <w:w w:val="78"/>
              </w:rPr>
              <w:t>ed</w:t>
            </w:r>
          </w:p>
        </w:tc>
        <w:tc>
          <w:tcPr>
            <w:tcW w:w="100" w:type="dxa"/>
            <w:vAlign w:val="bottom"/>
          </w:tcPr>
          <w:p>
            <w:pPr>
              <w:spacing w:after="0"/>
              <w:rPr>
                <w:sz w:val="14"/>
                <w:szCs w:val="14"/>
                <w:color w:val="auto"/>
              </w:rPr>
            </w:pPr>
          </w:p>
        </w:tc>
        <w:tc>
          <w:tcPr>
            <w:tcW w:w="700" w:type="dxa"/>
            <w:vAlign w:val="bottom"/>
          </w:tcPr>
          <w:p>
            <w:pPr>
              <w:jc w:val="right"/>
              <w:ind w:right="217"/>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4"/>
                <w:szCs w:val="14"/>
                <w:color w:val="auto"/>
              </w:rPr>
            </w:pPr>
          </w:p>
        </w:tc>
        <w:tc>
          <w:tcPr>
            <w:tcW w:w="640" w:type="dxa"/>
            <w:vAlign w:val="bottom"/>
          </w:tcPr>
          <w:p>
            <w:pPr>
              <w:jc w:val="center"/>
              <w:ind w:right="117"/>
              <w:spacing w:after="0"/>
              <w:rPr>
                <w:sz w:val="20"/>
                <w:szCs w:val="20"/>
                <w:color w:val="auto"/>
              </w:rPr>
            </w:pPr>
            <w:r>
              <w:rPr>
                <w:rFonts w:ascii="Arial" w:cs="Arial" w:eastAsia="Arial" w:hAnsi="Arial"/>
                <w:sz w:val="13"/>
                <w:szCs w:val="13"/>
                <w:b w:val="1"/>
                <w:bCs w:val="1"/>
                <w:color w:val="auto"/>
                <w:w w:val="74"/>
              </w:rPr>
              <w:t>g</w:t>
            </w:r>
          </w:p>
        </w:tc>
        <w:tc>
          <w:tcPr>
            <w:tcW w:w="10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2"/>
              </w:rPr>
              <w:t>Capital</w:t>
            </w: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Stock</w:t>
            </w: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Stock</w:t>
            </w: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Stock</w:t>
            </w:r>
          </w:p>
        </w:tc>
        <w:tc>
          <w:tcPr>
            <w:tcW w:w="60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jc w:val="center"/>
              <w:ind w:left="21"/>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Stock</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1"/>
              </w:rPr>
              <w:t>(Loss)</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18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7"/>
              </w:rPr>
              <w:t>Balance at December 31, 2019</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87,725</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ind w:right="457"/>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FF0FC"/>
          </w:tcPr>
          <w:p>
            <w:pPr>
              <w:jc w:val="right"/>
              <w:ind w:right="461"/>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FF0FC"/>
          </w:tcPr>
          <w:p>
            <w:pPr>
              <w:jc w:val="right"/>
              <w:ind w:right="437"/>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(5,820 )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81,905</w:t>
            </w:r>
          </w:p>
        </w:tc>
        <w:tc>
          <w:tcPr>
            <w:tcW w:w="0" w:type="dxa"/>
            <w:vAlign w:val="bottom"/>
          </w:tcPr>
          <w:p>
            <w:pPr>
              <w:spacing w:after="0"/>
              <w:rPr>
                <w:sz w:val="1"/>
                <w:szCs w:val="1"/>
                <w:color w:val="auto"/>
              </w:rPr>
            </w:pPr>
          </w:p>
        </w:tc>
      </w:tr>
      <w:tr>
        <w:trPr>
          <w:trHeight w:val="173"/>
        </w:trPr>
        <w:tc>
          <w:tcPr>
            <w:tcW w:w="1860" w:type="dxa"/>
            <w:vAlign w:val="bottom"/>
          </w:tcPr>
          <w:p>
            <w:pPr>
              <w:ind w:left="120"/>
              <w:spacing w:after="0"/>
              <w:rPr>
                <w:sz w:val="20"/>
                <w:szCs w:val="20"/>
                <w:color w:val="auto"/>
              </w:rPr>
            </w:pPr>
            <w:r>
              <w:rPr>
                <w:rFonts w:ascii="Arial" w:cs="Arial" w:eastAsia="Arial" w:hAnsi="Arial"/>
                <w:sz w:val="13"/>
                <w:szCs w:val="13"/>
                <w:color w:val="auto"/>
                <w:w w:val="94"/>
              </w:rPr>
              <w:t>Cumulative effect of accounting</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60" w:type="dxa"/>
            <w:vAlign w:val="bottom"/>
          </w:tcPr>
          <w:p>
            <w:pPr>
              <w:ind w:left="120"/>
              <w:spacing w:after="0"/>
              <w:rPr>
                <w:sz w:val="20"/>
                <w:szCs w:val="20"/>
                <w:color w:val="auto"/>
              </w:rPr>
            </w:pPr>
            <w:r>
              <w:rPr>
                <w:rFonts w:ascii="Arial" w:cs="Arial" w:eastAsia="Arial" w:hAnsi="Arial"/>
                <w:sz w:val="13"/>
                <w:szCs w:val="13"/>
                <w:color w:val="auto"/>
              </w:rPr>
              <w:t>change</w:t>
            </w:r>
          </w:p>
        </w:tc>
        <w:tc>
          <w:tcPr>
            <w:tcW w:w="10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(188 )</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(188 )</w:t>
            </w:r>
          </w:p>
        </w:tc>
        <w:tc>
          <w:tcPr>
            <w:tcW w:w="0" w:type="dxa"/>
            <w:vAlign w:val="bottom"/>
          </w:tcPr>
          <w:p>
            <w:pPr>
              <w:spacing w:after="0"/>
              <w:rPr>
                <w:sz w:val="1"/>
                <w:szCs w:val="1"/>
                <w:color w:val="auto"/>
              </w:rPr>
            </w:pPr>
          </w:p>
        </w:tc>
      </w:tr>
      <w:tr>
        <w:trPr>
          <w:trHeight w:val="197"/>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(4,062 )</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(4,062 )</w:t>
            </w:r>
          </w:p>
        </w:tc>
        <w:tc>
          <w:tcPr>
            <w:tcW w:w="0" w:type="dxa"/>
            <w:vAlign w:val="bottom"/>
          </w:tcPr>
          <w:p>
            <w:pPr>
              <w:spacing w:after="0"/>
              <w:rPr>
                <w:sz w:val="1"/>
                <w:szCs w:val="1"/>
                <w:color w:val="auto"/>
              </w:rPr>
            </w:pPr>
          </w:p>
        </w:tc>
      </w:tr>
      <w:tr>
        <w:trPr>
          <w:trHeight w:val="181"/>
        </w:trPr>
        <w:tc>
          <w:tcPr>
            <w:tcW w:w="1860" w:type="dxa"/>
            <w:vAlign w:val="bottom"/>
          </w:tcPr>
          <w:p>
            <w:pPr>
              <w:ind w:left="120"/>
              <w:spacing w:after="0"/>
              <w:rPr>
                <w:sz w:val="20"/>
                <w:szCs w:val="20"/>
                <w:color w:val="auto"/>
              </w:rPr>
            </w:pPr>
            <w:r>
              <w:rPr>
                <w:rFonts w:ascii="Arial" w:cs="Arial" w:eastAsia="Arial" w:hAnsi="Arial"/>
                <w:sz w:val="13"/>
                <w:szCs w:val="13"/>
                <w:color w:val="auto"/>
              </w:rPr>
              <w:t>Equity-based compensation</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6,185</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6,185</w:t>
            </w:r>
          </w:p>
        </w:tc>
        <w:tc>
          <w:tcPr>
            <w:tcW w:w="0" w:type="dxa"/>
            <w:vAlign w:val="bottom"/>
          </w:tcPr>
          <w:p>
            <w:pPr>
              <w:spacing w:after="0"/>
              <w:rPr>
                <w:sz w:val="1"/>
                <w:szCs w:val="1"/>
                <w:color w:val="auto"/>
              </w:rPr>
            </w:pPr>
          </w:p>
        </w:tc>
      </w:tr>
      <w:tr>
        <w:trPr>
          <w:trHeight w:val="197"/>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Distributions to partners</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(9,429 )</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(9,429 )</w:t>
            </w:r>
          </w:p>
        </w:tc>
        <w:tc>
          <w:tcPr>
            <w:tcW w:w="0" w:type="dxa"/>
            <w:vAlign w:val="bottom"/>
          </w:tcPr>
          <w:p>
            <w:pPr>
              <w:spacing w:after="0"/>
              <w:rPr>
                <w:sz w:val="1"/>
                <w:szCs w:val="1"/>
                <w:color w:val="auto"/>
              </w:rPr>
            </w:pPr>
          </w:p>
        </w:tc>
      </w:tr>
      <w:tr>
        <w:trPr>
          <w:trHeight w:val="181"/>
        </w:trPr>
        <w:tc>
          <w:tcPr>
            <w:tcW w:w="1860" w:type="dxa"/>
            <w:vAlign w:val="bottom"/>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(44 )</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(44 )</w:t>
            </w:r>
          </w:p>
        </w:tc>
        <w:tc>
          <w:tcPr>
            <w:tcW w:w="0" w:type="dxa"/>
            <w:vAlign w:val="bottom"/>
          </w:tcPr>
          <w:p>
            <w:pPr>
              <w:spacing w:after="0"/>
              <w:rPr>
                <w:sz w:val="1"/>
                <w:szCs w:val="1"/>
                <w:color w:val="auto"/>
              </w:rPr>
            </w:pPr>
          </w:p>
        </w:tc>
      </w:tr>
      <w:tr>
        <w:trPr>
          <w:trHeight w:val="181"/>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Foreign currency translation</w:t>
            </w:r>
          </w:p>
        </w:tc>
        <w:tc>
          <w:tcPr>
            <w:tcW w:w="100" w:type="dxa"/>
            <w:vAlign w:val="bottom"/>
            <w:shd w:val="clear" w:color="auto" w:fill="CFF0FC"/>
          </w:tcPr>
          <w:p>
            <w:pPr>
              <w:spacing w:after="0"/>
              <w:rPr>
                <w:sz w:val="15"/>
                <w:szCs w:val="15"/>
                <w:color w:val="auto"/>
              </w:rPr>
            </w:pPr>
          </w:p>
        </w:tc>
        <w:tc>
          <w:tcPr>
            <w:tcW w:w="68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5"/>
                <w:szCs w:val="15"/>
                <w:color w:val="auto"/>
              </w:rPr>
            </w:pPr>
          </w:p>
        </w:tc>
        <w:tc>
          <w:tcPr>
            <w:tcW w:w="68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2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(2,612 )</w:t>
            </w:r>
          </w:p>
        </w:tc>
        <w:tc>
          <w:tcPr>
            <w:tcW w:w="80" w:type="dxa"/>
            <w:vAlign w:val="bottom"/>
            <w:shd w:val="clear" w:color="auto" w:fill="CFF0FC"/>
          </w:tcPr>
          <w:p>
            <w:pPr>
              <w:spacing w:after="0"/>
              <w:rPr>
                <w:sz w:val="15"/>
                <w:szCs w:val="15"/>
                <w:color w:val="auto"/>
              </w:rPr>
            </w:pPr>
          </w:p>
        </w:tc>
        <w:tc>
          <w:tcPr>
            <w:tcW w:w="640" w:type="dxa"/>
            <w:vAlign w:val="bottom"/>
            <w:tcBorders>
              <w:right w:val="single" w:sz="8" w:color="CFF0FC"/>
            </w:tcBorders>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(2,612 )</w:t>
            </w:r>
          </w:p>
        </w:tc>
        <w:tc>
          <w:tcPr>
            <w:tcW w:w="0" w:type="dxa"/>
            <w:vAlign w:val="bottom"/>
          </w:tcPr>
          <w:p>
            <w:pPr>
              <w:spacing w:after="0"/>
              <w:rPr>
                <w:sz w:val="1"/>
                <w:szCs w:val="1"/>
                <w:color w:val="auto"/>
              </w:rPr>
            </w:pPr>
          </w:p>
        </w:tc>
      </w:tr>
      <w:tr>
        <w:trPr>
          <w:trHeight w:val="163"/>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gain (loss)</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vMerge w:val="continue"/>
            <w:shd w:val="clear" w:color="auto" w:fill="CFF0FC"/>
          </w:tcPr>
          <w:p>
            <w:pPr>
              <w:spacing w:after="0"/>
              <w:rPr>
                <w:sz w:val="14"/>
                <w:szCs w:val="14"/>
                <w:color w:val="auto"/>
              </w:rPr>
            </w:pP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tcBorders>
              <w:right w:val="single" w:sz="8" w:color="CFF0FC"/>
            </w:tcBorders>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6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80,187</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457"/>
              <w:spacing w:after="0"/>
              <w:rPr>
                <w:sz w:val="20"/>
                <w:szCs w:val="20"/>
                <w:color w:val="auto"/>
              </w:rPr>
            </w:pPr>
            <w:r>
              <w:rPr>
                <w:rFonts w:ascii="Arial" w:cs="Arial" w:eastAsia="Arial" w:hAnsi="Arial"/>
                <w:sz w:val="13"/>
                <w:szCs w:val="13"/>
                <w:color w:val="auto"/>
                <w:w w:val="82"/>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jc w:val="right"/>
              <w:ind w:right="461"/>
              <w:spacing w:after="0"/>
              <w:rPr>
                <w:sz w:val="20"/>
                <w:szCs w:val="20"/>
                <w:color w:val="auto"/>
              </w:rPr>
            </w:pPr>
            <w:r>
              <w:rPr>
                <w:rFonts w:ascii="Arial" w:cs="Arial" w:eastAsia="Arial" w:hAnsi="Arial"/>
                <w:sz w:val="10"/>
                <w:szCs w:val="10"/>
                <w:color w:val="auto"/>
                <w:w w:val="71"/>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(8,432 )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71,755</w:t>
            </w:r>
          </w:p>
        </w:tc>
        <w:tc>
          <w:tcPr>
            <w:tcW w:w="0" w:type="dxa"/>
            <w:vAlign w:val="bottom"/>
          </w:tcPr>
          <w:p>
            <w:pPr>
              <w:spacing w:after="0"/>
              <w:rPr>
                <w:sz w:val="1"/>
                <w:szCs w:val="1"/>
                <w:color w:val="auto"/>
              </w:rPr>
            </w:pPr>
          </w:p>
        </w:tc>
      </w:tr>
      <w:tr>
        <w:trPr>
          <w:trHeight w:val="197"/>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(22,127 )</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(22,127 )</w:t>
            </w:r>
          </w:p>
        </w:tc>
        <w:tc>
          <w:tcPr>
            <w:tcW w:w="0" w:type="dxa"/>
            <w:vAlign w:val="bottom"/>
          </w:tcPr>
          <w:p>
            <w:pPr>
              <w:spacing w:after="0"/>
              <w:rPr>
                <w:sz w:val="1"/>
                <w:szCs w:val="1"/>
                <w:color w:val="auto"/>
              </w:rPr>
            </w:pPr>
          </w:p>
        </w:tc>
      </w:tr>
      <w:tr>
        <w:trPr>
          <w:trHeight w:val="181"/>
        </w:trPr>
        <w:tc>
          <w:tcPr>
            <w:tcW w:w="1860" w:type="dxa"/>
            <w:vAlign w:val="bottom"/>
          </w:tcPr>
          <w:p>
            <w:pPr>
              <w:ind w:left="120"/>
              <w:spacing w:after="0"/>
              <w:rPr>
                <w:sz w:val="20"/>
                <w:szCs w:val="20"/>
                <w:color w:val="auto"/>
              </w:rPr>
            </w:pPr>
            <w:r>
              <w:rPr>
                <w:rFonts w:ascii="Arial" w:cs="Arial" w:eastAsia="Arial" w:hAnsi="Arial"/>
                <w:sz w:val="13"/>
                <w:szCs w:val="13"/>
                <w:color w:val="auto"/>
              </w:rPr>
              <w:t>Equity-based compensation</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6,179</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6,179</w:t>
            </w:r>
          </w:p>
        </w:tc>
        <w:tc>
          <w:tcPr>
            <w:tcW w:w="0" w:type="dxa"/>
            <w:vAlign w:val="bottom"/>
          </w:tcPr>
          <w:p>
            <w:pPr>
              <w:spacing w:after="0"/>
              <w:rPr>
                <w:sz w:val="1"/>
                <w:szCs w:val="1"/>
                <w:color w:val="auto"/>
              </w:rPr>
            </w:pPr>
          </w:p>
        </w:tc>
      </w:tr>
      <w:tr>
        <w:trPr>
          <w:trHeight w:val="197"/>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(26 )</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173"/>
        </w:trPr>
        <w:tc>
          <w:tcPr>
            <w:tcW w:w="1860" w:type="dxa"/>
            <w:vAlign w:val="bottom"/>
          </w:tcPr>
          <w:p>
            <w:pPr>
              <w:ind w:left="120"/>
              <w:spacing w:after="0"/>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vMerge w:val="restart"/>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121</w:t>
            </w:r>
          </w:p>
        </w:tc>
        <w:tc>
          <w:tcPr>
            <w:tcW w:w="80" w:type="dxa"/>
            <w:vAlign w:val="bottom"/>
          </w:tcPr>
          <w:p>
            <w:pPr>
              <w:spacing w:after="0"/>
              <w:rPr>
                <w:sz w:val="15"/>
                <w:szCs w:val="15"/>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63"/>
        </w:trPr>
        <w:tc>
          <w:tcPr>
            <w:tcW w:w="1860" w:type="dxa"/>
            <w:vAlign w:val="bottom"/>
          </w:tcPr>
          <w:p>
            <w:pPr>
              <w:ind w:left="120"/>
              <w:spacing w:after="0"/>
              <w:rPr>
                <w:sz w:val="20"/>
                <w:szCs w:val="20"/>
                <w:color w:val="auto"/>
              </w:rPr>
            </w:pPr>
            <w:r>
              <w:rPr>
                <w:rFonts w:ascii="Arial" w:cs="Arial" w:eastAsia="Arial" w:hAnsi="Arial"/>
                <w:sz w:val="13"/>
                <w:szCs w:val="13"/>
                <w:color w:val="auto"/>
              </w:rPr>
              <w:t>gain (loss)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64,213</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ind w:right="457"/>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FF0FC"/>
          </w:tcPr>
          <w:p>
            <w:pPr>
              <w:jc w:val="right"/>
              <w:ind w:right="461"/>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FF0FC"/>
          </w:tcPr>
          <w:p>
            <w:pPr>
              <w:jc w:val="right"/>
              <w:ind w:right="437"/>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(8,311 )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55,902</w:t>
            </w:r>
          </w:p>
        </w:tc>
        <w:tc>
          <w:tcPr>
            <w:tcW w:w="0" w:type="dxa"/>
            <w:vAlign w:val="bottom"/>
          </w:tcPr>
          <w:p>
            <w:pPr>
              <w:spacing w:after="0"/>
              <w:rPr>
                <w:sz w:val="1"/>
                <w:szCs w:val="1"/>
                <w:color w:val="auto"/>
              </w:rPr>
            </w:pPr>
          </w:p>
        </w:tc>
      </w:tr>
      <w:tr>
        <w:trPr>
          <w:trHeight w:val="181"/>
        </w:trPr>
        <w:tc>
          <w:tcPr>
            <w:tcW w:w="186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(1,069 )</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(1,069 )</w:t>
            </w:r>
          </w:p>
        </w:tc>
        <w:tc>
          <w:tcPr>
            <w:tcW w:w="0" w:type="dxa"/>
            <w:vAlign w:val="bottom"/>
          </w:tcPr>
          <w:p>
            <w:pPr>
              <w:spacing w:after="0"/>
              <w:rPr>
                <w:sz w:val="1"/>
                <w:szCs w:val="1"/>
                <w:color w:val="auto"/>
              </w:rPr>
            </w:pPr>
          </w:p>
        </w:tc>
      </w:tr>
      <w:tr>
        <w:trPr>
          <w:trHeight w:val="197"/>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Equity-based compensation</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6,120</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6,120</w:t>
            </w:r>
          </w:p>
        </w:tc>
        <w:tc>
          <w:tcPr>
            <w:tcW w:w="0" w:type="dxa"/>
            <w:vAlign w:val="bottom"/>
          </w:tcPr>
          <w:p>
            <w:pPr>
              <w:spacing w:after="0"/>
              <w:rPr>
                <w:sz w:val="1"/>
                <w:szCs w:val="1"/>
                <w:color w:val="auto"/>
              </w:rPr>
            </w:pPr>
          </w:p>
        </w:tc>
      </w:tr>
      <w:tr>
        <w:trPr>
          <w:trHeight w:val="181"/>
        </w:trPr>
        <w:tc>
          <w:tcPr>
            <w:tcW w:w="1860" w:type="dxa"/>
            <w:vAlign w:val="bottom"/>
          </w:tcPr>
          <w:p>
            <w:pPr>
              <w:ind w:left="120"/>
              <w:spacing w:after="0"/>
              <w:rPr>
                <w:sz w:val="20"/>
                <w:szCs w:val="20"/>
                <w:color w:val="auto"/>
              </w:rPr>
            </w:pPr>
            <w:r>
              <w:rPr>
                <w:rFonts w:ascii="Arial" w:cs="Arial" w:eastAsia="Arial" w:hAnsi="Arial"/>
                <w:sz w:val="13"/>
                <w:szCs w:val="13"/>
                <w:color w:val="auto"/>
              </w:rPr>
              <w:t>Distributions to partners</w:t>
            </w:r>
          </w:p>
        </w:tc>
        <w:tc>
          <w:tcPr>
            <w:tcW w:w="10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(2,360 )</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(2,360 )</w:t>
            </w:r>
          </w:p>
        </w:tc>
        <w:tc>
          <w:tcPr>
            <w:tcW w:w="0" w:type="dxa"/>
            <w:vAlign w:val="bottom"/>
          </w:tcPr>
          <w:p>
            <w:pPr>
              <w:spacing w:after="0"/>
              <w:rPr>
                <w:sz w:val="1"/>
                <w:szCs w:val="1"/>
                <w:color w:val="auto"/>
              </w:rPr>
            </w:pPr>
          </w:p>
        </w:tc>
      </w:tr>
      <w:tr>
        <w:trPr>
          <w:trHeight w:val="197"/>
        </w:trPr>
        <w:tc>
          <w:tcPr>
            <w:tcW w:w="1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567</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173"/>
        </w:trPr>
        <w:tc>
          <w:tcPr>
            <w:tcW w:w="1860" w:type="dxa"/>
            <w:vAlign w:val="bottom"/>
          </w:tcPr>
          <w:p>
            <w:pPr>
              <w:ind w:left="120"/>
              <w:spacing w:after="0"/>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vMerge w:val="restart"/>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2,839</w:t>
            </w:r>
          </w:p>
        </w:tc>
        <w:tc>
          <w:tcPr>
            <w:tcW w:w="80" w:type="dxa"/>
            <w:vAlign w:val="bottom"/>
          </w:tcPr>
          <w:p>
            <w:pPr>
              <w:spacing w:after="0"/>
              <w:rPr>
                <w:sz w:val="15"/>
                <w:szCs w:val="15"/>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2,839</w:t>
            </w:r>
          </w:p>
        </w:tc>
        <w:tc>
          <w:tcPr>
            <w:tcW w:w="0" w:type="dxa"/>
            <w:vAlign w:val="bottom"/>
          </w:tcPr>
          <w:p>
            <w:pPr>
              <w:spacing w:after="0"/>
              <w:rPr>
                <w:sz w:val="1"/>
                <w:szCs w:val="1"/>
                <w:color w:val="auto"/>
              </w:rPr>
            </w:pPr>
          </w:p>
        </w:tc>
      </w:tr>
      <w:tr>
        <w:trPr>
          <w:trHeight w:val="163"/>
        </w:trPr>
        <w:tc>
          <w:tcPr>
            <w:tcW w:w="1860" w:type="dxa"/>
            <w:vAlign w:val="bottom"/>
          </w:tcPr>
          <w:p>
            <w:pPr>
              <w:ind w:left="120"/>
              <w:spacing w:after="0"/>
              <w:rPr>
                <w:sz w:val="20"/>
                <w:szCs w:val="20"/>
                <w:color w:val="auto"/>
              </w:rPr>
            </w:pPr>
            <w:r>
              <w:rPr>
                <w:rFonts w:ascii="Arial" w:cs="Arial" w:eastAsia="Arial" w:hAnsi="Arial"/>
                <w:sz w:val="13"/>
                <w:szCs w:val="13"/>
                <w:color w:val="auto"/>
              </w:rPr>
              <w:t>gain (loss)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5"/>
              </w:rPr>
              <w:t>Balance at September 30, 2020</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67,471</w:t>
            </w:r>
          </w:p>
        </w:tc>
        <w:tc>
          <w:tcPr>
            <w:tcW w:w="7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ind w:right="457"/>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61"/>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37"/>
              <w:spacing w:after="0"/>
              <w:rPr>
                <w:sz w:val="20"/>
                <w:szCs w:val="20"/>
                <w:color w:val="auto"/>
              </w:rPr>
            </w:pPr>
            <w:r>
              <w:rPr>
                <w:rFonts w:ascii="Arial" w:cs="Arial" w:eastAsia="Arial" w:hAnsi="Arial"/>
                <w:sz w:val="13"/>
                <w:szCs w:val="13"/>
                <w:color w:val="auto"/>
                <w:w w:val="82"/>
              </w:rPr>
              <w:t>$</w:t>
            </w:r>
          </w:p>
        </w:tc>
        <w:tc>
          <w:tcPr>
            <w:tcW w:w="2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(5,472 )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61,999</w:t>
            </w:r>
          </w:p>
        </w:tc>
        <w:tc>
          <w:tcPr>
            <w:tcW w:w="0" w:type="dxa"/>
            <w:vAlign w:val="bottom"/>
          </w:tcPr>
          <w:p>
            <w:pPr>
              <w:spacing w:after="0"/>
              <w:rPr>
                <w:sz w:val="1"/>
                <w:szCs w:val="1"/>
                <w:color w:val="auto"/>
              </w:rPr>
            </w:pPr>
          </w:p>
        </w:tc>
      </w:tr>
      <w:tr>
        <w:trPr>
          <w:trHeight w:val="20"/>
        </w:trPr>
        <w:tc>
          <w:tcPr>
            <w:tcW w:w="1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-1676400</wp:posOffset>
            </wp:positionV>
            <wp:extent cx="431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-1676400</wp:posOffset>
            </wp:positionV>
            <wp:extent cx="431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-1676400</wp:posOffset>
            </wp:positionV>
            <wp:extent cx="431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-1676400</wp:posOffset>
            </wp:positionV>
            <wp:extent cx="431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-1676400</wp:posOffset>
            </wp:positionV>
            <wp:extent cx="431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-1676400</wp:posOffset>
            </wp:positionV>
            <wp:extent cx="431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-1676400</wp:posOffset>
            </wp:positionV>
            <wp:extent cx="431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-1676400</wp:posOffset>
            </wp:positionV>
            <wp:extent cx="431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-1676400</wp:posOffset>
            </wp:positionV>
            <wp:extent cx="431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-1676400</wp:posOffset>
            </wp:positionV>
            <wp:extent cx="3429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-1676400</wp:posOffset>
            </wp:positionV>
            <wp:extent cx="3429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-24765</wp:posOffset>
            </wp:positionV>
            <wp:extent cx="431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-7620</wp:posOffset>
            </wp:positionV>
            <wp:extent cx="43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-24765</wp:posOffset>
            </wp:positionV>
            <wp:extent cx="431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-7620</wp:posOffset>
            </wp:positionV>
            <wp:extent cx="431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wp:posOffset>
            </wp:positionV>
            <wp:extent cx="431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43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431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431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43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431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431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342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-24765</wp:posOffset>
            </wp:positionV>
            <wp:extent cx="342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-7620</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75" w:right="459" w:bottom="1440" w:gutter="0" w:footer="0" w:header="0"/>
        </w:sectPr>
      </w:pPr>
    </w:p>
    <w:bookmarkStart w:id="8" w:name="page9"/>
    <w:bookmarkEnd w:id="8"/>
    <w:p>
      <w:pPr>
        <w:ind w:left="4500"/>
        <w:spacing w:after="0"/>
        <w:rPr>
          <w:sz w:val="20"/>
          <w:szCs w:val="20"/>
          <w:color w:val="auto"/>
        </w:rPr>
      </w:pPr>
      <w:r>
        <w:rPr>
          <w:rFonts w:ascii="Arial" w:cs="Arial" w:eastAsia="Arial" w:hAnsi="Arial"/>
          <w:sz w:val="18"/>
          <w:szCs w:val="18"/>
          <w:b w:val="1"/>
          <w:bCs w:val="1"/>
          <w:color w:val="auto"/>
        </w:rPr>
        <w:t>Perella Weinberg Partners</w:t>
      </w:r>
    </w:p>
    <w:p>
      <w:pPr>
        <w:spacing w:after="0" w:line="6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5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2"/>
              </w:rPr>
              <w:t>Shares</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7"/>
              <w:spacing w:after="0"/>
              <w:rPr>
                <w:sz w:val="20"/>
                <w:szCs w:val="20"/>
                <w:color w:val="auto"/>
              </w:rPr>
            </w:pPr>
            <w:r>
              <w:rPr>
                <w:rFonts w:ascii="Arial" w:cs="Arial" w:eastAsia="Arial" w:hAnsi="Arial"/>
                <w:sz w:val="13"/>
                <w:szCs w:val="13"/>
                <w:b w:val="1"/>
                <w:bCs w:val="1"/>
                <w:color w:val="auto"/>
              </w:rPr>
              <w:t>d</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4"/>
                <w:szCs w:val="14"/>
                <w:color w:val="auto"/>
              </w:rPr>
            </w:pPr>
          </w:p>
        </w:tc>
        <w:tc>
          <w:tcPr>
            <w:tcW w:w="720" w:type="dxa"/>
            <w:vAlign w:val="bottom"/>
          </w:tcPr>
          <w:p>
            <w:pPr>
              <w:jc w:val="center"/>
              <w:ind w:right="177"/>
              <w:spacing w:after="0"/>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auto"/>
                <w:w w:val="86"/>
              </w:rPr>
              <w:t>Earnings</w:t>
            </w: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Comprehen</w:t>
            </w:r>
          </w:p>
        </w:tc>
        <w:tc>
          <w:tcPr>
            <w:tcW w:w="60" w:type="dxa"/>
            <w:vAlign w:val="bottom"/>
          </w:tcPr>
          <w:p>
            <w:pPr>
              <w:spacing w:after="0"/>
              <w:rPr>
                <w:sz w:val="14"/>
                <w:szCs w:val="14"/>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b w:val="1"/>
                <w:bCs w:val="1"/>
                <w:color w:val="auto"/>
                <w:w w:val="94"/>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Class A</w:t>
            </w:r>
          </w:p>
        </w:tc>
        <w:tc>
          <w:tcPr>
            <w:tcW w:w="800" w:type="dxa"/>
            <w:vAlign w:val="bottom"/>
          </w:tcPr>
          <w:p>
            <w:pPr>
              <w:jc w:val="center"/>
              <w:ind w:right="97"/>
              <w:spacing w:after="0"/>
              <w:rPr>
                <w:sz w:val="20"/>
                <w:szCs w:val="20"/>
                <w:color w:val="auto"/>
              </w:rPr>
            </w:pPr>
            <w:r>
              <w:rPr>
                <w:rFonts w:ascii="Arial" w:cs="Arial" w:eastAsia="Arial" w:hAnsi="Arial"/>
                <w:sz w:val="13"/>
                <w:szCs w:val="13"/>
                <w:b w:val="1"/>
                <w:bCs w:val="1"/>
                <w:color w:val="auto"/>
                <w:w w:val="83"/>
              </w:rPr>
              <w:t>Class B</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3"/>
              </w:rPr>
              <w:t>Class 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left="20"/>
              <w:spacing w:after="0"/>
              <w:rPr>
                <w:sz w:val="20"/>
                <w:szCs w:val="20"/>
                <w:color w:val="auto"/>
              </w:rPr>
            </w:pPr>
            <w:r>
              <w:rPr>
                <w:rFonts w:ascii="Arial" w:cs="Arial" w:eastAsia="Arial" w:hAnsi="Arial"/>
                <w:sz w:val="13"/>
                <w:szCs w:val="13"/>
                <w:b w:val="1"/>
                <w:bCs w:val="1"/>
                <w:color w:val="auto"/>
                <w:w w:val="83"/>
              </w:rPr>
              <w:t>Class B</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Additional</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w:t>
            </w:r>
          </w:p>
        </w:tc>
        <w:tc>
          <w:tcPr>
            <w:tcW w:w="100" w:type="dxa"/>
            <w:vAlign w:val="bottom"/>
          </w:tcPr>
          <w:p>
            <w:pPr>
              <w:spacing w:after="0"/>
              <w:rPr>
                <w:sz w:val="14"/>
                <w:szCs w:val="14"/>
                <w:color w:val="auto"/>
              </w:rPr>
            </w:pPr>
          </w:p>
        </w:tc>
        <w:tc>
          <w:tcPr>
            <w:tcW w:w="720" w:type="dxa"/>
            <w:vAlign w:val="bottom"/>
          </w:tcPr>
          <w:p>
            <w:pPr>
              <w:jc w:val="center"/>
              <w:ind w:right="177"/>
              <w:spacing w:after="0"/>
              <w:rPr>
                <w:sz w:val="20"/>
                <w:szCs w:val="20"/>
                <w:color w:val="auto"/>
              </w:rPr>
            </w:pPr>
            <w:r>
              <w:rPr>
                <w:rFonts w:ascii="Arial" w:cs="Arial" w:eastAsia="Arial" w:hAnsi="Arial"/>
                <w:sz w:val="13"/>
                <w:szCs w:val="13"/>
                <w:b w:val="1"/>
                <w:bCs w:val="1"/>
                <w:color w:val="auto"/>
                <w:w w:val="78"/>
              </w:rPr>
              <w:t>sive</w:t>
            </w:r>
          </w:p>
        </w:tc>
        <w:tc>
          <w:tcPr>
            <w:tcW w:w="74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1"/>
              </w:rPr>
              <w:t>Controllin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78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w w:val="95"/>
              </w:rPr>
              <w:t>Partners’</w:t>
            </w: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Common</w:t>
            </w: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Common</w:t>
            </w:r>
          </w:p>
        </w:tc>
        <w:tc>
          <w:tcPr>
            <w:tcW w:w="720" w:type="dxa"/>
            <w:vAlign w:val="bottom"/>
          </w:tcPr>
          <w:p>
            <w:pPr>
              <w:jc w:val="right"/>
              <w:ind w:right="97"/>
              <w:spacing w:after="0"/>
              <w:rPr>
                <w:sz w:val="20"/>
                <w:szCs w:val="20"/>
                <w:color w:val="auto"/>
              </w:rPr>
            </w:pPr>
            <w:r>
              <w:rPr>
                <w:rFonts w:ascii="Arial" w:cs="Arial" w:eastAsia="Arial" w:hAnsi="Arial"/>
                <w:sz w:val="13"/>
                <w:szCs w:val="13"/>
                <w:b w:val="1"/>
                <w:bCs w:val="1"/>
                <w:color w:val="auto"/>
                <w:w w:val="98"/>
              </w:rPr>
              <w:t>Treasury</w:t>
            </w:r>
          </w:p>
        </w:tc>
        <w:tc>
          <w:tcPr>
            <w:tcW w:w="80" w:type="dxa"/>
            <w:vAlign w:val="bottom"/>
          </w:tcPr>
          <w:p>
            <w:pPr>
              <w:spacing w:after="0"/>
              <w:rPr>
                <w:sz w:val="14"/>
                <w:szCs w:val="14"/>
                <w:color w:val="auto"/>
              </w:rPr>
            </w:pPr>
          </w:p>
        </w:tc>
        <w:tc>
          <w:tcPr>
            <w:tcW w:w="580" w:type="dxa"/>
            <w:vAlign w:val="bottom"/>
          </w:tcPr>
          <w:p>
            <w:pPr>
              <w:jc w:val="center"/>
              <w:ind w:left="20"/>
              <w:spacing w:after="0"/>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w w:val="83"/>
              </w:rPr>
              <w:t>Treasury</w:t>
            </w:r>
          </w:p>
        </w:tc>
        <w:tc>
          <w:tcPr>
            <w:tcW w:w="100" w:type="dxa"/>
            <w:vAlign w:val="bottom"/>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4"/>
                <w:szCs w:val="14"/>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b w:val="1"/>
                <w:bCs w:val="1"/>
                <w:color w:val="auto"/>
                <w:w w:val="81"/>
              </w:rPr>
              <w:t>ted</w:t>
            </w:r>
          </w:p>
        </w:tc>
        <w:tc>
          <w:tcPr>
            <w:tcW w:w="10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3"/>
                <w:szCs w:val="13"/>
                <w:b w:val="1"/>
                <w:bCs w:val="1"/>
                <w:color w:val="auto"/>
                <w:w w:val="87"/>
              </w:rPr>
              <w:t>Income</w:t>
            </w:r>
          </w:p>
        </w:tc>
        <w:tc>
          <w:tcPr>
            <w:tcW w:w="60" w:type="dxa"/>
            <w:vAlign w:val="bottom"/>
          </w:tcPr>
          <w:p>
            <w:pPr>
              <w:spacing w:after="0"/>
              <w:rPr>
                <w:sz w:val="14"/>
                <w:szCs w:val="14"/>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b w:val="1"/>
                <w:bCs w:val="1"/>
                <w:color w:val="auto"/>
              </w:rPr>
              <w:t>g</w:t>
            </w:r>
          </w:p>
        </w:tc>
        <w:tc>
          <w:tcPr>
            <w:tcW w:w="100" w:type="dxa"/>
            <w:vAlign w:val="bottom"/>
          </w:tcPr>
          <w:p>
            <w:pPr>
              <w:spacing w:after="0"/>
              <w:rPr>
                <w:sz w:val="14"/>
                <w:szCs w:val="14"/>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92"/>
              </w:rPr>
              <w:t>Capital</w:t>
            </w: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Stock</w:t>
            </w: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Stock</w:t>
            </w: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5"/>
                <w:szCs w:val="15"/>
                <w:color w:val="auto"/>
              </w:rPr>
            </w:pPr>
          </w:p>
        </w:tc>
        <w:tc>
          <w:tcPr>
            <w:tcW w:w="580" w:type="dxa"/>
            <w:vAlign w:val="bottom"/>
            <w:tcBorders>
              <w:bottom w:val="single" w:sz="8" w:color="auto"/>
            </w:tcBorders>
          </w:tcPr>
          <w:p>
            <w:pPr>
              <w:jc w:val="center"/>
              <w:ind w:left="20"/>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1"/>
              </w:rPr>
              <w:t>(Loss)</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18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97"/>
              </w:rPr>
              <w:t>Balance at December 31, 2020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76,509</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(2,326 )</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74,183</w:t>
            </w:r>
          </w:p>
        </w:tc>
        <w:tc>
          <w:tcPr>
            <w:tcW w:w="0" w:type="dxa"/>
            <w:vAlign w:val="bottom"/>
          </w:tcPr>
          <w:p>
            <w:pPr>
              <w:spacing w:after="0"/>
              <w:rPr>
                <w:sz w:val="1"/>
                <w:szCs w:val="1"/>
                <w:color w:val="auto"/>
              </w:rPr>
            </w:pPr>
          </w:p>
        </w:tc>
      </w:tr>
      <w:tr>
        <w:trPr>
          <w:trHeight w:val="181"/>
        </w:trPr>
        <w:tc>
          <w:tcPr>
            <w:tcW w:w="1840" w:type="dxa"/>
            <w:vAlign w:val="bottom"/>
          </w:tcPr>
          <w:p>
            <w:pPr>
              <w:ind w:left="100"/>
              <w:spacing w:after="0"/>
              <w:rPr>
                <w:sz w:val="20"/>
                <w:szCs w:val="20"/>
                <w:color w:val="auto"/>
              </w:rPr>
            </w:pPr>
            <w:r>
              <w:rPr>
                <w:rFonts w:ascii="Arial" w:cs="Arial" w:eastAsia="Arial" w:hAnsi="Arial"/>
                <w:sz w:val="13"/>
                <w:szCs w:val="13"/>
                <w:color w:val="auto"/>
              </w:rPr>
              <w:t>Net income (loss)</w:t>
            </w:r>
          </w:p>
        </w:tc>
        <w:tc>
          <w:tcPr>
            <w:tcW w:w="8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22,507</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22,507</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Equity-based compensation</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6,157</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6,157</w:t>
            </w:r>
          </w:p>
        </w:tc>
        <w:tc>
          <w:tcPr>
            <w:tcW w:w="0" w:type="dxa"/>
            <w:vAlign w:val="bottom"/>
          </w:tcPr>
          <w:p>
            <w:pPr>
              <w:spacing w:after="0"/>
              <w:rPr>
                <w:sz w:val="1"/>
                <w:szCs w:val="1"/>
                <w:color w:val="auto"/>
              </w:rPr>
            </w:pPr>
          </w:p>
        </w:tc>
      </w:tr>
      <w:tr>
        <w:trPr>
          <w:trHeight w:val="181"/>
        </w:trPr>
        <w:tc>
          <w:tcPr>
            <w:tcW w:w="1840" w:type="dxa"/>
            <w:vAlign w:val="bottom"/>
          </w:tcPr>
          <w:p>
            <w:pPr>
              <w:ind w:left="100"/>
              <w:spacing w:after="0"/>
              <w:rPr>
                <w:sz w:val="20"/>
                <w:szCs w:val="20"/>
                <w:color w:val="auto"/>
              </w:rPr>
            </w:pPr>
            <w:r>
              <w:rPr>
                <w:rFonts w:ascii="Arial" w:cs="Arial" w:eastAsia="Arial" w:hAnsi="Arial"/>
                <w:sz w:val="13"/>
                <w:szCs w:val="13"/>
                <w:color w:val="auto"/>
              </w:rPr>
              <w:t>Distributions to partners</w:t>
            </w:r>
          </w:p>
        </w:tc>
        <w:tc>
          <w:tcPr>
            <w:tcW w:w="8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(9,816 )</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(9,816 )</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384</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rPr>
              <w:t>Foreign currency translation</w:t>
            </w:r>
          </w:p>
        </w:tc>
        <w:tc>
          <w:tcPr>
            <w:tcW w:w="80" w:type="dxa"/>
            <w:vAlign w:val="bottom"/>
          </w:tcPr>
          <w:p>
            <w:pPr>
              <w:spacing w:after="0"/>
              <w:rPr>
                <w:sz w:val="15"/>
                <w:szCs w:val="15"/>
                <w:color w:val="auto"/>
              </w:rPr>
            </w:pP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vMerge w:val="restart"/>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228</w:t>
            </w:r>
          </w:p>
        </w:tc>
        <w:tc>
          <w:tcPr>
            <w:tcW w:w="60" w:type="dxa"/>
            <w:vAlign w:val="bottom"/>
          </w:tcPr>
          <w:p>
            <w:pPr>
              <w:spacing w:after="0"/>
              <w:rPr>
                <w:sz w:val="15"/>
                <w:szCs w:val="15"/>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63"/>
        </w:trPr>
        <w:tc>
          <w:tcPr>
            <w:tcW w:w="1840" w:type="dxa"/>
            <w:vAlign w:val="bottom"/>
          </w:tcPr>
          <w:p>
            <w:pPr>
              <w:ind w:left="100"/>
              <w:spacing w:after="0"/>
              <w:rPr>
                <w:sz w:val="20"/>
                <w:szCs w:val="20"/>
                <w:color w:val="auto"/>
              </w:rPr>
            </w:pPr>
            <w:r>
              <w:rPr>
                <w:rFonts w:ascii="Arial" w:cs="Arial" w:eastAsia="Arial" w:hAnsi="Arial"/>
                <w:sz w:val="13"/>
                <w:szCs w:val="13"/>
                <w:color w:val="auto"/>
              </w:rPr>
              <w:t>gain (loss)</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March 31, 2021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95,741</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(2,098 )</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93,643</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rPr>
              <w:t>Net income (loss) prior to</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Business Combination</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37,350</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37,350</w:t>
            </w:r>
          </w:p>
        </w:tc>
        <w:tc>
          <w:tcPr>
            <w:tcW w:w="0" w:type="dxa"/>
            <w:vAlign w:val="bottom"/>
          </w:tcPr>
          <w:p>
            <w:pPr>
              <w:spacing w:after="0"/>
              <w:rPr>
                <w:sz w:val="1"/>
                <w:szCs w:val="1"/>
                <w:color w:val="auto"/>
              </w:rPr>
            </w:pPr>
          </w:p>
        </w:tc>
      </w:tr>
      <w:tr>
        <w:trPr>
          <w:trHeight w:val="181"/>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Equity-based compensation</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9"/>
              </w:rPr>
              <w:t>prior to Business Combination</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5,604</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5,604</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rPr>
              <w:t>Foreign currency translation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00"/>
              <w:spacing w:after="0"/>
              <w:rPr>
                <w:sz w:val="20"/>
                <w:szCs w:val="20"/>
                <w:color w:val="auto"/>
              </w:rPr>
            </w:pPr>
            <w:r>
              <w:rPr>
                <w:rFonts w:ascii="Arial" w:cs="Arial" w:eastAsia="Arial" w:hAnsi="Arial"/>
                <w:sz w:val="13"/>
                <w:szCs w:val="13"/>
                <w:color w:val="auto"/>
              </w:rPr>
              <w:t>gain (loss) prior to Business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Combination</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298</w:t>
            </w:r>
          </w:p>
        </w:tc>
        <w:tc>
          <w:tcPr>
            <w:tcW w:w="6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Distributions to partners</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(37,573 )</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(37,573 )</w:t>
            </w:r>
          </w:p>
        </w:tc>
        <w:tc>
          <w:tcPr>
            <w:tcW w:w="0" w:type="dxa"/>
            <w:vAlign w:val="bottom"/>
          </w:tcPr>
          <w:p>
            <w:pPr>
              <w:spacing w:after="0"/>
              <w:rPr>
                <w:sz w:val="1"/>
                <w:szCs w:val="1"/>
                <w:color w:val="auto"/>
              </w:rPr>
            </w:pPr>
          </w:p>
        </w:tc>
      </w:tr>
      <w:tr>
        <w:trPr>
          <w:trHeight w:val="181"/>
        </w:trPr>
        <w:tc>
          <w:tcPr>
            <w:tcW w:w="1840" w:type="dxa"/>
            <w:vAlign w:val="bottom"/>
          </w:tcPr>
          <w:p>
            <w:pPr>
              <w:ind w:left="10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(10 )</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5"/>
              </w:rPr>
              <w:t>Effect of Business Combination</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w w:val="97"/>
              </w:rPr>
              <w:t>(101,112 )</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5"/>
              </w:rPr>
              <w:t>42,956,667</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5"/>
              </w:rPr>
              <w:t>50,154,199</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0"/>
                <w:szCs w:val="10"/>
                <w:color w:val="auto"/>
                <w:w w:val="71"/>
              </w:rPr>
              <w:t>4</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5</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133,832</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974</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154,619</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188,322</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w w:val="91"/>
              </w:rPr>
              <w:t>Net income (loss) after Business</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Combination</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(12,499 )</w:t>
            </w:r>
          </w:p>
        </w:tc>
        <w:tc>
          <w:tcPr>
            <w:tcW w:w="1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(15,851 )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(28,350 )</w:t>
            </w:r>
          </w:p>
        </w:tc>
        <w:tc>
          <w:tcPr>
            <w:tcW w:w="0" w:type="dxa"/>
            <w:vAlign w:val="bottom"/>
          </w:tcPr>
          <w:p>
            <w:pPr>
              <w:spacing w:after="0"/>
              <w:rPr>
                <w:sz w:val="1"/>
                <w:szCs w:val="1"/>
                <w:color w:val="auto"/>
              </w:rPr>
            </w:pPr>
          </w:p>
        </w:tc>
      </w:tr>
      <w:tr>
        <w:trPr>
          <w:trHeight w:val="181"/>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Equity-based compensation</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after Business Combination</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1,461</w:t>
            </w: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1,461</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rPr>
              <w:t>Foreign currency translation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00"/>
              <w:spacing w:after="0"/>
              <w:rPr>
                <w:sz w:val="20"/>
                <w:szCs w:val="20"/>
                <w:color w:val="auto"/>
              </w:rPr>
            </w:pPr>
            <w:r>
              <w:rPr>
                <w:rFonts w:ascii="Arial" w:cs="Arial" w:eastAsia="Arial" w:hAnsi="Arial"/>
                <w:sz w:val="13"/>
                <w:szCs w:val="13"/>
                <w:color w:val="auto"/>
              </w:rPr>
              <w:t>gain (loss) after Business</w:t>
            </w:r>
          </w:p>
        </w:tc>
        <w:tc>
          <w:tcPr>
            <w:tcW w:w="80" w:type="dxa"/>
            <w:vAlign w:val="bottom"/>
          </w:tcPr>
          <w:p>
            <w:pPr>
              <w:spacing w:after="0"/>
              <w:rPr>
                <w:sz w:val="14"/>
                <w:szCs w:val="14"/>
                <w:color w:val="auto"/>
              </w:rPr>
            </w:pP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vMerge w:val="restart"/>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3"/>
        </w:trPr>
        <w:tc>
          <w:tcPr>
            <w:tcW w:w="1840" w:type="dxa"/>
            <w:vAlign w:val="bottom"/>
          </w:tcPr>
          <w:p>
            <w:pPr>
              <w:ind w:left="100"/>
              <w:spacing w:after="0"/>
              <w:rPr>
                <w:sz w:val="20"/>
                <w:szCs w:val="20"/>
                <w:color w:val="auto"/>
              </w:rPr>
            </w:pPr>
            <w:r>
              <w:rPr>
                <w:rFonts w:ascii="Arial" w:cs="Arial" w:eastAsia="Arial" w:hAnsi="Arial"/>
                <w:sz w:val="13"/>
                <w:szCs w:val="13"/>
                <w:color w:val="auto"/>
              </w:rPr>
              <w:t>Combination</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June 30, 2021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5"/>
              </w:rPr>
              <w:t>42,956,667</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5"/>
              </w:rPr>
              <w:t>50,154,199</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0"/>
                <w:szCs w:val="10"/>
                <w:color w:val="auto"/>
                <w:w w:val="71"/>
              </w:rPr>
              <w:t>4</w:t>
            </w: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5</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135,293</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(12,499 )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(818 )</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138,778</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260,763</w:t>
            </w:r>
          </w:p>
        </w:tc>
        <w:tc>
          <w:tcPr>
            <w:tcW w:w="0" w:type="dxa"/>
            <w:vAlign w:val="bottom"/>
          </w:tcPr>
          <w:p>
            <w:pPr>
              <w:spacing w:after="0"/>
              <w:rPr>
                <w:sz w:val="1"/>
                <w:szCs w:val="1"/>
                <w:color w:val="auto"/>
              </w:rPr>
            </w:pPr>
          </w:p>
        </w:tc>
      </w:tr>
      <w:tr>
        <w:trPr>
          <w:trHeight w:val="181"/>
        </w:trPr>
        <w:tc>
          <w:tcPr>
            <w:tcW w:w="1840" w:type="dxa"/>
            <w:vAlign w:val="bottom"/>
          </w:tcPr>
          <w:p>
            <w:pPr>
              <w:ind w:left="100"/>
              <w:spacing w:after="0"/>
              <w:rPr>
                <w:sz w:val="20"/>
                <w:szCs w:val="20"/>
                <w:color w:val="auto"/>
              </w:rPr>
            </w:pPr>
            <w:r>
              <w:rPr>
                <w:rFonts w:ascii="Arial" w:cs="Arial" w:eastAsia="Arial" w:hAnsi="Arial"/>
                <w:sz w:val="13"/>
                <w:szCs w:val="13"/>
                <w:color w:val="auto"/>
              </w:rPr>
              <w:t>Net income (loss)</w:t>
            </w:r>
          </w:p>
        </w:tc>
        <w:tc>
          <w:tcPr>
            <w:tcW w:w="8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3,476</w:t>
            </w:r>
          </w:p>
        </w:tc>
        <w:tc>
          <w:tcPr>
            <w:tcW w:w="10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(12,938 )</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(9,462 )</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Equity-based awards</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21,094</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17,133</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38,227</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rPr>
              <w:t>Foreign currency translation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gain (loss)</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(956 )</w:t>
            </w:r>
          </w:p>
        </w:tc>
        <w:tc>
          <w:tcPr>
            <w:tcW w:w="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(1,130 )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(2,086 )</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Distributions to partners</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(7,007 )</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(7,007 )</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w w:val="96"/>
              </w:rPr>
              <w:t>Liability awards reclassification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to equity</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3,912</w:t>
            </w:r>
          </w:p>
        </w:tc>
        <w:tc>
          <w:tcPr>
            <w:tcW w:w="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3,912</w:t>
            </w:r>
          </w:p>
        </w:tc>
        <w:tc>
          <w:tcPr>
            <w:tcW w:w="0" w:type="dxa"/>
            <w:vAlign w:val="bottom"/>
          </w:tcPr>
          <w:p>
            <w:pPr>
              <w:spacing w:after="0"/>
              <w:rPr>
                <w:sz w:val="1"/>
                <w:szCs w:val="1"/>
                <w:color w:val="auto"/>
              </w:rPr>
            </w:pPr>
          </w:p>
        </w:tc>
      </w:tr>
      <w:tr>
        <w:trPr>
          <w:trHeight w:val="181"/>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Issuance of Class A common</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for vested RSUs</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535,831</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40" w:type="dxa"/>
            <w:vAlign w:val="bottom"/>
          </w:tcPr>
          <w:p>
            <w:pPr>
              <w:ind w:left="100"/>
              <w:spacing w:after="0"/>
              <w:rPr>
                <w:sz w:val="20"/>
                <w:szCs w:val="20"/>
                <w:color w:val="auto"/>
              </w:rPr>
            </w:pPr>
            <w:r>
              <w:rPr>
                <w:rFonts w:ascii="Arial" w:cs="Arial" w:eastAsia="Arial" w:hAnsi="Arial"/>
                <w:sz w:val="13"/>
                <w:szCs w:val="13"/>
                <w:color w:val="auto"/>
              </w:rPr>
              <w:t>Withholding payments 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vested RSUs</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(7,983 )</w:t>
            </w:r>
          </w:p>
        </w:tc>
        <w:tc>
          <w:tcPr>
            <w:tcW w:w="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(7,983 )</w:t>
            </w:r>
          </w:p>
        </w:tc>
        <w:tc>
          <w:tcPr>
            <w:tcW w:w="0" w:type="dxa"/>
            <w:vAlign w:val="bottom"/>
          </w:tcPr>
          <w:p>
            <w:pPr>
              <w:spacing w:after="0"/>
              <w:rPr>
                <w:sz w:val="1"/>
                <w:szCs w:val="1"/>
                <w:color w:val="auto"/>
              </w:rPr>
            </w:pPr>
          </w:p>
        </w:tc>
      </w:tr>
      <w:tr>
        <w:trPr>
          <w:trHeight w:val="181"/>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9"/>
              </w:rPr>
              <w:t>Dividends declared ($0.07 per</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share of Class A common stock)</w:t>
            </w:r>
          </w:p>
        </w:tc>
        <w:tc>
          <w:tcPr>
            <w:tcW w:w="8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113</w:t>
            </w:r>
          </w:p>
        </w:tc>
        <w:tc>
          <w:tcPr>
            <w:tcW w:w="8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(4,313 )</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(4,200 )</w:t>
            </w:r>
          </w:p>
        </w:tc>
        <w:tc>
          <w:tcPr>
            <w:tcW w:w="0" w:type="dxa"/>
            <w:vAlign w:val="bottom"/>
          </w:tcPr>
          <w:p>
            <w:pPr>
              <w:spacing w:after="0"/>
              <w:rPr>
                <w:sz w:val="1"/>
                <w:szCs w:val="1"/>
                <w:color w:val="auto"/>
              </w:rPr>
            </w:pPr>
          </w:p>
        </w:tc>
      </w:tr>
      <w:tr>
        <w:trPr>
          <w:trHeight w:val="181"/>
        </w:trPr>
        <w:tc>
          <w:tcPr>
            <w:tcW w:w="1840" w:type="dxa"/>
            <w:vAlign w:val="bottom"/>
          </w:tcPr>
          <w:p>
            <w:pPr>
              <w:ind w:left="10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879</w:t>
            </w:r>
          </w:p>
        </w:tc>
        <w:tc>
          <w:tcPr>
            <w:tcW w:w="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940</w:t>
            </w:r>
          </w:p>
        </w:tc>
        <w:tc>
          <w:tcPr>
            <w:tcW w:w="1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1,819</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Treasury stock purchase</w:t>
            </w:r>
          </w:p>
        </w:tc>
        <w:tc>
          <w:tcPr>
            <w:tcW w:w="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(1,000,000 )</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(12,000 )</w:t>
            </w: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(12,000 )</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w w:val="98"/>
              </w:rPr>
              <w:t>Change in ownership interests</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18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95"/>
              </w:rPr>
              <w:t>Balance at September 30, 2021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5"/>
              </w:rPr>
              <w:t>43,492,498</w:t>
            </w:r>
          </w:p>
        </w:tc>
        <w:tc>
          <w:tcPr>
            <w:tcW w:w="80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5"/>
              </w:rPr>
              <w:t>50,154,199</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(1,000,000 )</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60"/>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0"/>
                <w:szCs w:val="10"/>
                <w:color w:val="auto"/>
                <w:w w:val="71"/>
              </w:rPr>
              <w:t>4</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40"/>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5</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(12,000 )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152,308</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(13,336 )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(1,774 )</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136,776</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261,983</w:t>
            </w:r>
          </w:p>
        </w:tc>
        <w:tc>
          <w:tcPr>
            <w:tcW w:w="0" w:type="dxa"/>
            <w:vAlign w:val="bottom"/>
          </w:tcPr>
          <w:p>
            <w:pPr>
              <w:spacing w:after="0"/>
              <w:rPr>
                <w:sz w:val="1"/>
                <w:szCs w:val="1"/>
                <w:color w:val="auto"/>
              </w:rPr>
            </w:pPr>
          </w:p>
        </w:tc>
      </w:tr>
      <w:tr>
        <w:trPr>
          <w:trHeight w:val="20"/>
        </w:trPr>
        <w:tc>
          <w:tcPr>
            <w:tcW w:w="1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-24765</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-8255</wp:posOffset>
            </wp:positionV>
            <wp:extent cx="431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-153670</wp:posOffset>
            </wp:positionV>
            <wp:extent cx="43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-24765</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-8255</wp:posOffset>
            </wp:positionV>
            <wp:extent cx="431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-153670</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-24765</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-8255</wp:posOffset>
            </wp:positionV>
            <wp:extent cx="43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-153670</wp:posOffset>
            </wp:positionV>
            <wp:extent cx="43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-24765</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-8255</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-153670</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-24765</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-8255</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-153670</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-24765</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-8255</wp:posOffset>
            </wp:positionV>
            <wp:extent cx="431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-153670</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-24765</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-8255</wp:posOffset>
            </wp:positionV>
            <wp:extent cx="342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-153670</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-24765</wp:posOffset>
            </wp:positionV>
            <wp:extent cx="342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-8255</wp:posOffset>
            </wp:positionV>
            <wp:extent cx="34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-153670</wp:posOffset>
            </wp:positionV>
            <wp:extent cx="342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-24765</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-8255</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-153670</wp:posOffset>
            </wp:positionV>
            <wp:extent cx="342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-24765</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-8255</wp:posOffset>
            </wp:positionV>
            <wp:extent cx="34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-153670</wp:posOffset>
            </wp:positionV>
            <wp:extent cx="342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-24765</wp:posOffset>
            </wp:positionV>
            <wp:extent cx="34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-8255</wp:posOffset>
            </wp:positionV>
            <wp:extent cx="342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-153670</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675" w:right="3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Perella Weinberg Partners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c>
          <w:tcPr>
            <w:tcW w:w="700" w:type="dxa"/>
            <w:vAlign w:val="bottom"/>
            <w:tcBorders>
              <w:bottom w:val="single" w:sz="8" w:color="auto"/>
            </w:tcBorders>
          </w:tcPr>
          <w:p>
            <w:pPr>
              <w:spacing w:after="0"/>
              <w:rPr>
                <w:sz w:val="16"/>
                <w:szCs w:val="16"/>
                <w:color w:val="auto"/>
              </w:rPr>
            </w:pPr>
          </w:p>
        </w:tc>
      </w:tr>
      <w:tr>
        <w:trPr>
          <w:trHeight w:val="196"/>
        </w:trPr>
        <w:tc>
          <w:tcPr>
            <w:tcW w:w="732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r>
      <w:tr>
        <w:trPr>
          <w:trHeight w:val="202"/>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r>
      <w:tr>
        <w:trPr>
          <w:trHeight w:val="196"/>
        </w:trPr>
        <w:tc>
          <w:tcPr>
            <w:tcW w:w="732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22,045</w:t>
            </w:r>
          </w:p>
        </w:tc>
        <w:tc>
          <w:tcPr>
            <w:tcW w:w="1340" w:type="dxa"/>
            <w:vAlign w:val="bottom"/>
            <w:gridSpan w:val="2"/>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(27,258 )</w:t>
            </w:r>
          </w:p>
        </w:tc>
      </w:tr>
      <w:tr>
        <w:trPr>
          <w:trHeight w:val="209"/>
        </w:trPr>
        <w:tc>
          <w:tcPr>
            <w:tcW w:w="7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Loss on debt extinguishment</w:t>
            </w:r>
          </w:p>
        </w:tc>
        <w:tc>
          <w:tcPr>
            <w:tcW w:w="1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39,408</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Equity-based awards vesting expense</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51,449</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18,484</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11,081</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11,645</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debt discounts and deferred financing costs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2,049</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2,948</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Change in fair value of warrant liabilities</w:t>
            </w:r>
          </w:p>
        </w:tc>
        <w:tc>
          <w:tcPr>
            <w:tcW w:w="1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2,058</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Non-cash operating lease expense</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13,036</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12,794</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Bad debt expense</w:t>
            </w:r>
          </w:p>
        </w:tc>
        <w:tc>
          <w:tcPr>
            <w:tcW w:w="1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2,853</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(15 )</w:t>
            </w:r>
          </w:p>
        </w:tc>
      </w:tr>
      <w:tr>
        <w:trPr>
          <w:trHeight w:val="196"/>
        </w:trPr>
        <w:tc>
          <w:tcPr>
            <w:tcW w:w="7320" w:type="dxa"/>
            <w:vAlign w:val="bottom"/>
          </w:tcPr>
          <w:p>
            <w:pPr>
              <w:ind w:left="120"/>
              <w:spacing w:after="0"/>
              <w:rPr>
                <w:sz w:val="20"/>
                <w:szCs w:val="20"/>
                <w:color w:val="auto"/>
              </w:rPr>
            </w:pPr>
            <w:r>
              <w:rPr>
                <w:rFonts w:ascii="Arial" w:cs="Arial" w:eastAsia="Arial" w:hAnsi="Arial"/>
                <w:sz w:val="14"/>
                <w:szCs w:val="14"/>
                <w:color w:val="auto"/>
              </w:rPr>
              <w:t>Decrease (increase) in operating assets:</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 of allowance</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(25,730 )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(11,528 )</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Due from related parties</w:t>
            </w:r>
          </w:p>
        </w:tc>
        <w:tc>
          <w:tcPr>
            <w:tcW w:w="1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557</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 and other assets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(15,615 )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219</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Deferred tax asset</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(953 )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(549 )</w:t>
            </w:r>
          </w:p>
        </w:tc>
      </w:tr>
      <w:tr>
        <w:trPr>
          <w:trHeight w:val="208"/>
        </w:trPr>
        <w:tc>
          <w:tcPr>
            <w:tcW w:w="7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Increase (decrease) in operating liabilities: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Accrued compensation and benefits</w:t>
            </w:r>
          </w:p>
        </w:tc>
        <w:tc>
          <w:tcPr>
            <w:tcW w:w="11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57,038</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(88,154 )</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compensation programs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(3,340 )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4,403</w:t>
            </w: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Accounts payable, accrued expenses and other liabilities</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(8,694 )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6,295</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revenue</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(4,642 )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31,070</w:t>
            </w:r>
          </w:p>
        </w:tc>
      </w:tr>
      <w:tr>
        <w:trPr>
          <w:trHeight w:val="197"/>
        </w:trPr>
        <w:tc>
          <w:tcPr>
            <w:tcW w:w="732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Lease liabilities</w:t>
            </w:r>
          </w:p>
        </w:tc>
        <w:tc>
          <w:tcPr>
            <w:tcW w:w="1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(13,570 )</w:t>
            </w:r>
          </w:p>
        </w:tc>
        <w:tc>
          <w:tcPr>
            <w:tcW w:w="200" w:type="dxa"/>
            <w:vAlign w:val="bottom"/>
            <w:tcBorders>
              <w:bottom w:val="single" w:sz="8" w:color="CFF0FC"/>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(14,887 )</w:t>
            </w:r>
          </w:p>
        </w:tc>
      </w:tr>
      <w:tr>
        <w:trPr>
          <w:trHeight w:val="189"/>
        </w:trPr>
        <w:tc>
          <w:tcPr>
            <w:tcW w:w="73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Net cash provided by (used in) operating activities</w:t>
            </w:r>
          </w:p>
        </w:tc>
        <w:tc>
          <w:tcPr>
            <w:tcW w:w="11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126,041</w:t>
            </w:r>
          </w:p>
        </w:tc>
        <w:tc>
          <w:tcPr>
            <w:tcW w:w="2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(51,606 )</w:t>
            </w:r>
          </w:p>
        </w:tc>
      </w:tr>
      <w:tr>
        <w:trPr>
          <w:trHeight w:val="190"/>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fixed assets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(4,965 )</w:t>
            </w:r>
          </w:p>
        </w:tc>
      </w:tr>
      <w:tr>
        <w:trPr>
          <w:trHeight w:val="203"/>
        </w:trPr>
        <w:tc>
          <w:tcPr>
            <w:tcW w:w="7320" w:type="dxa"/>
            <w:vAlign w:val="bottom"/>
          </w:tcPr>
          <w:p>
            <w:pPr>
              <w:ind w:left="20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(978 )</w:t>
            </w: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73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Net cash provided by (used in) investing activities</w:t>
            </w:r>
          </w:p>
        </w:tc>
        <w:tc>
          <w:tcPr>
            <w:tcW w:w="1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(1,662 )</w:t>
            </w:r>
          </w:p>
        </w:tc>
        <w:tc>
          <w:tcPr>
            <w:tcW w:w="2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(4,965 )</w:t>
            </w:r>
          </w:p>
        </w:tc>
      </w:tr>
      <w:tr>
        <w:trPr>
          <w:trHeight w:val="190"/>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Business Combination, including PIPE Investment</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355,021</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Payment of Business Combination costs</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(20,570 )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Draw down on Revolving Credit Facility</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22,000</w:t>
            </w: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Principal payment on Revolving Credit Facility</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(27,690 )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(32,000 )</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Redemption of Convertible Notes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(160,930 )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Redemption of partners’ interests</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(104,540 )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Distributions to partners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(54,396 )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(11,789 )</w:t>
            </w: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Dividends paid</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(2,978 )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Withholding payments for vested RSUs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(7,983 )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7320" w:type="dxa"/>
            <w:vAlign w:val="bottom"/>
          </w:tcPr>
          <w:p>
            <w:pPr>
              <w:ind w:left="200"/>
              <w:spacing w:after="0"/>
              <w:rPr>
                <w:sz w:val="20"/>
                <w:szCs w:val="20"/>
                <w:color w:val="auto"/>
              </w:rPr>
            </w:pPr>
            <w:r>
              <w:rPr>
                <w:rFonts w:ascii="Arial" w:cs="Arial" w:eastAsia="Arial" w:hAnsi="Arial"/>
                <w:sz w:val="14"/>
                <w:szCs w:val="14"/>
                <w:color w:val="auto"/>
              </w:rPr>
              <w:t>Treasury stock purchases</w:t>
            </w:r>
          </w:p>
        </w:tc>
        <w:tc>
          <w:tcPr>
            <w:tcW w:w="1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(12,000 )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Debt issuance costs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203"/>
        </w:trPr>
        <w:tc>
          <w:tcPr>
            <w:tcW w:w="7320" w:type="dxa"/>
            <w:vAlign w:val="bottom"/>
          </w:tcPr>
          <w:p>
            <w:pPr>
              <w:ind w:left="200"/>
              <w:spacing w:after="0"/>
              <w:rPr>
                <w:sz w:val="20"/>
                <w:szCs w:val="20"/>
                <w:color w:val="auto"/>
              </w:rPr>
            </w:pPr>
            <w:r>
              <w:rPr>
                <w:rFonts w:ascii="Arial" w:cs="Arial" w:eastAsia="Arial" w:hAnsi="Arial"/>
                <w:sz w:val="14"/>
                <w:szCs w:val="14"/>
                <w:color w:val="auto"/>
              </w:rPr>
              <w:t>Proceeds from Partner promissory note</w:t>
            </w:r>
          </w:p>
        </w:tc>
        <w:tc>
          <w:tcPr>
            <w:tcW w:w="1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1,757</w:t>
            </w: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73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Net cash provided by (used in) financing activities</w:t>
            </w:r>
          </w:p>
        </w:tc>
        <w:tc>
          <w:tcPr>
            <w:tcW w:w="1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(34,670 )</w:t>
            </w:r>
          </w:p>
        </w:tc>
        <w:tc>
          <w:tcPr>
            <w:tcW w:w="2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(21,789 )</w:t>
            </w:r>
          </w:p>
        </w:tc>
      </w:tr>
      <w:tr>
        <w:trPr>
          <w:trHeight w:val="196"/>
        </w:trPr>
        <w:tc>
          <w:tcPr>
            <w:tcW w:w="732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(2,943 )</w:t>
            </w: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(162 )</w:t>
            </w:r>
          </w:p>
        </w:tc>
      </w:tr>
      <w:tr>
        <w:trPr>
          <w:trHeight w:val="196"/>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86,766</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(78,522 )</w:t>
            </w:r>
          </w:p>
        </w:tc>
      </w:tr>
      <w:tr>
        <w:trPr>
          <w:trHeight w:val="203"/>
        </w:trPr>
        <w:tc>
          <w:tcPr>
            <w:tcW w:w="73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330,908</w:t>
            </w: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266,582</w:t>
            </w:r>
          </w:p>
        </w:tc>
      </w:tr>
      <w:tr>
        <w:trPr>
          <w:trHeight w:val="236"/>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417,674</w:t>
            </w:r>
          </w:p>
        </w:tc>
        <w:tc>
          <w:tcPr>
            <w:tcW w:w="1340" w:type="dxa"/>
            <w:vAlign w:val="bottom"/>
            <w:gridSpan w:val="2"/>
            <w:shd w:val="clear" w:color="auto" w:fill="CFF0FC"/>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188,060</w:t>
            </w:r>
          </w:p>
        </w:tc>
      </w:tr>
      <w:tr>
        <w:trPr>
          <w:trHeight w:val="177"/>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Supplemental disclosure of non-cash activities</w:t>
            </w:r>
          </w:p>
        </w:tc>
        <w:tc>
          <w:tcPr>
            <w:tcW w:w="1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Liability awards reclassification to equity</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3,912</w:t>
            </w:r>
          </w:p>
        </w:tc>
        <w:tc>
          <w:tcPr>
            <w:tcW w:w="1340" w:type="dxa"/>
            <w:vAlign w:val="bottom"/>
            <w:gridSpan w:val="2"/>
            <w:shd w:val="clear" w:color="auto" w:fill="CFF0FC"/>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Dividends declared and unpaid</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1,335</w:t>
            </w:r>
          </w:p>
        </w:tc>
        <w:tc>
          <w:tcPr>
            <w:tcW w:w="1340" w:type="dxa"/>
            <w:vAlign w:val="bottom"/>
            <w:gridSpan w:val="2"/>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8"/>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Pending broker-to-broker trades</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12,815</w:t>
            </w:r>
          </w:p>
        </w:tc>
        <w:tc>
          <w:tcPr>
            <w:tcW w:w="1340" w:type="dxa"/>
            <w:vAlign w:val="bottom"/>
            <w:gridSpan w:val="2"/>
            <w:shd w:val="clear" w:color="auto" w:fill="CFF0FC"/>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7320" w:type="dxa"/>
            <w:vAlign w:val="bottom"/>
          </w:tcPr>
          <w:p>
            <w:pPr>
              <w:ind w:left="200"/>
              <w:spacing w:after="0"/>
              <w:rPr>
                <w:sz w:val="20"/>
                <w:szCs w:val="20"/>
                <w:color w:val="auto"/>
              </w:rPr>
            </w:pPr>
            <w:r>
              <w:rPr>
                <w:rFonts w:ascii="Arial" w:cs="Arial" w:eastAsia="Arial" w:hAnsi="Arial"/>
                <w:sz w:val="14"/>
                <w:szCs w:val="14"/>
                <w:color w:val="auto"/>
              </w:rPr>
              <w:t>Lease liabilities arising from obtaining right-of-use lease assets</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4,000</w:t>
            </w:r>
          </w:p>
        </w:tc>
        <w:tc>
          <w:tcPr>
            <w:tcW w:w="1340" w:type="dxa"/>
            <w:vAlign w:val="bottom"/>
            <w:gridSpan w:val="2"/>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14,067</w:t>
            </w: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assets of deconsolidated affiliate</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394</w:t>
            </w:r>
          </w:p>
        </w:tc>
        <w:tc>
          <w:tcPr>
            <w:tcW w:w="1340" w:type="dxa"/>
            <w:vAlign w:val="bottom"/>
            <w:gridSpan w:val="2"/>
            <w:shd w:val="clear" w:color="auto" w:fill="CFF0FC"/>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9"/>
        </w:trPr>
        <w:tc>
          <w:tcPr>
            <w:tcW w:w="7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paid for income taxes</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3,660</w:t>
            </w:r>
          </w:p>
        </w:tc>
        <w:tc>
          <w:tcPr>
            <w:tcW w:w="1340" w:type="dxa"/>
            <w:vAlign w:val="bottom"/>
            <w:gridSpan w:val="2"/>
            <w:shd w:val="clear" w:color="auto" w:fill="CFF0FC"/>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2,269</w:t>
            </w:r>
          </w:p>
        </w:tc>
      </w:tr>
      <w:tr>
        <w:trPr>
          <w:trHeight w:val="191"/>
        </w:trPr>
        <w:tc>
          <w:tcPr>
            <w:tcW w:w="7320" w:type="dxa"/>
            <w:vAlign w:val="bottom"/>
          </w:tcPr>
          <w:p>
            <w:pPr>
              <w:ind w:left="200"/>
              <w:spacing w:after="0"/>
              <w:rPr>
                <w:sz w:val="20"/>
                <w:szCs w:val="20"/>
                <w:color w:val="auto"/>
              </w:rPr>
            </w:pPr>
            <w:r>
              <w:rPr>
                <w:rFonts w:ascii="Arial" w:cs="Arial" w:eastAsia="Arial" w:hAnsi="Arial"/>
                <w:sz w:val="14"/>
                <w:szCs w:val="14"/>
                <w:color w:val="auto"/>
              </w:rPr>
              <w:t>Cash paid for interest</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5,483</w:t>
            </w:r>
          </w:p>
        </w:tc>
        <w:tc>
          <w:tcPr>
            <w:tcW w:w="1340" w:type="dxa"/>
            <w:vAlign w:val="bottom"/>
            <w:gridSpan w:val="2"/>
          </w:tcPr>
          <w:p>
            <w:pPr>
              <w:jc w:val="right"/>
              <w:ind w:right="10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5829935</wp:posOffset>
            </wp:positionH>
            <wp:positionV relativeFrom="paragraph">
              <wp:posOffset>-4204970</wp:posOffset>
            </wp:positionV>
            <wp:extent cx="145415"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5415" cy="1625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-3529330</wp:posOffset>
            </wp:positionV>
            <wp:extent cx="12001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-1711960</wp:posOffset>
            </wp:positionV>
            <wp:extent cx="12001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-1174750</wp:posOffset>
            </wp:positionV>
            <wp:extent cx="120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-1157605</wp:posOffset>
            </wp:positionV>
            <wp:extent cx="1200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Nature of Business</w:t>
      </w:r>
    </w:p>
    <w:p>
      <w:pPr>
        <w:spacing w:after="0" w:line="243"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91"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6"/>
          <w:szCs w:val="16"/>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its previously announced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w:t>
      </w:r>
    </w:p>
    <w:p>
      <w:pPr>
        <w:spacing w:after="0" w:line="3" w:lineRule="exact"/>
        <w:rPr>
          <w:sz w:val="20"/>
          <w:szCs w:val="20"/>
          <w:color w:val="auto"/>
        </w:rPr>
      </w:pPr>
    </w:p>
    <w:p>
      <w:pPr>
        <w:jc w:val="both"/>
        <w:ind w:firstLine="8"/>
        <w:spacing w:after="0" w:line="279"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PWP OpCo serves as the Company’s operating partnership as part of an umbrella limited partnership C-corporation (Up-C) structure (collectively with the other transactions contemplated by the Business Combination Agreement, the “Business Combination”). See Note 3 – Business Combination for additional discussion related to the transaction.</w:t>
      </w:r>
    </w:p>
    <w:p>
      <w:pPr>
        <w:spacing w:after="0" w:line="18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 – Stockholders’ Equity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Transactions</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PWP OpCo was formed under Delaware law on November 30, 2016 in conjunction with a business combination between NoCo A L.P. and Tudor, Pickering, Holt &amp; Co., LLC. Prior to February 28, 2019, PWP OpCo owned and operated two distinct businesses: investment banking advisory (“Advisory business”) and asset management (“Asset Management business”).</w:t>
      </w:r>
    </w:p>
    <w:p>
      <w:pPr>
        <w:spacing w:after="0" w:line="183" w:lineRule="exact"/>
        <w:rPr>
          <w:sz w:val="20"/>
          <w:szCs w:val="20"/>
          <w:color w:val="auto"/>
        </w:rPr>
      </w:pPr>
    </w:p>
    <w:p>
      <w:pPr>
        <w:jc w:val="both"/>
        <w:ind w:firstLine="469"/>
        <w:spacing w:after="0" w:line="271"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OpCo. Subsequent to the Separation, the ILPs and Professional Partners hold equity in both PWP OpCo and PWP Capital Holdings LP.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The unaudited condensed consolidated financial statements reflect the financial condition, results of operations and cash flows of the Company and have been prepared in accordance with generally accepted accounting principles in the United States (“U.S. GAAP”).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See Note 3 – Business Combination for additional discussion related to the transaction.</w:t>
      </w:r>
    </w:p>
    <w:p>
      <w:pPr>
        <w:spacing w:after="0" w:line="19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7"/>
          <w:szCs w:val="17"/>
          <w:color w:val="auto"/>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2020 included in the Company’s definitive proxy statement, dated May 27, 2021 (as amended or supplemented, including the filing of definitive additional materials, the “Proxy Statement”). The condensed consolidated financial statements reflect all material adjustments of a normal recurring nature that, in the opinion of management, are necessary for a fair presentation of the results for the interim periods.</w:t>
      </w:r>
    </w:p>
    <w:p>
      <w:pPr>
        <w:spacing w:after="0" w:line="181" w:lineRule="exact"/>
        <w:rPr>
          <w:sz w:val="20"/>
          <w:szCs w:val="20"/>
          <w:color w:val="auto"/>
        </w:rPr>
      </w:pPr>
    </w:p>
    <w:p>
      <w:pPr>
        <w:jc w:val="both"/>
        <w:ind w:firstLine="469"/>
        <w:spacing w:after="0" w:line="293"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preparing the condensed consolidated financial statements, management makes estimates regarding the following:</w:t>
      </w:r>
    </w:p>
    <w:p>
      <w:pPr>
        <w:spacing w:after="0" w:line="14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adequacy of the allowance for credit losses;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measurement and realization of deferred taxes;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measurement of equity-based awards;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evaluation of goodwill and intangible assets;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fair value measurement of financial instruments;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other matters that affect the reported amounts and disclosures of contingencies in the condensed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Cash and cash equivalents includes cash and highly liquid investments with original maturities of three months or less from the date of purchase. As of September 30, 2021 and December 31, 2020, the Company had no cash equivalents. The Company maintains cash with banks and brokerage firms, which from time to time may exceed federally insured limits.</w:t>
      </w:r>
    </w:p>
    <w:p>
      <w:pPr>
        <w:spacing w:after="0" w:line="18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Restricted cash represents cash that is not readily available for general purpose cash needs. As of both September 30, 2021 and December 31, 2020, the Company had restricted cash of $1.8 million maintained as collateral for letters of credit related to the Company’s New York City and Paris office leases.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reconciliation of the Company’s cash, cash equivalents and restricted cash as of September 30, 2021 and September 30, 2020 is presented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tcBorders>
              <w:bottom w:val="single" w:sz="8" w:color="auto"/>
            </w:tcBorders>
          </w:tcPr>
          <w:p>
            <w:pPr>
              <w:spacing w:after="0"/>
              <w:rPr>
                <w:sz w:val="20"/>
                <w:szCs w:val="20"/>
                <w:color w:val="auto"/>
              </w:rPr>
            </w:pPr>
          </w:p>
        </w:tc>
      </w:tr>
      <w:tr>
        <w:trPr>
          <w:trHeight w:val="263"/>
        </w:trPr>
        <w:tc>
          <w:tcPr>
            <w:tcW w:w="7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8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415,839</w:t>
            </w:r>
          </w:p>
        </w:tc>
        <w:tc>
          <w:tcPr>
            <w:tcW w:w="6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186,225</w:t>
            </w:r>
          </w:p>
        </w:tc>
      </w:tr>
      <w:tr>
        <w:trPr>
          <w:trHeight w:val="277"/>
        </w:trPr>
        <w:tc>
          <w:tcPr>
            <w:tcW w:w="77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96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84"/>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1,835</w:t>
            </w:r>
          </w:p>
        </w:tc>
      </w:tr>
      <w:tr>
        <w:trPr>
          <w:trHeight w:val="283"/>
        </w:trPr>
        <w:tc>
          <w:tcPr>
            <w:tcW w:w="77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417,674</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188,060</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39"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September 30, 2021 and December 31, 2020, $47.9 million and $5.1 million, respectively, of accrued revenue was included in Accounts receivable, net of allowance on the Condensed Consolidated Statements of Financial Condition. Accrued revenue represents amounts due from clients and recognized as revenue in accordance with the Company’s revenue recognition policies but unbilled as of September 30, 2021 and December 31, 2020.</w:t>
      </w:r>
    </w:p>
    <w:p>
      <w:pPr>
        <w:spacing w:after="0" w:line="174" w:lineRule="exact"/>
        <w:rPr>
          <w:sz w:val="20"/>
          <w:szCs w:val="20"/>
          <w:color w:val="auto"/>
        </w:rPr>
      </w:pPr>
    </w:p>
    <w:p>
      <w:pPr>
        <w:jc w:val="both"/>
        <w:ind w:firstLine="469"/>
        <w:spacing w:after="0" w:line="275"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September 30, 2021, certain accounts receivable in the aggregate amount of $26.5 million were individually greater than 10% of the Company’s total accounts receivable and were concentrated with one client. Of that amount, all was subsequently received after September 30, 2021. As of December 31, 2020, there were no accounts receivable individually greater than 10% of the Company’s total accounts receivable.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 xml:space="preserve">On January 1, 2020, the Company adopted Accounting Standards Update (“ASU”) No. 2016-13,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under the modified retrospective approach. This new standard replaces the incurred loss impairment methodology for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with the current expected credit loss (“CECL”) model which requires an estimate of future credit losses.</w:t>
      </w:r>
    </w:p>
    <w:p>
      <w:pPr>
        <w:spacing w:after="0" w:line="183" w:lineRule="exact"/>
        <w:rPr>
          <w:sz w:val="20"/>
          <w:szCs w:val="20"/>
          <w:color w:val="auto"/>
        </w:rPr>
      </w:pPr>
    </w:p>
    <w:p>
      <w:pPr>
        <w:jc w:val="both"/>
        <w:ind w:firstLine="464"/>
        <w:spacing w:after="0" w:line="306" w:lineRule="auto"/>
        <w:rPr>
          <w:sz w:val="20"/>
          <w:szCs w:val="20"/>
          <w:color w:val="auto"/>
        </w:rPr>
      </w:pPr>
      <w:r>
        <w:rPr>
          <w:rFonts w:ascii="Arial" w:cs="Arial" w:eastAsia="Arial" w:hAnsi="Arial"/>
          <w:sz w:val="16"/>
          <w:szCs w:val="16"/>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Condensed Consolidated Statements of Operations. After concluding that a reserved accounts receivable is no longer collectible, the Company reduces both the gross receivable and the allowance for credit losses.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39"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6"/>
          <w:szCs w:val="16"/>
          <w:color w:val="auto"/>
        </w:rPr>
        <w:t xml:space="preserve">The Company’s policy is to consolidate entities in which the </w:t>
      </w:r>
      <w:r>
        <w:rPr>
          <w:rFonts w:ascii="Arial" w:cs="Arial" w:eastAsia="Arial" w:hAnsi="Arial"/>
          <w:sz w:val="16"/>
          <w:szCs w:val="16"/>
          <w:color w:val="2F2F2F"/>
        </w:rPr>
        <w:t>Company</w:t>
      </w:r>
      <w:r>
        <w:rPr>
          <w:rFonts w:ascii="Arial" w:cs="Arial" w:eastAsia="Arial" w:hAnsi="Arial"/>
          <w:sz w:val="16"/>
          <w:szCs w:val="16"/>
          <w:color w:val="auto"/>
        </w:rPr>
        <w:t xml:space="preserve">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The assets and liabilities of PWP OpCo represent substantially all of the Company's consolidated assets and liabilities with the exception of certain cash, income taxes payable, and deferred tax balances as well as all amounts due pursuant to the tax receivable agreement. As of September 30, 2021 and December 31, 2020, the net assets of PWP OpCo were $259.9 million and $74.2 million, respectively. As of September 30, 2021 and December 31, 2020, the Company did not consolidate any VIEs other than PWP OpCo that were deemed material to the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Condensed Consolidated Statements of Financial Condition. The Company reflects its share of income and losses of the investee in Other income (expense) on the Condensed Consolidated Statements of Operations using the most recently available earnings data for the reporting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239"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The majority of Prepaid expenses and other assets consists of prepaid expenses, and from time to time, deferred offering costs and receivables from carrying brokers for unsettled trades as noted below. Prepaid expenses relate to various services, including subscriptions, software licenses and insurance, which are amortized over the life, related service period or policy. Deferred offering costs are associated with the reorganization and recapitalization efforts related to the pursuit of becoming a publicly traded company. The Company initially pursued a traditional initial public offering but later terminated this process in May 2020. Upon termination, the Company expensed all previously deferred offering costs totaling $14.8 million to Professional fees on the Condensed Consolidated Statements of Operations. Later in 2020, the Company reinitiated efforts of becoming a publicly traded company via the Business Combination and deferred certain offering costs until the Closing Date. These costs were netted against proceeds of the Business Combination on the Closing Date, and as such, no deferred offering costs are included within Prepaid expenses and other assets on the Condensed Consolidated Statements of Financial Condition as of September 30, 2021. As of December 31, 2020, cumulative offering costs of $9.1 million were deferred within Prepaid expenses and other assets.</w:t>
      </w:r>
    </w:p>
    <w:p>
      <w:pPr>
        <w:spacing w:after="0" w:line="182"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Tudor, Pickering, Holt &amp; Co. Securities Canada, ULC (“TPH Canada”) executes certain client trades through a counterparty other than its carrying broker (referred to as “broker-to-broker trades”). Per the introducing broker agreement between TPH Canada and its carrying broker, TPH Canada assumes the risk of any failed obligations with respect to broker-to-broker trades and is required to reimburse the carrying broker for any loss which the carrying broker may sustain as a result of these trades. TPH Canada is deemed to be a principal with regards to broker-to-broker trades; and therefore, the value of unsettled broker-to-broker trades as of September 30, 2021 and December 31, 2020 in the amount of $12.8 million and $0.1 million, respectively, was recorded as a receivable from the carrying broker or other counterparty as well as a corresponding payable to the carrying broker or other counterparty, which were included in Prepaid expenses and other assets and Accounts payable, accrued expenses and other liabilities, respectively, on the Condensed Consolidated Statements of Financial Condition. Subsequent to September 30, 2021, these trades were settled and the related receivable and payable were derecognized.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 xml:space="preserve">The Company evaluated the public and private warrants under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concluded that they do not meet the criteria to be classified as equity in the Condensed Consolidated Statements of Financial Condition. Since the public and private warrants meet the definition of a derivative under ASC 815, the Company recorded these warrants as liabilities at fair value upon the closing of the Business Combination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with subsequent changes in their respective fair values recorded in Change in fair value of warrant liabilities on the Condensed Consolidated Statements of Operations and on the Condensed Consolidated Statements of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In connection with the Business Combination as described in Note 3 – Business Combination, PWP entered into a tax receivable agreement with PWP OpCo, Professional Partners and ILPs under which PWP agreed to payment of 85% of the amount of savings, if any, that PWP realizes in U.S. federal, state, local and foreign income taxes as a result of (i) exchanges of interests in PWP OpCo for cash or stock of the Company and certain other transactions and (ii) payments made under the tax receivable agreement. Management’s best estimate of the amounts expected to be owed in connection with the tax receivable agreement at each reporting date are reported within the Amount due pursuant to tax receivable agreement on the Condensed Consolidated Statements of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Condensed Consolidated Statements of Operations.</w:t>
      </w:r>
    </w:p>
    <w:p>
      <w:pPr>
        <w:spacing w:after="0" w:line="182"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82"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6"/>
          <w:szCs w:val="16"/>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w:t>
      </w:r>
    </w:p>
    <w:p>
      <w:pPr>
        <w:spacing w:after="0" w:line="2" w:lineRule="exact"/>
        <w:rPr>
          <w:sz w:val="20"/>
          <w:szCs w:val="20"/>
          <w:color w:val="auto"/>
        </w:rPr>
      </w:pPr>
    </w:p>
    <w:p>
      <w:pPr>
        <w:jc w:val="both"/>
        <w:ind w:firstLine="8"/>
        <w:spacing w:after="0" w:line="290" w:lineRule="auto"/>
        <w:tabs>
          <w:tab w:leader="none" w:pos="231" w:val="left"/>
        </w:tabs>
        <w:numPr>
          <w:ilvl w:val="0"/>
          <w:numId w:val="7"/>
        </w:numPr>
        <w:rPr>
          <w:rFonts w:ascii="Arial" w:cs="Arial" w:eastAsia="Arial" w:hAnsi="Arial"/>
          <w:sz w:val="17"/>
          <w:szCs w:val="17"/>
          <w:color w:val="auto"/>
        </w:rPr>
      </w:pPr>
      <w:r>
        <w:rPr>
          <w:rFonts w:ascii="Arial" w:cs="Arial" w:eastAsia="Arial" w:hAnsi="Arial"/>
          <w:sz w:val="17"/>
          <w:szCs w:val="17"/>
          <w:color w:val="auto"/>
        </w:rPr>
        <w:t>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in the Condensed Consolidated Statements of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52"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are included in Compensation and benefits on the Condensed Consolidated Statements of Operations and equity-based compensation expense for non-employees is included in Professional fees on the Condensed Consolidated Statements of Operations. Refer to Note 13 – Equity-Based Compensation for detail of amounts 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39" w:lineRule="exact"/>
        <w:rPr>
          <w:sz w:val="20"/>
          <w:szCs w:val="20"/>
          <w:color w:val="auto"/>
        </w:rPr>
      </w:pPr>
    </w:p>
    <w:p>
      <w:pPr>
        <w:jc w:val="both"/>
        <w:ind w:firstLine="464"/>
        <w:spacing w:after="0" w:line="288" w:lineRule="auto"/>
        <w:rPr>
          <w:sz w:val="20"/>
          <w:szCs w:val="20"/>
          <w:color w:val="auto"/>
        </w:rPr>
      </w:pPr>
      <w:r>
        <w:rPr>
          <w:rFonts w:ascii="Arial" w:cs="Arial" w:eastAsia="Arial" w:hAnsi="Arial"/>
          <w:sz w:val="17"/>
          <w:szCs w:val="17"/>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condensed consolidated financial statements. Non-controlling interests are presented as a separate component of equity on the Condensed Consolidated Statements of Financial Condition. Net income (loss) includes the net income (loss) attributable to the holders of the non-controlling interests on the Condensed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 – Equity-Based Compensation for further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39"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No changes to U.S. GAAP that went into effect during the nine months ended September 30, 2021 had a material effect on the Company’s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Accounting Pronouncements</w:t>
      </w:r>
    </w:p>
    <w:p>
      <w:pPr>
        <w:spacing w:after="0" w:line="23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No changes to U.S. GAAP that are not yet effective are expected to have a material effect on the Company’s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Combination</w:t>
      </w:r>
    </w:p>
    <w:p>
      <w:pPr>
        <w:spacing w:after="0" w:line="243"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231F20"/>
        </w:rPr>
        <w:t>On June 24, 2021, the Company consummated a business combination pursuant to the Business Combination Agreement dated as of December 29, 2020, by and among the Company (previously FTIV), FinTech Investor Holdings IV, LLC a Delaware limited liability company, FinTech Masala Advisors, LLC, a Delaware limited liability company,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82"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231F20"/>
        </w:rPr>
        <w:t xml:space="preserve">On December 29, 2020, concurrent with the execution of the Business Combination Agreement, </w:t>
      </w:r>
      <w:r>
        <w:rPr>
          <w:rFonts w:ascii="Arial" w:cs="Arial" w:eastAsia="Arial" w:hAnsi="Arial"/>
          <w:sz w:val="18"/>
          <w:szCs w:val="18"/>
          <w:color w:val="000000"/>
        </w:rPr>
        <w:t>FTIV</w:t>
      </w:r>
      <w:r>
        <w:rPr>
          <w:rFonts w:ascii="Arial" w:cs="Arial" w:eastAsia="Arial" w:hAnsi="Arial"/>
          <w:sz w:val="18"/>
          <w:szCs w:val="18"/>
          <w:color w:val="231F20"/>
        </w:rPr>
        <w:t xml:space="preserve">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In connection with the consummation of the Business Combination, the following occurred:</w:t>
      </w:r>
    </w:p>
    <w:p>
      <w:pPr>
        <w:spacing w:after="0" w:line="131" w:lineRule="exact"/>
        <w:rPr>
          <w:sz w:val="20"/>
          <w:szCs w:val="20"/>
          <w:color w:val="auto"/>
        </w:rPr>
      </w:pPr>
    </w:p>
    <w:p>
      <w:pPr>
        <w:jc w:val="both"/>
        <w:ind w:left="960"/>
        <w:spacing w:after="0" w:line="303" w:lineRule="auto"/>
        <w:rPr>
          <w:sz w:val="20"/>
          <w:szCs w:val="20"/>
          <w:color w:val="auto"/>
        </w:rPr>
      </w:pPr>
      <w:r>
        <w:rPr>
          <w:rFonts w:ascii="Arial" w:cs="Arial" w:eastAsia="Arial" w:hAnsi="Arial"/>
          <w:sz w:val="17"/>
          <w:szCs w:val="17"/>
          <w:color w:val="auto"/>
        </w:rPr>
        <w:t xml:space="preserve">Pursuant to the Sponsor Share Surrender and Share Restriction Agreement executed concurrently with the Business Combination Agreement among the Sponsor, FTIV, PWP OpCo and certain other parties (the </w:t>
      </w:r>
      <w:r>
        <w:rPr>
          <w:rFonts w:ascii="Arial" w:cs="Arial" w:eastAsia="Arial" w:hAnsi="Arial"/>
          <w:sz w:val="17"/>
          <w:szCs w:val="17"/>
          <w:color w:val="231F20"/>
        </w:rPr>
        <w:t>“</w:t>
      </w:r>
      <w:r>
        <w:rPr>
          <w:rFonts w:ascii="Arial" w:cs="Arial" w:eastAsia="Arial" w:hAnsi="Arial"/>
          <w:sz w:val="17"/>
          <w:szCs w:val="17"/>
          <w:color w:val="auto"/>
        </w:rPr>
        <w:t>Surrender Agreement</w:t>
      </w:r>
      <w:r>
        <w:rPr>
          <w:rFonts w:ascii="Arial" w:cs="Arial" w:eastAsia="Arial" w:hAnsi="Arial"/>
          <w:sz w:val="17"/>
          <w:szCs w:val="17"/>
          <w:color w:val="231F20"/>
        </w:rPr>
        <w:t>”</w:t>
      </w:r>
      <w:r>
        <w:rPr>
          <w:rFonts w:ascii="Arial" w:cs="Arial" w:eastAsia="Arial" w:hAnsi="Arial"/>
          <w:sz w:val="17"/>
          <w:szCs w:val="17"/>
          <w:color w:val="auto"/>
        </w:rPr>
        <w:t>), which was amended on May 4, 2021, Sponsor surrendered and forfeited to FTIV 1,023,333 shares of Class B common stock, par value $0.0001 per share, of FTIV;</w:t>
      </w:r>
    </w:p>
    <w:p>
      <w:pPr>
        <w:spacing w:after="0" w:line="56" w:lineRule="exact"/>
        <w:rPr>
          <w:sz w:val="20"/>
          <w:szCs w:val="20"/>
          <w:color w:val="auto"/>
        </w:rPr>
      </w:pPr>
    </w:p>
    <w:p>
      <w:pPr>
        <w:jc w:val="both"/>
        <w:ind w:left="960"/>
        <w:spacing w:after="0" w:line="275" w:lineRule="auto"/>
        <w:rPr>
          <w:sz w:val="20"/>
          <w:szCs w:val="20"/>
          <w:color w:val="auto"/>
        </w:rPr>
      </w:pPr>
      <w:r>
        <w:rPr>
          <w:rFonts w:ascii="Arial" w:cs="Arial" w:eastAsia="Arial" w:hAnsi="Arial"/>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77"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FTIV acquired newly-issued common units of PWP OpCo (“PWP OpCo Units</w:t>
      </w:r>
      <w:r>
        <w:rPr>
          <w:rFonts w:ascii="Arial" w:cs="Arial" w:eastAsia="Arial" w:hAnsi="Arial"/>
          <w:sz w:val="18"/>
          <w:szCs w:val="18"/>
          <w:color w:val="231F20"/>
        </w:rPr>
        <w:t>”</w:t>
      </w:r>
      <w:r>
        <w:rPr>
          <w:rFonts w:ascii="Arial" w:cs="Arial" w:eastAsia="Arial" w:hAnsi="Arial"/>
          <w:sz w:val="18"/>
          <w:szCs w:val="18"/>
          <w:color w:val="auto"/>
        </w:rPr>
        <w:t>)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75" w:lineRule="exact"/>
        <w:rPr>
          <w:sz w:val="20"/>
          <w:szCs w:val="20"/>
          <w:color w:val="auto"/>
        </w:rPr>
      </w:pPr>
    </w:p>
    <w:p>
      <w:pPr>
        <w:jc w:val="both"/>
        <w:ind w:left="960"/>
        <w:spacing w:after="0" w:line="296" w:lineRule="auto"/>
        <w:rPr>
          <w:sz w:val="20"/>
          <w:szCs w:val="20"/>
          <w:color w:val="auto"/>
        </w:rPr>
      </w:pPr>
      <w:r>
        <w:rPr>
          <w:rFonts w:ascii="Arial" w:cs="Arial" w:eastAsia="Arial" w:hAnsi="Arial"/>
          <w:sz w:val="17"/>
          <w:szCs w:val="17"/>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Professional Partners contributed the equity interests of PWP GP, the general partner of PWP OpCo, to FTIV;</w:t>
      </w:r>
    </w:p>
    <w:p>
      <w:pPr>
        <w:spacing w:after="0" w:line="131"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PWP OpCo repaid all of its indebtedness including $150.0 million of Convertible Notes and $27.7 million of the Revolving Credit Facility, both as defined in Note 10 – Debt, as well as accrued interest and applicable premium, resulting in a Loss on debt extinguishment of $39.4 million;</w:t>
      </w:r>
    </w:p>
    <w:p>
      <w:pPr>
        <w:spacing w:after="0" w:line="75"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FTIV was renamed “Perella Weinberg Partners.</w:t>
      </w:r>
      <w:r>
        <w:rPr>
          <w:rFonts w:ascii="Arial" w:cs="Arial" w:eastAsia="Arial" w:hAnsi="Arial"/>
          <w:sz w:val="18"/>
          <w:szCs w:val="18"/>
          <w:color w:val="231F20"/>
        </w:rPr>
        <w:t>”</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On the date of the Closing, the Company recorded $22.2 million in public warrant liabilities and $0.7 million in private warrant liabilities. See Note 12 – Warrants for further information. In conjunction with the Business Combination, the Company incurred approximately $2.9 million in transaction expenses, which were recorded in Professional fees on the Condensed Consolidated Statements of Operations, as well as $27.6 million of offering costs which were offset against the proceeds of the Business Combination.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At the time of the Closing, there were 42,956,667 shares of Class A common stock and 50,154,199 shares of Class B common stock outstanding. The number of shares of Class B common stock outstanding corresponds to the number of PWP OpCo Units attributable the Professional Partners and ILPs, which are exchangeable into PWP Class A common stock on a one-for-one basis and represent the non-controlling ownership interests in the Company. Class B-1 and B-2 common stock have de minimis economic rights. See Note 11 – Stockholders’ Equity for additional information.</w:t>
      </w:r>
    </w:p>
    <w:p>
      <w:pPr>
        <w:spacing w:after="0" w:line="156" w:lineRule="exact"/>
        <w:rPr>
          <w:sz w:val="20"/>
          <w:szCs w:val="20"/>
          <w:color w:val="auto"/>
        </w:rPr>
      </w:pPr>
    </w:p>
    <w:p>
      <w:pPr>
        <w:jc w:val="both"/>
        <w:ind w:firstLine="527"/>
        <w:spacing w:after="0" w:line="293" w:lineRule="auto"/>
        <w:rPr>
          <w:sz w:val="20"/>
          <w:szCs w:val="20"/>
          <w:color w:val="auto"/>
        </w:rPr>
      </w:pPr>
      <w:r>
        <w:rPr>
          <w:rFonts w:ascii="Arial" w:cs="Arial" w:eastAsia="Arial" w:hAnsi="Arial"/>
          <w:sz w:val="18"/>
          <w:szCs w:val="18"/>
          <w:color w:val="auto"/>
        </w:rPr>
        <w:t>Concurrent with the Closing, the Company entered into certain other related agreements which are discussed further in Note 11 – Stockholders’ Equity and Note 17 –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 and Receivables from Contracts with Customers</w:t>
      </w:r>
    </w:p>
    <w:p>
      <w:pPr>
        <w:spacing w:after="0" w:line="24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19"/>
                <w:szCs w:val="19"/>
                <w:color w:val="auto"/>
              </w:rPr>
            </w:pPr>
          </w:p>
        </w:tc>
        <w:tc>
          <w:tcPr>
            <w:tcW w:w="270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Three Months Ended September</w:t>
            </w:r>
          </w:p>
        </w:tc>
        <w:tc>
          <w:tcPr>
            <w:tcW w:w="120" w:type="dxa"/>
            <w:vAlign w:val="bottom"/>
          </w:tcPr>
          <w:p>
            <w:pPr>
              <w:spacing w:after="0"/>
              <w:rPr>
                <w:sz w:val="19"/>
                <w:szCs w:val="19"/>
                <w:color w:val="auto"/>
              </w:rPr>
            </w:pPr>
          </w:p>
        </w:tc>
        <w:tc>
          <w:tcPr>
            <w:tcW w:w="2640" w:type="dxa"/>
            <w:vAlign w:val="bottom"/>
            <w:gridSpan w:val="6"/>
          </w:tcPr>
          <w:p>
            <w:pPr>
              <w:ind w:left="40"/>
              <w:spacing w:after="0"/>
              <w:rPr>
                <w:sz w:val="20"/>
                <w:szCs w:val="20"/>
                <w:color w:val="auto"/>
              </w:rPr>
            </w:pPr>
            <w:r>
              <w:rPr>
                <w:rFonts w:ascii="Arial" w:cs="Arial" w:eastAsia="Arial" w:hAnsi="Arial"/>
                <w:sz w:val="18"/>
                <w:szCs w:val="18"/>
                <w:b w:val="1"/>
                <w:bCs w:val="1"/>
                <w:color w:val="auto"/>
                <w:w w:val="96"/>
              </w:rPr>
              <w:t>Nine Months Ended September</w:t>
            </w:r>
          </w:p>
        </w:tc>
      </w:tr>
      <w:tr>
        <w:trPr>
          <w:trHeight w:val="241"/>
        </w:trPr>
        <w:tc>
          <w:tcPr>
            <w:tcW w:w="5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30,</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77"/>
        </w:trPr>
        <w:tc>
          <w:tcPr>
            <w:tcW w:w="5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8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Over time</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167,981</w:t>
            </w:r>
          </w:p>
        </w:tc>
        <w:tc>
          <w:tcPr>
            <w:tcW w:w="50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113,246</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562,286</w:t>
            </w:r>
          </w:p>
        </w:tc>
        <w:tc>
          <w:tcPr>
            <w:tcW w:w="50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314,060</w:t>
            </w:r>
          </w:p>
        </w:tc>
      </w:tr>
      <w:tr>
        <w:trPr>
          <w:trHeight w:val="283"/>
        </w:trPr>
        <w:tc>
          <w:tcPr>
            <w:tcW w:w="5780" w:type="dxa"/>
            <w:vAlign w:val="bottom"/>
          </w:tcPr>
          <w:p>
            <w:pPr>
              <w:ind w:left="20"/>
              <w:spacing w:after="0"/>
              <w:rPr>
                <w:sz w:val="20"/>
                <w:szCs w:val="20"/>
                <w:color w:val="auto"/>
              </w:rPr>
            </w:pPr>
            <w:r>
              <w:rPr>
                <w:rFonts w:ascii="Arial" w:cs="Arial" w:eastAsia="Arial" w:hAnsi="Arial"/>
                <w:sz w:val="18"/>
                <w:szCs w:val="18"/>
                <w:color w:val="auto"/>
              </w:rPr>
              <w:t>Point in time</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9,446</w:t>
            </w: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9,598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40,463</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15,781</w:t>
            </w:r>
          </w:p>
        </w:tc>
      </w:tr>
      <w:tr>
        <w:trPr>
          <w:trHeight w:val="317"/>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177,427</w:t>
            </w:r>
          </w:p>
        </w:tc>
        <w:tc>
          <w:tcPr>
            <w:tcW w:w="1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122,844</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602,749</w:t>
            </w: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329,841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-24765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5"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Condensed Consolidated Statements of Operations. Reimbursable expenses billed to clients was $1.2 million and $4.0 million for the three and nine months ended September 30, 2021, respectively, and $0.6 million and $3.5 million for the three and nine months ended September 30, 2020,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Advisory Services</w:t>
      </w:r>
    </w:p>
    <w:p>
      <w:pPr>
        <w:spacing w:after="0" w:line="239"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82"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91"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60" w:lineRule="exact"/>
        <w:rPr>
          <w:sz w:val="20"/>
          <w:szCs w:val="20"/>
          <w:color w:val="auto"/>
        </w:rPr>
      </w:pPr>
    </w:p>
    <w:p>
      <w:pPr>
        <w:jc w:val="both"/>
        <w:ind w:firstLine="464"/>
        <w:spacing w:after="0" w:line="324"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Opinion Services</w:t>
      </w:r>
    </w:p>
    <w:p>
      <w:pPr>
        <w:spacing w:after="0" w:line="239"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6"/>
          <w:szCs w:val="16"/>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Trading Services</w:t>
      </w:r>
    </w:p>
    <w:p>
      <w:pPr>
        <w:spacing w:after="0" w:line="239"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two ways – either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82"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Services</w:t>
      </w:r>
    </w:p>
    <w:p>
      <w:pPr>
        <w:spacing w:after="0" w:line="239" w:lineRule="exact"/>
        <w:rPr>
          <w:sz w:val="20"/>
          <w:szCs w:val="20"/>
          <w:color w:val="auto"/>
        </w:rPr>
      </w:pPr>
    </w:p>
    <w:p>
      <w:pPr>
        <w:jc w:val="both"/>
        <w:ind w:firstLine="464"/>
        <w:spacing w:after="0" w:line="288"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81"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Such amounts are adjusted to reflect actual expenses in the period in which the Company receives the final settlement, typically within 90 days following the closing of the transaction.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Revenue Recognized from Past Performance</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As of September 30, 2021, the aggregate amount of the transaction price allocated to performance obligations yet to be satisfied is $7.0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8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The Company recognized revenue of $53.5 million and $309.0 million during the three and nine months ended September 30, 2021, respectively, and $39.3 million and $147.5 million during the three and nine months ended September 30, 2020, respectively, related to performance obligations that were satisfied or partially satisfied in prior periods, mainly due to constraints on variable consideration in prior periods being resolved for transaction-related advisory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70"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September 30, 2021 and December 31, 2020, the Company recorded $5.9 million and $10.6 million, respectively, for these contract liabilities which are presented as Deferred revenue on the Condensed Consolidated Statements of Financial Condition. For the nine months ended September 30, 2021 and 2020, $9.6 million and $1.6 million, respectively, of the respective beginning deferred revenue balance was recognized as revenue and was primarily related to transaction-related advisory services performance obligations that are recognized over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allowance for credit losses activity for the three and nine months ended September 30, 2021 and 2020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Pr>
          <w:p>
            <w:pPr>
              <w:spacing w:after="0"/>
              <w:rPr>
                <w:sz w:val="19"/>
                <w:szCs w:val="19"/>
                <w:color w:val="auto"/>
              </w:rPr>
            </w:pPr>
          </w:p>
        </w:tc>
        <w:tc>
          <w:tcPr>
            <w:tcW w:w="274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Three Months Ended September</w:t>
            </w:r>
          </w:p>
        </w:tc>
        <w:tc>
          <w:tcPr>
            <w:tcW w:w="120" w:type="dxa"/>
            <w:vAlign w:val="bottom"/>
          </w:tcPr>
          <w:p>
            <w:pPr>
              <w:spacing w:after="0"/>
              <w:rPr>
                <w:sz w:val="19"/>
                <w:szCs w:val="19"/>
                <w:color w:val="auto"/>
              </w:rPr>
            </w:pPr>
          </w:p>
        </w:tc>
        <w:tc>
          <w:tcPr>
            <w:tcW w:w="266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41"/>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77"/>
        </w:trPr>
        <w:tc>
          <w:tcPr>
            <w:tcW w:w="5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83"/>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 (1)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1,104</w:t>
            </w:r>
          </w:p>
        </w:tc>
        <w:tc>
          <w:tcPr>
            <w:tcW w:w="14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1,087</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1,045</w:t>
            </w: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1,923</w:t>
            </w:r>
          </w:p>
        </w:tc>
      </w:tr>
      <w:tr>
        <w:trPr>
          <w:trHeight w:val="277"/>
        </w:trPr>
        <w:tc>
          <w:tcPr>
            <w:tcW w:w="572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2,853</w:t>
            </w:r>
          </w:p>
        </w:tc>
      </w:tr>
      <w:tr>
        <w:trPr>
          <w:trHeight w:val="29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(596 )</w:t>
            </w:r>
          </w:p>
        </w:tc>
      </w:tr>
      <w:tr>
        <w:trPr>
          <w:trHeight w:val="277"/>
        </w:trPr>
        <w:tc>
          <w:tcPr>
            <w:tcW w:w="572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26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197</w:t>
            </w:r>
          </w:p>
        </w:tc>
      </w:tr>
      <w:tr>
        <w:trPr>
          <w:trHeight w:val="290"/>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26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(50 )</w:t>
            </w:r>
          </w:p>
        </w:tc>
      </w:tr>
      <w:tr>
        <w:trPr>
          <w:trHeight w:val="277"/>
        </w:trPr>
        <w:tc>
          <w:tcPr>
            <w:tcW w:w="57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2,001</w:t>
            </w:r>
          </w:p>
        </w:tc>
        <w:tc>
          <w:tcPr>
            <w:tcW w:w="1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4,327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2,001</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4,327</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-210820</wp:posOffset>
            </wp:positionV>
            <wp:extent cx="8572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-210820</wp:posOffset>
            </wp:positionV>
            <wp:extent cx="7747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-210820</wp:posOffset>
            </wp:positionV>
            <wp:extent cx="7683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87" w:lineRule="exact"/>
        <w:rPr>
          <w:sz w:val="20"/>
          <w:szCs w:val="20"/>
          <w:color w:val="auto"/>
        </w:rPr>
      </w:pPr>
    </w:p>
    <w:p>
      <w:pPr>
        <w:ind w:left="340" w:right="20" w:hanging="332"/>
        <w:spacing w:after="0" w:line="29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Beginning balance for the nine months ended September 30, 2020 includes the cumulative adjustment of $0.2 million, which reflects the increase in the Company’s allowance for credit losses upon adoption of ASU 2016-13 and the CECL model on January 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43" w:lineRule="exact"/>
        <w:rPr>
          <w:sz w:val="20"/>
          <w:szCs w:val="20"/>
          <w:color w:val="auto"/>
        </w:rPr>
      </w:pPr>
    </w:p>
    <w:p>
      <w:pPr>
        <w:jc w:val="both"/>
        <w:ind w:firstLine="464"/>
        <w:spacing w:after="0" w:line="306" w:lineRule="auto"/>
        <w:rPr>
          <w:sz w:val="20"/>
          <w:szCs w:val="20"/>
          <w:color w:val="auto"/>
        </w:rPr>
      </w:pPr>
      <w:r>
        <w:rPr>
          <w:rFonts w:ascii="Arial" w:cs="Arial" w:eastAsia="Arial" w:hAnsi="Arial"/>
          <w:sz w:val="16"/>
          <w:szCs w:val="16"/>
          <w:color w:val="auto"/>
        </w:rPr>
        <w:t>The Company leases office space and certain office equipment under operating lease agreements. The Company determines if an arrangement or contract is a lease at inception and does not separate lease and non-lease components of the contract. The Company records the present value of its commitments for leases with terms of more than one year on the Condensed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65"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6"/>
          <w:szCs w:val="16"/>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Condensed Consolidated Statements of Financial Condition.</w:t>
      </w:r>
    </w:p>
    <w:p>
      <w:pPr>
        <w:spacing w:after="0" w:line="163"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In conjunction with the Separation, the Company entered into sublease agreements for portions of its Houston and New York office spaces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income is recognized on a straight-line basis over the term of the lease. The Company elected the practical expedient not to separate lease components and non-lease components for these subleases. See additional information regarding these subleases in Note 17 – Related Party Transactions.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7"/>
          <w:szCs w:val="17"/>
          <w:color w:val="auto"/>
        </w:rPr>
        <w:t>In May 2021, the Company extended the term of its New York office lease by five months, which resulted in an increase to Lease liabilities and a corresponding increase to Right-of-use lease assets of $5.1 million. On July 26, 2021, the Company executed a lease amendment to vacate a portion of its Houston office space, which resulted in a $1.9 million decrease to Right-of-use lease assets, a $2.4 million decrease to Lease liabilities and a $0.5 million gain recorded in Other income (expense) in the Condensed Consolidated Statements of Operations. The Houston sublease agreement with the Asset Management business was terminated in conjunction with this lease amendment.</w:t>
      </w:r>
    </w:p>
    <w:p>
      <w:pPr>
        <w:spacing w:after="0" w:line="174"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On August 3, 2021, the Company executed a lease amendment to expand the leased space in its Paris office, which resulted in an increase to Lease liabilities and a corresponding increase to Right-of-use lease assets of $0.5 million.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8"/>
          </w:tcPr>
          <w:p>
            <w:pPr>
              <w:jc w:val="center"/>
              <w:ind w:right="480"/>
              <w:spacing w:after="0"/>
              <w:rPr>
                <w:sz w:val="20"/>
                <w:szCs w:val="20"/>
                <w:color w:val="auto"/>
              </w:rPr>
            </w:pPr>
            <w:r>
              <w:rPr>
                <w:rFonts w:ascii="Arial" w:cs="Arial" w:eastAsia="Arial" w:hAnsi="Arial"/>
                <w:sz w:val="18"/>
                <w:szCs w:val="18"/>
                <w:b w:val="1"/>
                <w:bCs w:val="1"/>
                <w:color w:val="auto"/>
                <w:w w:val="90"/>
              </w:rPr>
              <w:t>September 30, 2021</w:t>
            </w:r>
          </w:p>
        </w:tc>
        <w:tc>
          <w:tcPr>
            <w:tcW w:w="140" w:type="dxa"/>
            <w:vAlign w:val="bottom"/>
          </w:tcPr>
          <w:p>
            <w:pPr>
              <w:spacing w:after="0"/>
              <w:rPr>
                <w:sz w:val="20"/>
                <w:szCs w:val="20"/>
                <w:color w:val="auto"/>
              </w:rPr>
            </w:pPr>
          </w:p>
        </w:tc>
        <w:tc>
          <w:tcPr>
            <w:tcW w:w="18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2020</w:t>
            </w:r>
          </w:p>
        </w:tc>
      </w:tr>
      <w:tr>
        <w:trPr>
          <w:trHeight w:val="257"/>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640" w:type="dxa"/>
            <w:vAlign w:val="bottom"/>
            <w:tcBorders>
              <w:top w:val="single" w:sz="8" w:color="auto"/>
            </w:tcBorders>
            <w:shd w:val="clear" w:color="auto" w:fill="CFF0FC"/>
          </w:tcPr>
          <w:p>
            <w:pPr>
              <w:spacing w:after="0"/>
              <w:rPr>
                <w:sz w:val="22"/>
                <w:szCs w:val="22"/>
                <w:color w:val="auto"/>
              </w:rPr>
            </w:pPr>
          </w:p>
        </w:tc>
        <w:tc>
          <w:tcPr>
            <w:tcW w:w="820" w:type="dxa"/>
            <w:vAlign w:val="bottom"/>
            <w:tcBorders>
              <w:top w:val="single" w:sz="8" w:color="auto"/>
            </w:tcBorders>
            <w:gridSpan w:val="3"/>
            <w:shd w:val="clear" w:color="auto" w:fill="CFF0FC"/>
          </w:tcPr>
          <w:p>
            <w:pPr>
              <w:jc w:val="center"/>
              <w:ind w:left="90"/>
              <w:spacing w:after="0"/>
              <w:rPr>
                <w:sz w:val="20"/>
                <w:szCs w:val="20"/>
                <w:color w:val="auto"/>
              </w:rPr>
            </w:pPr>
            <w:r>
              <w:rPr>
                <w:rFonts w:ascii="Arial" w:cs="Arial" w:eastAsia="Arial" w:hAnsi="Arial"/>
                <w:sz w:val="18"/>
                <w:szCs w:val="18"/>
                <w:color w:val="auto"/>
                <w:w w:val="93"/>
              </w:rPr>
              <w:t>2.46%</w:t>
            </w:r>
          </w:p>
        </w:tc>
        <w:tc>
          <w:tcPr>
            <w:tcW w:w="180" w:type="dxa"/>
            <w:vAlign w:val="bottom"/>
            <w:tcBorders>
              <w:top w:val="single" w:sz="8" w:color="auto"/>
            </w:tcBorders>
            <w:shd w:val="clear" w:color="auto" w:fill="CFF0FC"/>
          </w:tcPr>
          <w:p>
            <w:pPr>
              <w:spacing w:after="0"/>
              <w:rPr>
                <w:sz w:val="22"/>
                <w:szCs w:val="22"/>
                <w:color w:val="auto"/>
              </w:rPr>
            </w:pPr>
          </w:p>
        </w:tc>
        <w:tc>
          <w:tcPr>
            <w:tcW w:w="6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gridSpan w:val="2"/>
            <w:shd w:val="clear" w:color="auto" w:fill="CFF0FC"/>
          </w:tcPr>
          <w:p>
            <w:pPr>
              <w:ind w:left="360"/>
              <w:spacing w:after="0"/>
              <w:rPr>
                <w:sz w:val="20"/>
                <w:szCs w:val="20"/>
                <w:color w:val="auto"/>
              </w:rPr>
            </w:pPr>
            <w:r>
              <w:rPr>
                <w:rFonts w:ascii="Arial" w:cs="Arial" w:eastAsia="Arial" w:hAnsi="Arial"/>
                <w:sz w:val="18"/>
                <w:szCs w:val="18"/>
                <w:color w:val="auto"/>
              </w:rPr>
              <w:t>4.07%</w:t>
            </w:r>
          </w:p>
        </w:tc>
        <w:tc>
          <w:tcPr>
            <w:tcW w:w="620" w:type="dxa"/>
            <w:vAlign w:val="bottom"/>
            <w:tcBorders>
              <w:top w:val="single" w:sz="8" w:color="auto"/>
            </w:tcBorders>
            <w:shd w:val="clear" w:color="auto" w:fill="CFF0FC"/>
          </w:tcPr>
          <w:p>
            <w:pPr>
              <w:spacing w:after="0"/>
              <w:rPr>
                <w:sz w:val="22"/>
                <w:szCs w:val="22"/>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w w:val="92"/>
              </w:rPr>
              <w:t>Weighted-average remaining lease term - operating leases</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87"/>
              </w:rPr>
              <w:t>3.42 years</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3.99 years</w:t>
            </w:r>
          </w:p>
        </w:tc>
        <w:tc>
          <w:tcPr>
            <w:tcW w:w="620" w:type="dxa"/>
            <w:vAlign w:val="bottom"/>
          </w:tcPr>
          <w:p>
            <w:pPr>
              <w:spacing w:after="0"/>
              <w:rPr>
                <w:sz w:val="21"/>
                <w:szCs w:val="21"/>
                <w:color w:val="auto"/>
              </w:rPr>
            </w:pPr>
          </w:p>
        </w:tc>
      </w:tr>
      <w:tr>
        <w:trPr>
          <w:trHeight w:val="533"/>
        </w:trPr>
        <w:tc>
          <w:tcPr>
            <w:tcW w:w="4360" w:type="dxa"/>
            <w:vAlign w:val="bottom"/>
          </w:tcPr>
          <w:p>
            <w:pPr>
              <w:spacing w:after="0"/>
              <w:rPr>
                <w:sz w:val="24"/>
                <w:szCs w:val="24"/>
                <w:color w:val="auto"/>
              </w:rPr>
            </w:pPr>
          </w:p>
        </w:tc>
        <w:tc>
          <w:tcPr>
            <w:tcW w:w="3560" w:type="dxa"/>
            <w:vAlign w:val="bottom"/>
            <w:gridSpan w:val="9"/>
          </w:tcPr>
          <w:p>
            <w:pPr>
              <w:ind w:left="26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4"/>
                <w:szCs w:val="24"/>
                <w:color w:val="auto"/>
              </w:rPr>
            </w:pPr>
          </w:p>
        </w:tc>
        <w:tc>
          <w:tcPr>
            <w:tcW w:w="3140" w:type="dxa"/>
            <w:vAlign w:val="bottom"/>
            <w:gridSpan w:val="8"/>
          </w:tcPr>
          <w:p>
            <w:pPr>
              <w:jc w:val="right"/>
              <w:ind w:right="29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50"/>
        </w:trPr>
        <w:tc>
          <w:tcPr>
            <w:tcW w:w="4360" w:type="dxa"/>
            <w:vAlign w:val="bottom"/>
          </w:tcPr>
          <w:p>
            <w:pPr>
              <w:spacing w:after="0"/>
              <w:rPr>
                <w:sz w:val="21"/>
                <w:szCs w:val="21"/>
                <w:color w:val="auto"/>
              </w:rPr>
            </w:pPr>
          </w:p>
        </w:tc>
        <w:tc>
          <w:tcPr>
            <w:tcW w:w="10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21"/>
                <w:szCs w:val="21"/>
                <w:color w:val="auto"/>
              </w:rPr>
            </w:pPr>
          </w:p>
        </w:tc>
      </w:tr>
      <w:tr>
        <w:trPr>
          <w:trHeight w:val="256"/>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84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4,736</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4,914</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5"/>
            <w:shd w:val="clear" w:color="auto" w:fill="CFF0FC"/>
          </w:tcPr>
          <w:p>
            <w:pPr>
              <w:jc w:val="right"/>
              <w:ind w:right="30"/>
              <w:spacing w:after="0"/>
              <w:rPr>
                <w:sz w:val="20"/>
                <w:szCs w:val="20"/>
                <w:color w:val="auto"/>
              </w:rPr>
            </w:pPr>
            <w:r>
              <w:rPr>
                <w:rFonts w:ascii="Arial" w:cs="Arial" w:eastAsia="Arial" w:hAnsi="Arial"/>
                <w:sz w:val="18"/>
                <w:szCs w:val="18"/>
                <w:color w:val="auto"/>
              </w:rPr>
              <w:t>14,425</w:t>
            </w:r>
          </w:p>
        </w:tc>
        <w:tc>
          <w:tcPr>
            <w:tcW w:w="11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14,568</w:t>
            </w: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1,370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1,427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5"/>
          </w:tcPr>
          <w:p>
            <w:pPr>
              <w:jc w:val="right"/>
              <w:ind w:right="30"/>
              <w:spacing w:after="0"/>
              <w:rPr>
                <w:sz w:val="20"/>
                <w:szCs w:val="20"/>
                <w:color w:val="auto"/>
              </w:rPr>
            </w:pPr>
            <w:r>
              <w:rPr>
                <w:rFonts w:ascii="Arial" w:cs="Arial" w:eastAsia="Arial" w:hAnsi="Arial"/>
                <w:sz w:val="18"/>
                <w:szCs w:val="18"/>
                <w:color w:val="auto"/>
              </w:rPr>
              <w:t>3,753</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4,463</w:t>
            </w:r>
          </w:p>
        </w:tc>
      </w:tr>
      <w:tr>
        <w:trPr>
          <w:trHeight w:val="257"/>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Sublease income - operating leases</w:t>
            </w:r>
          </w:p>
        </w:tc>
        <w:tc>
          <w:tcPr>
            <w:tcW w:w="84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(753 )</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(996 )</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(2,366 )</w:t>
            </w:r>
          </w:p>
        </w:tc>
        <w:tc>
          <w:tcPr>
            <w:tcW w:w="1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(2,947 )</w:t>
            </w: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5,353</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5,345</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color w:val="auto"/>
              </w:rPr>
              <w:t>15,812</w:t>
            </w:r>
          </w:p>
        </w:tc>
        <w:tc>
          <w:tcPr>
            <w:tcW w:w="14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16,084</w:t>
            </w:r>
          </w:p>
        </w:tc>
      </w:tr>
      <w:tr>
        <w:trPr>
          <w:trHeight w:val="20"/>
        </w:trPr>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44"/>
        </w:trPr>
        <w:tc>
          <w:tcPr>
            <w:tcW w:w="4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4"/>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5"/>
          </w:tcPr>
          <w:p>
            <w:pPr>
              <w:jc w:val="right"/>
              <w:ind w:right="30"/>
              <w:spacing w:after="0"/>
              <w:rPr>
                <w:sz w:val="20"/>
                <w:szCs w:val="20"/>
                <w:color w:val="auto"/>
              </w:rPr>
            </w:pPr>
            <w:r>
              <w:rPr>
                <w:rFonts w:ascii="Arial" w:cs="Arial" w:eastAsia="Arial" w:hAnsi="Arial"/>
                <w:sz w:val="18"/>
                <w:szCs w:val="18"/>
                <w:color w:val="auto"/>
              </w:rPr>
              <w:t>15,100</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16,250</w:t>
            </w:r>
          </w:p>
        </w:tc>
      </w:tr>
      <w:tr>
        <w:trPr>
          <w:trHeight w:val="459"/>
        </w:trPr>
        <w:tc>
          <w:tcPr>
            <w:tcW w:w="9220" w:type="dxa"/>
            <w:vAlign w:val="bottom"/>
            <w:gridSpan w:val="14"/>
          </w:tcPr>
          <w:p>
            <w:pPr>
              <w:ind w:left="480"/>
              <w:spacing w:after="0"/>
              <w:rPr>
                <w:sz w:val="20"/>
                <w:szCs w:val="20"/>
                <w:color w:val="auto"/>
              </w:rPr>
            </w:pPr>
            <w:r>
              <w:rPr>
                <w:rFonts w:ascii="Arial" w:cs="Arial" w:eastAsia="Arial" w:hAnsi="Arial"/>
                <w:sz w:val="18"/>
                <w:szCs w:val="18"/>
                <w:color w:val="auto"/>
                <w:w w:val="95"/>
              </w:rPr>
              <w:t>As of September 30, 2021, the maturities of undiscounted operating lease liabilities of the Company are as follows: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68"/>
        </w:trPr>
        <w:tc>
          <w:tcPr>
            <w:tcW w:w="4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Minimum</w:t>
            </w:r>
          </w:p>
        </w:tc>
      </w:tr>
      <w:tr>
        <w:trPr>
          <w:trHeight w:val="248"/>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Years Ending:</w:t>
            </w:r>
          </w:p>
        </w:tc>
        <w:tc>
          <w:tcPr>
            <w:tcW w:w="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1"/>
              </w:rPr>
              <w:t>Operating Leases</w:t>
            </w:r>
          </w:p>
        </w:tc>
        <w:tc>
          <w:tcPr>
            <w:tcW w:w="220" w:type="dxa"/>
            <w:vAlign w:val="bottom"/>
          </w:tcPr>
          <w:p>
            <w:pPr>
              <w:spacing w:after="0"/>
              <w:rPr>
                <w:sz w:val="21"/>
                <w:szCs w:val="21"/>
                <w:color w:val="auto"/>
              </w:rPr>
            </w:pPr>
          </w:p>
        </w:tc>
        <w:tc>
          <w:tcPr>
            <w:tcW w:w="19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b w:val="1"/>
                <w:bCs w:val="1"/>
                <w:color w:val="auto"/>
              </w:rPr>
              <w:t>Sublease Income</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84"/>
              </w:rPr>
              <w:t>Payments</w:t>
            </w:r>
          </w:p>
        </w:tc>
        <w:tc>
          <w:tcPr>
            <w:tcW w:w="620" w:type="dxa"/>
            <w:vAlign w:val="bottom"/>
            <w:tcBorders>
              <w:bottom w:val="single" w:sz="8" w:color="auto"/>
            </w:tcBorders>
          </w:tcPr>
          <w:p>
            <w:pPr>
              <w:spacing w:after="0"/>
              <w:rPr>
                <w:sz w:val="21"/>
                <w:szCs w:val="2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4,774</w:t>
            </w:r>
          </w:p>
        </w:tc>
        <w:tc>
          <w:tcPr>
            <w:tcW w:w="6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582</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4,192</w:t>
            </w: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19,086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18,892</w:t>
            </w:r>
          </w:p>
        </w:tc>
      </w:tr>
      <w:tr>
        <w:trPr>
          <w:trHeight w:val="26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13,641</w:t>
            </w:r>
          </w:p>
        </w:tc>
        <w:tc>
          <w:tcPr>
            <w:tcW w:w="2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13,641</w:t>
            </w: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4,380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4,380</w:t>
            </w:r>
          </w:p>
        </w:tc>
      </w:tr>
      <w:tr>
        <w:trPr>
          <w:trHeight w:val="26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2,871</w:t>
            </w:r>
          </w:p>
        </w:tc>
        <w:tc>
          <w:tcPr>
            <w:tcW w:w="2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2,871</w:t>
            </w: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5,015</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5,015</w:t>
            </w:r>
          </w:p>
        </w:tc>
      </w:tr>
      <w:tr>
        <w:trPr>
          <w:trHeight w:val="297"/>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8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49,767</w:t>
            </w:r>
          </w:p>
        </w:tc>
        <w:tc>
          <w:tcPr>
            <w:tcW w:w="6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776</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48,991</w:t>
            </w:r>
          </w:p>
        </w:tc>
      </w:tr>
      <w:tr>
        <w:trPr>
          <w:trHeight w:val="230"/>
        </w:trPr>
        <w:tc>
          <w:tcPr>
            <w:tcW w:w="43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Less: Imputed Interest</w:t>
            </w:r>
          </w:p>
        </w:tc>
        <w:tc>
          <w:tcPr>
            <w:tcW w:w="840" w:type="dxa"/>
            <w:vAlign w:val="bottom"/>
            <w:tcBorders>
              <w:top w:val="single" w:sz="8" w:color="CFF0FC"/>
            </w:tcBorders>
          </w:tcPr>
          <w:p>
            <w:pPr>
              <w:spacing w:after="0"/>
              <w:rPr>
                <w:sz w:val="20"/>
                <w:szCs w:val="20"/>
                <w:color w:val="auto"/>
              </w:rPr>
            </w:pPr>
          </w:p>
        </w:tc>
        <w:tc>
          <w:tcPr>
            <w:tcW w:w="160" w:type="dxa"/>
            <w:vAlign w:val="bottom"/>
            <w:tcBorders>
              <w:top w:val="single" w:sz="8" w:color="CFF0FC"/>
              <w:bottom w:val="single" w:sz="8" w:color="auto"/>
            </w:tcBorders>
          </w:tcPr>
          <w:p>
            <w:pPr>
              <w:spacing w:after="0"/>
              <w:rPr>
                <w:sz w:val="20"/>
                <w:szCs w:val="20"/>
                <w:color w:val="auto"/>
              </w:rPr>
            </w:pPr>
          </w:p>
        </w:tc>
        <w:tc>
          <w:tcPr>
            <w:tcW w:w="620" w:type="dxa"/>
            <w:vAlign w:val="bottom"/>
            <w:tcBorders>
              <w:top w:val="single" w:sz="8" w:color="CFF0FC"/>
              <w:bottom w:val="single" w:sz="8" w:color="auto"/>
            </w:tcBorders>
          </w:tcPr>
          <w:p>
            <w:pPr>
              <w:spacing w:after="0"/>
              <w:rPr>
                <w:sz w:val="20"/>
                <w:szCs w:val="20"/>
                <w:color w:val="auto"/>
              </w:rPr>
            </w:pPr>
          </w:p>
        </w:tc>
        <w:tc>
          <w:tcPr>
            <w:tcW w:w="1120" w:type="dxa"/>
            <w:vAlign w:val="bottom"/>
            <w:tcBorders>
              <w:top w:val="single" w:sz="8" w:color="CFF0FC"/>
              <w:bottom w:val="single" w:sz="8" w:color="auto"/>
            </w:tcBorders>
            <w:gridSpan w:val="3"/>
          </w:tcPr>
          <w:p>
            <w:pPr>
              <w:jc w:val="right"/>
              <w:spacing w:after="0"/>
              <w:rPr>
                <w:sz w:val="20"/>
                <w:szCs w:val="20"/>
                <w:color w:val="auto"/>
              </w:rPr>
            </w:pPr>
            <w:r>
              <w:rPr>
                <w:rFonts w:ascii="Arial" w:cs="Arial" w:eastAsia="Arial" w:hAnsi="Arial"/>
                <w:sz w:val="18"/>
                <w:szCs w:val="18"/>
                <w:color w:val="auto"/>
              </w:rPr>
              <w:t>(1,879 )</w:t>
            </w:r>
          </w:p>
        </w:tc>
        <w:tc>
          <w:tcPr>
            <w:tcW w:w="22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29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24"/>
                <w:szCs w:val="24"/>
                <w:color w:val="auto"/>
              </w:rPr>
            </w:pP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47,888</w:t>
            </w:r>
          </w:p>
        </w:tc>
        <w:tc>
          <w:tcPr>
            <w:tcW w:w="22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r>
      <w:tr>
        <w:trPr>
          <w:trHeight w:val="662"/>
        </w:trPr>
        <w:tc>
          <w:tcPr>
            <w:tcW w:w="4360" w:type="dxa"/>
            <w:vAlign w:val="bottom"/>
            <w:tcBorders>
              <w:top w:val="single" w:sz="8" w:color="CFF0FC"/>
            </w:tcBorders>
          </w:tcPr>
          <w:p>
            <w:pPr>
              <w:spacing w:after="0"/>
              <w:rPr>
                <w:sz w:val="24"/>
                <w:szCs w:val="24"/>
                <w:color w:val="auto"/>
              </w:rPr>
            </w:pPr>
          </w:p>
        </w:tc>
        <w:tc>
          <w:tcPr>
            <w:tcW w:w="8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-3314065</wp:posOffset>
            </wp:positionV>
            <wp:extent cx="10287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-3314065</wp:posOffset>
            </wp:positionV>
            <wp:extent cx="939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-3314065</wp:posOffset>
            </wp:positionV>
            <wp:extent cx="939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-899160</wp:posOffset>
            </wp:positionV>
            <wp:extent cx="946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-882015</wp:posOffset>
            </wp:positionV>
            <wp:extent cx="946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-539115</wp:posOffset>
            </wp:positionV>
            <wp:extent cx="1289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-522605</wp:posOffset>
            </wp:positionV>
            <wp:extent cx="1289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243" w:lineRule="exact"/>
        <w:rPr>
          <w:sz w:val="20"/>
          <w:szCs w:val="20"/>
          <w:color w:val="auto"/>
        </w:rPr>
      </w:pPr>
    </w:p>
    <w:p>
      <w:pPr>
        <w:jc w:val="both"/>
        <w:ind w:right="20" w:firstLine="464"/>
        <w:spacing w:after="0" w:line="293" w:lineRule="auto"/>
        <w:rPr>
          <w:sz w:val="20"/>
          <w:szCs w:val="20"/>
          <w:color w:val="auto"/>
        </w:rPr>
      </w:pPr>
      <w:r>
        <w:rPr>
          <w:rFonts w:ascii="Arial" w:cs="Arial" w:eastAsia="Arial" w:hAnsi="Arial"/>
          <w:sz w:val="18"/>
          <w:szCs w:val="18"/>
          <w:color w:val="auto"/>
        </w:rPr>
        <w:t>The intangible assets were recognized at their estimated fair values, which was based on certain projected future revenues and involved the use of significant judgment. Below is the detail of the intangible assets acquired: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 2021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38"/>
        </w:trPr>
        <w:tc>
          <w:tcPr>
            <w:tcW w:w="6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b w:val="1"/>
                <w:bCs w:val="1"/>
                <w:color w:val="auto"/>
                <w:w w:val="96"/>
              </w:rPr>
              <w:t>Net</w:t>
            </w:r>
          </w:p>
        </w:tc>
      </w:tr>
      <w:tr>
        <w:trPr>
          <w:trHeight w:val="230"/>
        </w:trPr>
        <w:tc>
          <w:tcPr>
            <w:tcW w:w="6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b w:val="1"/>
                <w:bCs w:val="1"/>
                <w:color w:val="auto"/>
                <w:w w:val="97"/>
              </w:rPr>
              <w:t>Carrying</w:t>
            </w:r>
          </w:p>
        </w:tc>
      </w:tr>
      <w:tr>
        <w:trPr>
          <w:trHeight w:val="241"/>
        </w:trPr>
        <w:tc>
          <w:tcPr>
            <w:tcW w:w="6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Gross Amount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4"/>
              </w:rPr>
              <w:t>Amount</w:t>
            </w:r>
          </w:p>
        </w:tc>
      </w:tr>
      <w:tr>
        <w:trPr>
          <w:trHeight w:val="257"/>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47,400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(22,910 )</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24,490</w:t>
            </w:r>
          </w:p>
        </w:tc>
      </w:tr>
      <w:tr>
        <w:trPr>
          <w:trHeight w:val="250"/>
        </w:trPr>
        <w:tc>
          <w:tcPr>
            <w:tcW w:w="622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18,400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(8,893 )</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9,507</w:t>
            </w:r>
          </w:p>
        </w:tc>
      </w:tr>
      <w:tr>
        <w:trPr>
          <w:trHeight w:val="290"/>
        </w:trPr>
        <w:tc>
          <w:tcPr>
            <w:tcW w:w="6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65,800</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(31,803 )</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33,997</w:t>
            </w:r>
          </w:p>
        </w:tc>
      </w:tr>
      <w:tr>
        <w:trPr>
          <w:trHeight w:val="507"/>
        </w:trPr>
        <w:tc>
          <w:tcPr>
            <w:tcW w:w="6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38"/>
        </w:trPr>
        <w:tc>
          <w:tcPr>
            <w:tcW w:w="6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b w:val="1"/>
                <w:bCs w:val="1"/>
                <w:color w:val="auto"/>
                <w:w w:val="96"/>
              </w:rPr>
              <w:t>Net</w:t>
            </w:r>
          </w:p>
        </w:tc>
      </w:tr>
      <w:tr>
        <w:trPr>
          <w:trHeight w:val="230"/>
        </w:trPr>
        <w:tc>
          <w:tcPr>
            <w:tcW w:w="6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b w:val="1"/>
                <w:bCs w:val="1"/>
                <w:color w:val="auto"/>
                <w:w w:val="97"/>
              </w:rPr>
              <w:t>Carrying</w:t>
            </w:r>
          </w:p>
        </w:tc>
      </w:tr>
      <w:tr>
        <w:trPr>
          <w:trHeight w:val="241"/>
        </w:trPr>
        <w:tc>
          <w:tcPr>
            <w:tcW w:w="6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Gross Amount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4"/>
              </w:rPr>
              <w:t>Amount</w:t>
            </w:r>
          </w:p>
        </w:tc>
      </w:tr>
      <w:tr>
        <w:trPr>
          <w:trHeight w:val="257"/>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47,400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(19,355 )</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28,045</w:t>
            </w:r>
          </w:p>
        </w:tc>
      </w:tr>
      <w:tr>
        <w:trPr>
          <w:trHeight w:val="250"/>
        </w:trPr>
        <w:tc>
          <w:tcPr>
            <w:tcW w:w="622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18,400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(7,513 )</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10,887</w:t>
            </w:r>
          </w:p>
        </w:tc>
      </w:tr>
      <w:tr>
        <w:trPr>
          <w:trHeight w:val="290"/>
        </w:trPr>
        <w:tc>
          <w:tcPr>
            <w:tcW w:w="6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65,800</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(26,868 )</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-1353820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-1336675</wp:posOffset>
            </wp:positionV>
            <wp:extent cx="85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-1353820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-1336675</wp:posOffset>
            </wp:positionV>
            <wp:extent cx="85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5"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The intangible assets are amortized over an average useful life of 10 years. Intangible amortization expense was $1.6 million and $4.9 million for the three and nine months ended September 30, 2021, respectively, and $1.6 million and $4.9 million for the three and nine months ended September 30, 2020, respectively, which is included in Depreciation and amortization in the Condensed Consolidated Statements of Operations. Amortization of intangible assets held at September 30, 2021 is expected to be $6.6 million for each of the years ending December 31, 2021, 2022, 2023, 2024, and 2025. These intangible assets will be fully amortized by November 30, 2026.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Regulatory Requirements</w:t>
      </w:r>
    </w:p>
    <w:p>
      <w:pPr>
        <w:spacing w:after="0" w:line="243"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 the Financial Industry Regulatory Authority (“FINRA”), the Investment Industry Regulatory Organization of Canada (“IIROC”), the Financial Conduct Authority (“FCA”) of the United Kingdom (the “UK”) and the Autorité de contrôle prudentiel et de resolution (“ACPR”) of France. These subsidiaries are subject to various minimum net capital requirements as outlined below. None of the SEC regulated subsidiaries hold funds or securities for, or owe money or securities to, customers or carry accounts of or for customers, and as such are all exempt from the SEC Customer Protection Rule (Rule 15c3-3).</w:t>
      </w:r>
    </w:p>
    <w:p>
      <w:pPr>
        <w:spacing w:after="0" w:line="191" w:lineRule="exact"/>
        <w:rPr>
          <w:sz w:val="20"/>
          <w:szCs w:val="20"/>
          <w:color w:val="auto"/>
        </w:rPr>
      </w:pPr>
    </w:p>
    <w:p>
      <w:pPr>
        <w:jc w:val="both"/>
        <w:ind w:firstLine="464"/>
        <w:spacing w:after="0" w:line="309" w:lineRule="auto"/>
        <w:rPr>
          <w:sz w:val="20"/>
          <w:szCs w:val="20"/>
          <w:color w:val="auto"/>
        </w:rPr>
      </w:pPr>
      <w:r>
        <w:rPr>
          <w:rFonts w:ascii="Arial" w:cs="Arial" w:eastAsia="Arial" w:hAnsi="Arial"/>
          <w:sz w:val="16"/>
          <w:szCs w:val="16"/>
          <w:color w:val="auto"/>
        </w:rPr>
        <w:t>Perella Weinberg Partners LP (“PWP LP”) and Tudor, Pickering, Holt &amp; Co. Securities, LLC (“TPH Securities”), subsidiaries of the Company, are subject to the SEC Uniform Net Capital Rule (SEC Rule 15c3-1). Effective January 1, 2021, Tudor Pickering Holt &amp; Co Advisors LP (“TPH Advisors”), another subsidiary of the Company subject to SEC Rule 15c3-1, merged with PWP LP and became one operating entity as part of an internal reorganization. There was no material impact to regulatory requirements as a result of this reorganization. Prior to this internal reorganization and as of December 31, 2020, PWP LP, TPH Securities and TPH Advisors had combined net capital of $54.8 million, which was $52.9 million in excess of their combined individual minimum capital requirements. Subsequent to this internal reorganization and as of September 30, 2021, PWP LP and TPH Securities had combined net capital of $96.5 million, which was $96.0 million in excess of their combined individual minimum capital requirements.</w:t>
      </w:r>
    </w:p>
    <w:p>
      <w:pPr>
        <w:spacing w:after="0" w:line="164" w:lineRule="exact"/>
        <w:rPr>
          <w:sz w:val="20"/>
          <w:szCs w:val="20"/>
          <w:color w:val="auto"/>
        </w:rPr>
      </w:pPr>
    </w:p>
    <w:p>
      <w:pPr>
        <w:jc w:val="both"/>
        <w:ind w:right="20" w:firstLine="464"/>
        <w:spacing w:after="0" w:line="293" w:lineRule="auto"/>
        <w:rPr>
          <w:sz w:val="20"/>
          <w:szCs w:val="20"/>
          <w:color w:val="auto"/>
        </w:rPr>
      </w:pPr>
      <w:r>
        <w:rPr>
          <w:rFonts w:ascii="Arial" w:cs="Arial" w:eastAsia="Arial" w:hAnsi="Arial"/>
          <w:sz w:val="18"/>
          <w:szCs w:val="18"/>
          <w:color w:val="auto"/>
        </w:rPr>
        <w:t>Perella Weinberg UK Limited is subject to FCA capital adequacy rules and TPH Canada is subject to IIROC capital adequacy rules. Both entities were in excess of the applicable capital requirements as of September 30, 2021 and December 31, 2020.</w:t>
      </w:r>
    </w:p>
    <w:p>
      <w:pPr>
        <w:spacing w:after="0" w:line="170"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Perella Weinberg Partners France S.A.S was exempt from ACPR capital adequacy rules as of December 31, 2020 and was in excess of the applicable capital requirements as of September 30,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right="20" w:firstLine="464"/>
        <w:spacing w:after="0" w:line="293"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Fixed Assets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Fixed assets are recorded at cost less accumulated depreciation and amortization and consist of the following as of September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1"/>
        </w:trPr>
        <w:tc>
          <w:tcPr>
            <w:tcW w:w="7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7"/>
              </w:rPr>
              <w:t>December 31, 2020</w:t>
            </w:r>
          </w:p>
        </w:tc>
      </w:tr>
      <w:tr>
        <w:trPr>
          <w:trHeight w:val="257"/>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48,996</w:t>
            </w:r>
          </w:p>
        </w:tc>
        <w:tc>
          <w:tcPr>
            <w:tcW w:w="6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49,718</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8,107</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8,606</w:t>
            </w:r>
          </w:p>
        </w:tc>
      </w:tr>
      <w:tr>
        <w:trPr>
          <w:trHeight w:val="263"/>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15,897</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35,293</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8,577</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14,395</w:t>
            </w:r>
          </w:p>
        </w:tc>
      </w:tr>
      <w:tr>
        <w:trPr>
          <w:trHeight w:val="257"/>
        </w:trPr>
        <w:tc>
          <w:tcPr>
            <w:tcW w:w="7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81,577</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108,012</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(70,194 )</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(90,823 )</w:t>
            </w:r>
          </w:p>
        </w:tc>
      </w:tr>
      <w:tr>
        <w:trPr>
          <w:trHeight w:val="290"/>
        </w:trPr>
        <w:tc>
          <w:tcPr>
            <w:tcW w:w="7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Fixed assets,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11,383</w:t>
            </w:r>
          </w:p>
        </w:tc>
        <w:tc>
          <w:tcPr>
            <w:tcW w:w="1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-24765</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102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95"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Depreciation expense related to fixed assets was $1.6 million and $5.2 million for the three and nine months ended September 30, 2021, respectively, and $1.8 million and $5.5 million for the three and nine months ended September 30, 2020, respectively. Amortization expense related to software development costs was $0.2 million and $0.9 million for the three and nine months ended September 30, 2021, respectively, and $0.4 million and $1.2 million for the three and nine months ended September 30, 2020, respectively.</w:t>
      </w:r>
    </w:p>
    <w:p>
      <w:pPr>
        <w:spacing w:after="0" w:line="185"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During the three and nine months ended September 30, 2021, the Company disposed of certain obsolete assets, substantially all of which were fully depreciated.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Company’s tax position for the periods presented:</w:t>
      </w:r>
    </w:p>
    <w:p>
      <w:pPr>
        <w:sectPr>
          <w:pgSz w:w="11900" w:h="16838" w:orient="portrait"/>
          <w:cols w:equalWidth="0" w:num="1">
            <w:col w:w="11240"/>
          </w:cols>
          <w:pgMar w:left="320" w:top="135" w:right="339" w:bottom="1440" w:gutter="0" w:footer="0" w:header="0"/>
        </w:sectPr>
      </w:pPr>
    </w:p>
    <w:p>
      <w:pPr>
        <w:spacing w:after="0" w:line="248"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22860</wp:posOffset>
            </wp:positionV>
            <wp:extent cx="18173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8" w:lineRule="exact"/>
        <w:rPr>
          <w:sz w:val="20"/>
          <w:szCs w:val="20"/>
          <w:color w:val="auto"/>
        </w:rPr>
      </w:pPr>
    </w:p>
    <w:p>
      <w:pPr>
        <w:ind w:left="5900"/>
        <w:spacing w:after="0"/>
        <w:tabs>
          <w:tab w:leader="none" w:pos="73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Nine Months Ended</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22860</wp:posOffset>
            </wp:positionV>
            <wp:extent cx="16973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38"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50" w:lineRule="exact"/>
        <w:rPr>
          <w:sz w:val="20"/>
          <w:szCs w:val="20"/>
          <w:color w:val="auto"/>
        </w:rPr>
      </w:pPr>
    </w:p>
    <w:p>
      <w:pPr>
        <w:sectPr>
          <w:pgSz w:w="11900" w:h="16838" w:orient="portrait"/>
          <w:cols w:equalWidth="0" w:num="2">
            <w:col w:w="8160" w:space="720"/>
            <w:col w:w="236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(9,312 )</w:t>
            </w:r>
          </w:p>
        </w:tc>
        <w:tc>
          <w:tcPr>
            <w:tcW w:w="3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(95 )</w:t>
            </w:r>
          </w:p>
        </w:tc>
        <w:tc>
          <w:tcPr>
            <w:tcW w:w="12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24,740</w:t>
            </w:r>
          </w:p>
        </w:tc>
        <w:tc>
          <w:tcPr>
            <w:tcW w:w="12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(24,740 )</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(150 )</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(974 )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(2,695 )</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(2,518 )</w:t>
            </w:r>
          </w:p>
        </w:tc>
      </w:tr>
      <w:tr>
        <w:trPr>
          <w:trHeight w:val="26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(1.61 %)</w:t>
            </w: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6"/>
              </w:rPr>
              <w:t>(1,025.26 %)</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10.89 %</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(10.18 %)</w:t>
            </w:r>
          </w:p>
        </w:tc>
      </w:tr>
    </w:tbl>
    <w:p>
      <w:pPr>
        <w:spacing w:after="0" w:line="215" w:lineRule="exact"/>
        <w:rPr>
          <w:sz w:val="20"/>
          <w:szCs w:val="20"/>
          <w:color w:val="auto"/>
        </w:rPr>
      </w:pPr>
    </w:p>
    <w:p>
      <w:pPr>
        <w:jc w:val="both"/>
        <w:ind w:firstLine="464"/>
        <w:spacing w:after="0" w:line="329" w:lineRule="auto"/>
        <w:rPr>
          <w:sz w:val="20"/>
          <w:szCs w:val="20"/>
          <w:color w:val="auto"/>
        </w:rPr>
      </w:pPr>
      <w:r>
        <w:rPr>
          <w:rFonts w:ascii="Arial" w:cs="Arial" w:eastAsia="Arial" w:hAnsi="Arial"/>
          <w:sz w:val="16"/>
          <w:szCs w:val="16"/>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4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4" w:name="page25"/>
    <w:bookmarkEnd w:id="24"/>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The Business Combination resulted in a $16.1 million increase to the Company’s deferred tax asset primarily related to a step-up in the tax basis of certain assets that will be recovered as those assets are amortized. The remaining $2.3 million of the deferred tax asset balance as of September 30, 2021 is related to local and foreign income taxes in addition to the corporate income taxes resulting from the Business Combination. The Company evaluates the realizability of its deferred tax asset on a quarterly basis and adjusts the valuation allowance when it is more-likely-than-not that all or a portion of the deferred tax asset may not be realized. Management has recorded a partial valuation allowance related to the outside partnership basis of its investment in PWP OpCo for the amount of the deferred tax asset that is not expected to be realized. The Company believes it is more-likely-than-not that the remaining net deferred tax asset recorded as of September 30, 2021 will be recovered in the future based on all available positive and negative evidence. In connection with the step-up in tax basis generated on the day of the Business Combination, the Company has recorded a payable of $14.1 million pursuant to the terms of the tax receivable agreement.</w:t>
      </w:r>
    </w:p>
    <w:p>
      <w:pPr>
        <w:spacing w:after="0" w:line="178"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As of September 30, 2021, the Company has not recorded any unrecognized tax benefits associated with uncertain tax positions. The Company does not expect there to be any material changes to uncertain tax positions within 12 months of the reporting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Company’s debt as of September 30, 2021 and December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0" w:type="dxa"/>
            <w:vAlign w:val="bottom"/>
          </w:tcPr>
          <w:p>
            <w:pPr>
              <w:spacing w:after="0"/>
              <w:rPr>
                <w:sz w:val="20"/>
                <w:szCs w:val="20"/>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September 30, 2021</w:t>
            </w: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7"/>
              </w:rPr>
              <w:t>December 31, 2020</w:t>
            </w:r>
          </w:p>
        </w:tc>
      </w:tr>
      <w:tr>
        <w:trPr>
          <w:trHeight w:val="257"/>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150,000</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27,690</w:t>
            </w:r>
          </w:p>
        </w:tc>
      </w:tr>
      <w:tr>
        <w:trPr>
          <w:trHeight w:val="256"/>
        </w:trPr>
        <w:tc>
          <w:tcPr>
            <w:tcW w:w="7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debt facilities</w:t>
            </w:r>
          </w:p>
        </w:tc>
        <w:tc>
          <w:tcPr>
            <w:tcW w:w="6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177,690</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Unamortized debt discount and issuance costs (1)</w:t>
            </w: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(559 )</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(30,725 )</w:t>
            </w:r>
          </w:p>
        </w:tc>
      </w:tr>
      <w:tr>
        <w:trPr>
          <w:trHeight w:val="290"/>
        </w:trPr>
        <w:tc>
          <w:tcPr>
            <w:tcW w:w="7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debt, net</w:t>
            </w: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(559 )</w:t>
            </w:r>
          </w:p>
        </w:tc>
        <w:tc>
          <w:tcPr>
            <w:tcW w:w="1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146,965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-25400</wp:posOffset>
            </wp:positionV>
            <wp:extent cx="102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1028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7" w:lineRule="exact"/>
        <w:rPr>
          <w:sz w:val="20"/>
          <w:szCs w:val="20"/>
          <w:color w:val="auto"/>
        </w:rPr>
      </w:pPr>
    </w:p>
    <w:p>
      <w:pPr>
        <w:ind w:left="340" w:right="20" w:hanging="332"/>
        <w:spacing w:after="0" w:line="324"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of September 30, 2021, the Company included unamortized debt issuance costs within Prepaid expenses and other assets on the Condensed Consolidated Statements of Financial Position since there were no outstanding borrowings under the Revolving Credit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9"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The Company issued 7.0% subordinated unsecured convertible notes with an aggregate principal amount of $150.0 million (the “Convertible Notes”) under a Note Purchase Agreement (as amended, the “NPA”) executed on November 30, 2016. The Convertible Notes were due to mature on November 30, 2026 (the “Maturity Date”) unless earlier converted or repaid pursuant to the terms of the NPA. The estimated intrinsic value of the Beneficial Conversion Feature (“BCF”) as of issuance was $32.7 million, which was recognized as a discount on the Convertible Notes with an offsetting increase to Partners’ capital. The BCF discount was amortized to interest expense using the effective interest method based on the Maturity Date.</w:t>
      </w:r>
    </w:p>
    <w:p>
      <w:pPr>
        <w:spacing w:after="0" w:line="160"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Certain of the persons who held Convertible Notes (each herein referred to as a “Holder”) are partners. Refer to Note 17 – Related Party Transactions for further information.</w:t>
      </w:r>
    </w:p>
    <w:p>
      <w:pPr>
        <w:spacing w:after="0" w:line="170" w:lineRule="exact"/>
        <w:rPr>
          <w:sz w:val="20"/>
          <w:szCs w:val="20"/>
          <w:color w:val="auto"/>
        </w:rPr>
      </w:pPr>
    </w:p>
    <w:p>
      <w:pPr>
        <w:jc w:val="both"/>
        <w:ind w:firstLine="464"/>
        <w:spacing w:after="0" w:line="296" w:lineRule="auto"/>
        <w:rPr>
          <w:sz w:val="20"/>
          <w:szCs w:val="20"/>
          <w:color w:val="auto"/>
        </w:rPr>
      </w:pPr>
      <w:r>
        <w:rPr>
          <w:rFonts w:ascii="Arial" w:cs="Arial" w:eastAsia="Arial" w:hAnsi="Arial"/>
          <w:sz w:val="17"/>
          <w:szCs w:val="17"/>
          <w:color w:val="auto"/>
        </w:rPr>
        <w:t>In December 2020, the Company entered into letter agreements (the “2020 Letter Agreements”) with all Holders, which amended and restated any existing letter agreements, pursuant to which all of the holders (the “Redeeming Holders”) agreed to collectively tender for redemption $150.0 million aggregate principal amount of their Convertible Notes (such Convertible Notes, the “Redeemed Notes”) for cash. Pursuant to the terms of the 2020 Letter Agreements, the Redeeming Holders agreed not to convert their Convertible Notes in connection with the Business Combination.</w:t>
      </w:r>
    </w:p>
    <w:p>
      <w:pPr>
        <w:spacing w:after="0" w:line="170"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 The Company recognized a $39.4 million loss on extinguishment of the Convertible Notes composed of the $10.9 million premium and $28.5 million of unamortized debt discount and issuance costs.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coupled with a 3.0% commitment fee in the amount of $3.5 million. In addition to the discount and commitment fees, the Company incurred debt issuance costs of approximately $1.1 million. The debt discounts and original issuance costs were amortized using the effective interest method over the term of the Convertible Notes.</w:t>
      </w:r>
    </w:p>
    <w:p>
      <w:pPr>
        <w:spacing w:after="0" w:line="185" w:lineRule="exact"/>
        <w:rPr>
          <w:sz w:val="20"/>
          <w:szCs w:val="20"/>
          <w:color w:val="auto"/>
        </w:rPr>
      </w:pPr>
    </w:p>
    <w:p>
      <w:pPr>
        <w:jc w:val="both"/>
        <w:ind w:firstLine="525"/>
        <w:spacing w:after="0" w:line="272"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BCF discount, debt discount and issuance costs, was 11.95% for the period from January 1, 2021 through June 24, 2021 (the date such Convertible Notes were redeemed) as well as for the three and nine months ended September 30, 2020. The aggregate interest expense related to the Convertible Notes was $6.9 million for the period from January 1, 2021 through June 24, 2021 and $3.5 million and $10.5 million during the three and nine months ended September 30, 2020,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39"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On November 30, 2016, the Company entered into a credit agreement (as amended, the “Credit Agreement”) with Cadence Bank, N.A. (“Cadence Bank”). In December 2018, the Company amended the Credit Agreement to modify a term loan to a revolving credit facility with a line of credit of $50.0 million (the “Revolving Credit Facility”). During the nine months ended September 30, 2020, the Company made principal payments on the Revolving Credit Facility of $32.0 million as well as drawdowns of $22.0 million. Applicable only to the period after the Separation and before the Business Combination, the Credit Agreement named PWP Capital Holdings LP as a guarantor of the Revolving Credit Facility and required that financial covenants be determined on a combined basis with the results of both the Company and PWP Capital Holdings LP for the applicable periods ended.</w:t>
      </w:r>
    </w:p>
    <w:p>
      <w:pPr>
        <w:spacing w:after="0" w:line="163" w:lineRule="exact"/>
        <w:rPr>
          <w:sz w:val="20"/>
          <w:szCs w:val="20"/>
          <w:color w:val="auto"/>
        </w:rPr>
      </w:pPr>
    </w:p>
    <w:p>
      <w:pPr>
        <w:jc w:val="both"/>
        <w:ind w:firstLine="360"/>
        <w:spacing w:after="0" w:line="309" w:lineRule="auto"/>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 $27.7 million principal amount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may be incurred under the Credit Agreement, and (v) certain financial covenants were amended. As of September 30, 2021, the Company had no outstanding balance related to the Revolving Credit Facility and no incremental revolving commitments were incurred.</w:t>
      </w:r>
    </w:p>
    <w:p>
      <w:pPr>
        <w:spacing w:after="0" w:line="164"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8"/>
          <w:szCs w:val="18"/>
          <w:color w:val="auto"/>
        </w:rPr>
        <w:t>The weighted average interest rate for the Revolving Credit Facility was 2.62% for the period from January 1, 2021 through June 24, 2021 (the Closing Date) and 2.72% and 3.10% for the three and nine months ended September 30, 2020, respectively.</w:t>
      </w:r>
    </w:p>
    <w:p>
      <w:pPr>
        <w:spacing w:after="0" w:line="170"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Prior to the Business Combination, the Company incurred $1.8 million in issuance costs related to the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amortized to Interest expense using the effective interest method over the life of the Revolving Credit Facility. The effective interest rate of the Revolving Credit Facility, taking into account these issuance costs, was 3.73% for the period from January 1, 2021 through June 24, 2021 and 3.67% and 3.95% for the three and nine months ended September 30, 2020, respectively. The amendments described above were accounted for as modifications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$0.1 million and $0.6 million during the three and nine months ended September 30, 2021, respectively, and $0.4 million and $1.3 million during the three and nine months ended September 30, 2020,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243"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 xml:space="preserve">Subsequent to the Business Combination as described in Note 3 – Business Combination, the Company’s authorized capital stock consists of 2,200,000,000 shares including (i) 1,500,000,000 shares of Class A common stock, par value $0.0001 per share (the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w:t>
      </w:r>
      <w:r>
        <w:rPr>
          <w:rFonts w:ascii="Arial" w:cs="Arial" w:eastAsia="Arial" w:hAnsi="Arial"/>
          <w:sz w:val="17"/>
          <w:szCs w:val="17"/>
          <w:b w:val="1"/>
          <w:bCs w:val="1"/>
          <w:color w:val="auto"/>
        </w:rPr>
        <w:t>S</w:t>
      </w:r>
      <w:r>
        <w:rPr>
          <w:rFonts w:ascii="Arial" w:cs="Arial" w:eastAsia="Arial" w:hAnsi="Arial"/>
          <w:sz w:val="17"/>
          <w:szCs w:val="17"/>
          <w:color w:val="auto"/>
        </w:rPr>
        <w:t>hares of Class A common stock and Class B common stock are not subject to any conversion right and holders of the Class A common stock and Class B common stock do not have preemptive or subscription rights. Additionally, the Company has 7,869,975 warrants outstanding as of September 30, 2021. See Note 12 – Warrants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39" w:lineRule="exact"/>
        <w:rPr>
          <w:sz w:val="20"/>
          <w:szCs w:val="20"/>
          <w:color w:val="auto"/>
        </w:rPr>
      </w:pPr>
    </w:p>
    <w:p>
      <w:pPr>
        <w:jc w:val="both"/>
        <w:ind w:firstLine="464"/>
        <w:spacing w:after="0" w:line="329" w:lineRule="auto"/>
        <w:rPr>
          <w:sz w:val="20"/>
          <w:szCs w:val="20"/>
          <w:color w:val="auto"/>
        </w:rPr>
      </w:pPr>
      <w:r>
        <w:rPr>
          <w:rFonts w:ascii="Arial" w:cs="Arial" w:eastAsia="Arial" w:hAnsi="Arial"/>
          <w:sz w:val="16"/>
          <w:szCs w:val="16"/>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39"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82"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39" w:lineRule="exact"/>
        <w:rPr>
          <w:sz w:val="20"/>
          <w:szCs w:val="20"/>
          <w:color w:val="auto"/>
        </w:rPr>
      </w:pPr>
    </w:p>
    <w:p>
      <w:pPr>
        <w:jc w:val="both"/>
        <w:ind w:firstLine="464"/>
        <w:spacing w:after="0" w:line="303" w:lineRule="auto"/>
        <w:rPr>
          <w:sz w:val="20"/>
          <w:szCs w:val="20"/>
          <w:color w:val="auto"/>
        </w:rPr>
      </w:pPr>
      <w:r>
        <w:rPr>
          <w:rFonts w:ascii="Arial" w:cs="Arial" w:eastAsia="Arial" w:hAnsi="Arial"/>
          <w:sz w:val="17"/>
          <w:szCs w:val="17"/>
          <w:color w:val="auto"/>
        </w:rPr>
        <w:t>On August 3, 2021, the Company’s Board of Directors declared a cash dividend of $0.07 per outstanding share of Class A common stock that was paid on September 21, 2021 to each of the holders of Class A common stock of record as of the close of business on September 3, 2021. Holders of Class B common stock also received dividends equal to the amount of dividends made on 0.001 shares of Class A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23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Non-controlling interests represents the ownership interests in PWP OpCo held by holders other than Perella Weinberg Partners. Professional Partners and the ILPs own 50,154,199 PWP OpCo Units as of September 30, 2021, which represent a 54.11% non-controlling ownership interest in PWP OpCo. These PWP OpCo Units are exchangeable into PWP Class A common stock on a one-for-one basis. Class B-1 and Class B-2 common stock have de minimis economic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In connection with the Closing, the Company entered into a registration rights agreement with the Sponsor, Professional Partners and the ILPs pursuant to which the Company is required to file with the SEC a registration statement pursuant to Rule 415 under the Securities Act of 1933, as amended (the “Securities Act”) registering the resale of certain shares of its Class A common stock and certain of its other equity securities. The Company will bear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239"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Surrender Agreement with the Sponsor, which was amended on May 4, 2021, under which the founder shares and Placement Shares owned by the Sponsor are subject to transfer restrictions that lapse in tranches based on share price targets or the 10 year anniversary,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9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On August 9, 2021, the Company repurchased 1,000,000 founder shares from the Sponsor at a purchase price of $12.00 per share for a total purchase price of $12.0 million. The share repurchase was recorded to Treasury stock, at cost, on our Condensed Consolidated Statements of Financial Condition as of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Agreement</w:t>
      </w:r>
    </w:p>
    <w:p>
      <w:pPr>
        <w:spacing w:after="0" w:line="239"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63"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In addition, for so long as the 10% Condition is met, the Board may not approve, absent the prior consent of Professional Partners, a number of ordinary course operating activities in respect of the Company, PWP OpCo and PWP OpCo’s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Voting and Economic Rights</w:t>
      </w:r>
    </w:p>
    <w:p>
      <w:pPr>
        <w:spacing w:after="0" w:line="239" w:lineRule="exact"/>
        <w:rPr>
          <w:sz w:val="20"/>
          <w:szCs w:val="20"/>
          <w:color w:val="auto"/>
        </w:rPr>
      </w:pPr>
    </w:p>
    <w:p>
      <w:pPr>
        <w:jc w:val="both"/>
        <w:ind w:firstLine="539"/>
        <w:spacing w:after="0" w:line="306" w:lineRule="auto"/>
        <w:rPr>
          <w:sz w:val="20"/>
          <w:szCs w:val="20"/>
          <w:color w:val="auto"/>
        </w:rPr>
      </w:pPr>
      <w:r>
        <w:rPr>
          <w:rFonts w:ascii="Arial" w:cs="Arial" w:eastAsia="Arial" w:hAnsi="Arial"/>
          <w:sz w:val="16"/>
          <w:szCs w:val="16"/>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70" w:lineRule="exact"/>
        <w:rPr>
          <w:sz w:val="20"/>
          <w:szCs w:val="20"/>
          <w:color w:val="auto"/>
        </w:rPr>
      </w:pPr>
    </w:p>
    <w:p>
      <w:pPr>
        <w:jc w:val="both"/>
        <w:ind w:firstLine="539"/>
        <w:spacing w:after="0" w:line="292" w:lineRule="auto"/>
        <w:rPr>
          <w:sz w:val="20"/>
          <w:szCs w:val="20"/>
          <w:color w:val="auto"/>
        </w:rPr>
      </w:pPr>
      <w:r>
        <w:rPr>
          <w:rFonts w:ascii="Arial" w:cs="Arial" w:eastAsia="Arial" w:hAnsi="Arial"/>
          <w:sz w:val="17"/>
          <w:szCs w:val="17"/>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239" w:lineRule="exact"/>
        <w:rPr>
          <w:sz w:val="20"/>
          <w:szCs w:val="20"/>
          <w:color w:val="auto"/>
        </w:rPr>
      </w:pPr>
    </w:p>
    <w:p>
      <w:pPr>
        <w:jc w:val="both"/>
        <w:ind w:firstLine="599"/>
        <w:spacing w:after="0" w:line="290" w:lineRule="auto"/>
        <w:rPr>
          <w:sz w:val="20"/>
          <w:szCs w:val="20"/>
          <w:color w:val="auto"/>
        </w:rPr>
      </w:pPr>
      <w:r>
        <w:rPr>
          <w:rFonts w:ascii="Arial" w:cs="Arial" w:eastAsia="Arial" w:hAnsi="Arial"/>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us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76" w:lineRule="exact"/>
        <w:rPr>
          <w:sz w:val="20"/>
          <w:szCs w:val="20"/>
          <w:color w:val="auto"/>
        </w:rPr>
      </w:pPr>
    </w:p>
    <w:p>
      <w:pPr>
        <w:jc w:val="both"/>
        <w:ind w:firstLine="539"/>
        <w:spacing w:after="0" w:line="269" w:lineRule="auto"/>
        <w:rPr>
          <w:sz w:val="20"/>
          <w:szCs w:val="20"/>
          <w:color w:val="auto"/>
        </w:rPr>
      </w:pPr>
      <w:r>
        <w:rPr>
          <w:rFonts w:ascii="Arial" w:cs="Arial" w:eastAsia="Arial" w:hAnsi="Arial"/>
          <w:sz w:val="18"/>
          <w:szCs w:val="18"/>
          <w:color w:val="auto"/>
        </w:rPr>
        <w:t>The PWP OpCo LPA contains restrictions on the ability to exchange PWP OpCo Units for shares of Class A common stock or cash from an offering of shares of Class A common stock, for the following periods: (i) PWP OpCo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 days after Closing; and (b) for working partners, will be between three to five years after the Closing), (ii) PWP OpCo Units held by ILPs existing at the time of the Business Combination will be subject to such restriction for 180 days after the Closing, and (iii) any other outstanding PWP OpCo Units not previously covered by clauses (i) and (ii) above will be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Warrants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3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Each public warrant entitles the registered holder to purchase one share of Class A common stock at an exercise price of $11.50 per share, subject to adjustment, and are exercisable on the later of 30 days after the Business Combination or 12 months from the closing of FTIV’s initial public offering.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91"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91"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8"/>
          <w:szCs w:val="18"/>
          <w:color w:val="auto"/>
        </w:rPr>
        <w:t>The Company filed a registration statement under the Securities Act with the SEC on July 15, 2021 which was declared effective July 26, 2021. It is the Company’s responsibility to maintain the effectiveness of such registration statement and a current prospectus related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96"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Once the warrants become exercisable, the Company may call the warrants for redemption as follows: (i) in whole and not in part; (ii) at a price of $0.01 per warrant; (iii) upon a minimum of 30 days’ prior written notice of redemption to each warrant holder; and (iv) if, and only if, the last reported sale price of the Class A common stock equals or exceeds $18.00 per share (as adjusted for stock splits, stock dividends, reorganizations, recapitalizations and the like) for any 20 trading days within a 30-trading day period ending on the third day prior to the date on which the Company sends the notice of redemption to the warrant holders.</w:t>
      </w:r>
    </w:p>
    <w:p>
      <w:pPr>
        <w:spacing w:after="0" w:line="191" w:lineRule="exact"/>
        <w:rPr>
          <w:sz w:val="20"/>
          <w:szCs w:val="20"/>
          <w:color w:val="auto"/>
        </w:rPr>
      </w:pPr>
    </w:p>
    <w:p>
      <w:pPr>
        <w:jc w:val="both"/>
        <w:ind w:firstLine="464"/>
        <w:spacing w:after="0" w:line="296"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any holder that wishes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70"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 As of September 30, 2021, the Company had 7,666,642 public warrants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39"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The private warrants are identical to the public warrants, except that the private warrants and the Class A common stock issuable upon the exercise of the private warrants will not be transferable, assignable or saleable until 30 days after the completion of the Business Combination, subject to certain limited exceptions. Additionally, the 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September 30, 2021, the Company had 203,333 private warrants outstanding.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Condensed Consolidated Statements of Operations. See Note 16 – Fair Value Measurements and Investments for description of the valuation methodology and further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On September 29, 2021, all of the public and private warrants became exercisable. As of September 30, 2021, none of the warrants were exercised.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Equity-Based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Omnibus Incentive Plan Awards</w:t>
      </w:r>
    </w:p>
    <w:p>
      <w:pPr>
        <w:spacing w:after="0" w:line="239"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6"/>
          <w:szCs w:val="16"/>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may grant options, stock appreciation rights, restricted stock, restricted stock units (“RSUs”), performance restricted stock units (“PSUs”), stock bonuses, other stock-based awards, cash awards or any combination of the foregoing. The maximum aggregate number of shares of Class A common stock reserved for issuance under the PWP Incentive Plan for general purposes (the “General Share Reserve”) is 13,980,000 shares and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last day of the immediately preceding fiscal year, over (ii) the number of shares of Class A common stock reserved and available for issuance in respect to future grants of awards under the PWP Incentive Plan as of the last day of the immediately preceding fiscal year. In addition to the General Share Reserve, 10,200,000 shares of Class A common stock (the “Transaction Pool Share Reserve”) are reserved for issuance under the plan through the one-year anniversary of the Business Combination, of which (i) up to 7,000,000 shares are reserved for Transaction Pool RSUs (defined below) and (ii) 3,200,000 shares are reserved for Transaction Pool PSUs (defined below). The Company intends to use newly issued shares of PWP Class A common stock to satisfy vested awards under the PWP Incentive Plan. Certain employees in France and Canada receive dividend equivalents in the form of additional awards that have the same vesting terms as the original underlying awards. These additional dividend equivalent awards are granted from the General Share Reserve. Awards granted from the General Share Reserve that are subsequently forfeited, cancelled, exchanged, surrendered, terminated or expired are available for future grant. However, awards granted from the Transaction Pool Share Reserve that are subsequently forfeited, cancelled, exchanged, surrendered, terminated or expired are not available for future grant. As of September 30, 2021, 3,965,271 total shares remained reserved and available for future issuance under the PWP Incentive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 Awards</w:t>
      </w:r>
    </w:p>
    <w:p>
      <w:pPr>
        <w:spacing w:after="0" w:line="252"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During the third quarter of 2021, in connection with the Business Combination, the Company granted awards in the form of (i) restricted stock units out of the Transaction Pool Reserve consisting of (a) PSUs that only vest upon the achievement of both service and market conditions out of the Transaction Pool Share Reserve (“Transaction Pool PSUs”) and (b) RSUs that vest upon the achievement of service conditions out of the Transaction Pool Share Reserve (“Transaction Pool RSUs”) as well as (ii) PSUs out of the General Share Reserve to certain executives that vest upon the achievement of both service and market conditions (“Management PSUs”).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97"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i w:val="1"/>
          <w:iCs w:val="1"/>
          <w:color w:val="auto"/>
        </w:rPr>
        <w:t xml:space="preserve">Transaction Pool PSUs </w:t>
      </w:r>
      <w:r>
        <w:rPr>
          <w:rFonts w:ascii="Arial" w:cs="Arial" w:eastAsia="Arial" w:hAnsi="Arial"/>
          <w:sz w:val="18"/>
          <w:szCs w:val="18"/>
          <w:color w:val="auto"/>
        </w:rPr>
        <w:t>— The service condition requirement with respect to the Transaction Pool Performance RSUs is generally satisfied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three to five years, with 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September 30, 2021, the $12 and $13.50 market condition requirements were satisfied.</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unvested Transaction Pool PSUs for the nine months ended September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Weighted Average</w:t>
            </w:r>
          </w:p>
        </w:tc>
      </w:tr>
      <w:tr>
        <w:trPr>
          <w:trHeight w:val="229"/>
        </w:trPr>
        <w:tc>
          <w:tcPr>
            <w:tcW w:w="7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 Date Fair Value</w:t>
            </w:r>
          </w:p>
        </w:tc>
      </w:tr>
      <w:tr>
        <w:trPr>
          <w:trHeight w:val="241"/>
        </w:trPr>
        <w:tc>
          <w:tcPr>
            <w:tcW w:w="7280" w:type="dxa"/>
            <w:vAlign w:val="bottom"/>
          </w:tcPr>
          <w:p>
            <w:pPr>
              <w:spacing w:after="0"/>
              <w:rPr>
                <w:sz w:val="20"/>
                <w:szCs w:val="20"/>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Transaction Pool PSUs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Per Share</w:t>
            </w:r>
          </w:p>
        </w:tc>
      </w:tr>
      <w:tr>
        <w:trPr>
          <w:trHeight w:val="25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2021</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Granted (1)</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3,202,616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12.74</w:t>
            </w: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2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3,202,616</w:t>
            </w:r>
          </w:p>
        </w:tc>
        <w:tc>
          <w:tcPr>
            <w:tcW w:w="3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120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20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7" w:lineRule="exact"/>
        <w:rPr>
          <w:sz w:val="20"/>
          <w:szCs w:val="20"/>
          <w:color w:val="auto"/>
        </w:rPr>
      </w:pPr>
    </w:p>
    <w:p>
      <w:pPr>
        <w:ind w:left="340" w:hanging="332"/>
        <w:spacing w:after="0" w:line="29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dividend equivalents that have been awarded in the form of additional Transaction Pool PSUs that were granted from the General Share Reserve.</w:t>
      </w:r>
    </w:p>
    <w:p>
      <w:pPr>
        <w:spacing w:after="0" w:line="18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grant date fair value of the Transaction Pool PSUs granted during both the three and nine months ended September 30, 2021 was $40.8 million. As of September 30, 2021, total unrecognized compensation expense related to unvested Transaction Pool PSUs was $39.8 million, which is expected to be recognized over a weighted average period of 3.92 years.</w:t>
      </w:r>
    </w:p>
    <w:p>
      <w:pPr>
        <w:spacing w:after="0" w:line="196"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The Company estimated the fair value of the Transaction Pool PSUs on the grant date using a Monte-Carlo simulation valuation model. The following table presents the assumptions used for the Transaction Pool PSUs for the nine months ended September 30,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sz w:val="19"/>
                <w:szCs w:val="19"/>
                <w:color w:val="auto"/>
              </w:rPr>
            </w:pPr>
          </w:p>
        </w:tc>
        <w:tc>
          <w:tcPr>
            <w:tcW w:w="2320" w:type="dxa"/>
            <w:vAlign w:val="bottom"/>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920" w:type="dxa"/>
            <w:vAlign w:val="bottom"/>
          </w:tcPr>
          <w:p>
            <w:pPr>
              <w:spacing w:after="0"/>
              <w:rPr>
                <w:sz w:val="20"/>
                <w:szCs w:val="20"/>
                <w:color w:val="auto"/>
              </w:rPr>
            </w:pPr>
          </w:p>
        </w:tc>
        <w:tc>
          <w:tcPr>
            <w:tcW w:w="2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September 30, 2021</w:t>
            </w:r>
          </w:p>
        </w:tc>
      </w:tr>
      <w:tr>
        <w:trPr>
          <w:trHeight w:val="257"/>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0.93 %</w:t>
            </w:r>
          </w:p>
        </w:tc>
      </w:tr>
      <w:tr>
        <w:trPr>
          <w:trHeight w:val="250"/>
        </w:trPr>
        <w:tc>
          <w:tcPr>
            <w:tcW w:w="89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2.00 %</w:t>
            </w:r>
          </w:p>
        </w:tc>
      </w:tr>
      <w:tr>
        <w:trPr>
          <w:trHeight w:val="263"/>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 factor</w:t>
            </w:r>
          </w:p>
        </w:tc>
        <w:tc>
          <w:tcPr>
            <w:tcW w:w="2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32.90 %</w:t>
            </w:r>
          </w:p>
        </w:tc>
      </w:tr>
    </w:tbl>
    <w:p>
      <w:pPr>
        <w:spacing w:after="0" w:line="22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i w:val="1"/>
          <w:iCs w:val="1"/>
          <w:color w:val="auto"/>
        </w:rPr>
        <w:t xml:space="preserve">Transaction Pool RSUs </w:t>
      </w:r>
      <w:r>
        <w:rPr>
          <w:rFonts w:ascii="Arial" w:cs="Arial" w:eastAsia="Arial" w:hAnsi="Arial"/>
          <w:sz w:val="18"/>
          <w:szCs w:val="18"/>
          <w:color w:val="auto"/>
        </w:rPr>
        <w:t>— The Transaction Pool RSUs generally vest in equal annual installments over the requisite service period of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fair value of the Transaction Pool RSUs granted during both the three and nine months ended September 30, 2021 was $97.6 million. As of September 30, 2021, total unrecognized compensation expense related to unvested Transaction Pool RSUs was $75.4 million, which is expected to be recognized over a weighted average period of 2.48 years.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unvested Transaction Pool RSUs for the nine months ended September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Weighted Average</w:t>
            </w:r>
          </w:p>
        </w:tc>
      </w:tr>
      <w:tr>
        <w:trPr>
          <w:trHeight w:val="229"/>
        </w:trPr>
        <w:tc>
          <w:tcPr>
            <w:tcW w:w="7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 Date Fair Value</w:t>
            </w:r>
          </w:p>
        </w:tc>
      </w:tr>
      <w:tr>
        <w:trPr>
          <w:trHeight w:val="241"/>
        </w:trPr>
        <w:tc>
          <w:tcPr>
            <w:tcW w:w="7260" w:type="dxa"/>
            <w:vAlign w:val="bottom"/>
          </w:tcPr>
          <w:p>
            <w:pPr>
              <w:spacing w:after="0"/>
              <w:rPr>
                <w:sz w:val="20"/>
                <w:szCs w:val="20"/>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Transaction Pool RSUs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Per Share</w:t>
            </w:r>
          </w:p>
        </w:tc>
      </w:tr>
      <w:tr>
        <w:trPr>
          <w:trHeight w:val="257"/>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2021</w:t>
            </w:r>
          </w:p>
        </w:tc>
        <w:tc>
          <w:tcPr>
            <w:tcW w:w="1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260" w:type="dxa"/>
            <w:vAlign w:val="bottom"/>
          </w:tcPr>
          <w:p>
            <w:pPr>
              <w:ind w:left="20"/>
              <w:spacing w:after="0"/>
              <w:rPr>
                <w:sz w:val="20"/>
                <w:szCs w:val="20"/>
                <w:color w:val="auto"/>
              </w:rPr>
            </w:pPr>
            <w:r>
              <w:rPr>
                <w:rFonts w:ascii="Arial" w:cs="Arial" w:eastAsia="Arial" w:hAnsi="Arial"/>
                <w:sz w:val="18"/>
                <w:szCs w:val="18"/>
                <w:color w:val="auto"/>
              </w:rPr>
              <w:t>Granted (1)</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6,987,274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13.97</w:t>
            </w:r>
          </w:p>
        </w:tc>
      </w:tr>
      <w:tr>
        <w:trPr>
          <w:trHeight w:val="263"/>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(1,107,279 )</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13.97</w:t>
            </w:r>
          </w:p>
        </w:tc>
      </w:tr>
      <w:tr>
        <w:trPr>
          <w:trHeight w:val="257"/>
        </w:trPr>
        <w:tc>
          <w:tcPr>
            <w:tcW w:w="72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(28,678 )</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13.97</w:t>
            </w:r>
          </w:p>
        </w:tc>
      </w:tr>
      <w:tr>
        <w:trPr>
          <w:trHeight w:val="290"/>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5,851,317</w:t>
            </w:r>
          </w:p>
        </w:tc>
        <w:tc>
          <w:tcPr>
            <w:tcW w:w="3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13.97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120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1200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87" w:lineRule="exact"/>
        <w:rPr>
          <w:sz w:val="20"/>
          <w:szCs w:val="20"/>
          <w:color w:val="auto"/>
        </w:rPr>
      </w:pPr>
    </w:p>
    <w:p>
      <w:pPr>
        <w:ind w:left="340" w:hanging="332"/>
        <w:spacing w:after="0" w:line="29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dividend equivalents that have been awarded in the form of additional Transaction Pool RSUs that were granted from the General Share Reserve.</w:t>
      </w:r>
    </w:p>
    <w:p>
      <w:pPr>
        <w:spacing w:after="0" w:line="170"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Certain employee offer letter awards, that were previously accounted for as liability awards due to a cash settlement option, have been settled using Transaction Pool RSUs. This settlement was treated as a modification of the award, and as such, the liability balance of $3.9 million as of the RSU grant date was reclassified from Accounts payable, accrued expenses and other liabilities to Additional paid-in capital on the Condensed Consolidated Statement of Financial Condition as of September 30, 2021.</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i w:val="1"/>
          <w:iCs w:val="1"/>
          <w:color w:val="auto"/>
        </w:rPr>
        <w:t xml:space="preserve">Management PSUs </w:t>
      </w:r>
      <w:r>
        <w:rPr>
          <w:rFonts w:ascii="Arial" w:cs="Arial" w:eastAsia="Arial" w:hAnsi="Arial"/>
          <w:sz w:val="18"/>
          <w:szCs w:val="18"/>
          <w:color w:val="auto"/>
        </w:rPr>
        <w:t>— The service condition requirement with respect to the Management PSUs is generally satisfied in two equal installments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continued employment on the third and fifth anniversaries of the grant date. The market condition is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unvested Management PSUs for the nine months ended September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Weighted Average</w:t>
            </w:r>
          </w:p>
        </w:tc>
      </w:tr>
      <w:tr>
        <w:trPr>
          <w:trHeight w:val="230"/>
        </w:trPr>
        <w:tc>
          <w:tcPr>
            <w:tcW w:w="7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 Date Fair Value</w:t>
            </w:r>
          </w:p>
        </w:tc>
      </w:tr>
      <w:tr>
        <w:trPr>
          <w:trHeight w:val="241"/>
        </w:trPr>
        <w:tc>
          <w:tcPr>
            <w:tcW w:w="7280" w:type="dxa"/>
            <w:vAlign w:val="bottom"/>
          </w:tcPr>
          <w:p>
            <w:pPr>
              <w:spacing w:after="0"/>
              <w:rPr>
                <w:sz w:val="20"/>
                <w:szCs w:val="20"/>
                <w:color w:val="auto"/>
              </w:rPr>
            </w:pPr>
          </w:p>
        </w:tc>
        <w:tc>
          <w:tcPr>
            <w:tcW w:w="1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Management PSUs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Per Share</w:t>
            </w:r>
          </w:p>
        </w:tc>
      </w:tr>
      <w:tr>
        <w:trPr>
          <w:trHeight w:val="256"/>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2021</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9,500,000</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8.86</w:t>
            </w: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2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9,500,000</w:t>
            </w:r>
          </w:p>
        </w:tc>
        <w:tc>
          <w:tcPr>
            <w:tcW w:w="3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1200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200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weighted average grant date fair value of the Management PSUs granted during both the three and nine months ended September 30, 2021 was $84.2 million. As of September 30, 2021, total unrecognized compensation expense related to unvested Management PSUs was $82.3 million, which is expected to be recognized over a weighted average period of 3.92 years.</w:t>
      </w:r>
    </w:p>
    <w:p>
      <w:pPr>
        <w:spacing w:after="0" w:line="196" w:lineRule="exact"/>
        <w:rPr>
          <w:sz w:val="20"/>
          <w:szCs w:val="20"/>
          <w:color w:val="auto"/>
        </w:rPr>
      </w:pPr>
    </w:p>
    <w:p>
      <w:pPr>
        <w:jc w:val="both"/>
        <w:ind w:right="20" w:firstLine="464"/>
        <w:spacing w:after="0" w:line="293" w:lineRule="auto"/>
        <w:rPr>
          <w:sz w:val="20"/>
          <w:szCs w:val="20"/>
          <w:color w:val="auto"/>
        </w:rPr>
      </w:pPr>
      <w:r>
        <w:rPr>
          <w:rFonts w:ascii="Arial" w:cs="Arial" w:eastAsia="Arial" w:hAnsi="Arial"/>
          <w:sz w:val="18"/>
          <w:szCs w:val="18"/>
          <w:color w:val="auto"/>
        </w:rPr>
        <w:t>The Company estimated the fair value of the Management PSUs on the grant date using a Monte-Carlo simulation valuation model. The following table presents the assumptions used for the Management PSUs for the nine months ended September 30,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320" w:type="dxa"/>
            <w:vAlign w:val="bottom"/>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35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September 30, 2021</w:t>
            </w:r>
          </w:p>
        </w:tc>
      </w:tr>
      <w:tr>
        <w:trPr>
          <w:trHeight w:val="25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7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0.77 %</w:t>
            </w:r>
          </w:p>
        </w:tc>
      </w:tr>
      <w:tr>
        <w:trPr>
          <w:trHeight w:val="250"/>
        </w:trPr>
        <w:tc>
          <w:tcPr>
            <w:tcW w:w="35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7680" w:type="dxa"/>
            <w:vAlign w:val="bottom"/>
            <w:gridSpan w:val="2"/>
          </w:tcPr>
          <w:p>
            <w:pPr>
              <w:jc w:val="right"/>
              <w:ind w:right="10"/>
              <w:spacing w:after="0"/>
              <w:rPr>
                <w:sz w:val="20"/>
                <w:szCs w:val="20"/>
                <w:color w:val="auto"/>
              </w:rPr>
            </w:pPr>
            <w:r>
              <w:rPr>
                <w:rFonts w:ascii="Arial" w:cs="Arial" w:eastAsia="Arial" w:hAnsi="Arial"/>
                <w:sz w:val="18"/>
                <w:szCs w:val="18"/>
                <w:color w:val="auto"/>
              </w:rPr>
              <w:t>2.00 %</w:t>
            </w:r>
          </w:p>
        </w:tc>
      </w:tr>
      <w:tr>
        <w:trPr>
          <w:trHeight w:val="263"/>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 factor</w:t>
            </w:r>
          </w:p>
        </w:tc>
        <w:tc>
          <w:tcPr>
            <w:tcW w:w="7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32.41 %</w:t>
            </w:r>
          </w:p>
        </w:tc>
      </w:tr>
      <w:tr>
        <w:trPr>
          <w:trHeight w:val="675"/>
        </w:trPr>
        <w:tc>
          <w:tcPr>
            <w:tcW w:w="3560" w:type="dxa"/>
            <w:vAlign w:val="bottom"/>
          </w:tcPr>
          <w:p>
            <w:pPr>
              <w:spacing w:after="0"/>
              <w:rPr>
                <w:sz w:val="24"/>
                <w:szCs w:val="24"/>
                <w:color w:val="auto"/>
              </w:rPr>
            </w:pPr>
          </w:p>
        </w:tc>
        <w:tc>
          <w:tcPr>
            <w:tcW w:w="5360" w:type="dxa"/>
            <w:vAlign w:val="bottom"/>
          </w:tcPr>
          <w:p>
            <w:pPr>
              <w:jc w:val="right"/>
              <w:ind w:right="3110"/>
              <w:spacing w:after="0"/>
              <w:rPr>
                <w:sz w:val="20"/>
                <w:szCs w:val="20"/>
                <w:color w:val="auto"/>
              </w:rPr>
            </w:pPr>
            <w:r>
              <w:rPr>
                <w:rFonts w:ascii="Arial" w:cs="Arial" w:eastAsia="Arial" w:hAnsi="Arial"/>
                <w:sz w:val="18"/>
                <w:szCs w:val="18"/>
                <w:color w:val="auto"/>
              </w:rPr>
              <w:t>32</w:t>
            </w:r>
          </w:p>
        </w:tc>
        <w:tc>
          <w:tcPr>
            <w:tcW w:w="232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Awards</w:t>
      </w:r>
    </w:p>
    <w:p>
      <w:pPr>
        <w:spacing w:after="0" w:line="252"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On August 31, 2021, the Company granted RSU awards out of the General Share Reserve that vest upon the achievement of service conditions (the “General RSUs”). The Company expects to grant General RSUs from time to time in the ordinary course of business.</w:t>
      </w:r>
    </w:p>
    <w:p>
      <w:pPr>
        <w:spacing w:after="0" w:line="183" w:lineRule="exact"/>
        <w:rPr>
          <w:sz w:val="20"/>
          <w:szCs w:val="20"/>
          <w:color w:val="auto"/>
        </w:rPr>
      </w:pPr>
    </w:p>
    <w:p>
      <w:pPr>
        <w:jc w:val="both"/>
        <w:ind w:right="20" w:firstLine="464"/>
        <w:spacing w:after="0" w:line="329" w:lineRule="auto"/>
        <w:rPr>
          <w:sz w:val="20"/>
          <w:szCs w:val="20"/>
          <w:color w:val="auto"/>
        </w:rPr>
      </w:pPr>
      <w:r>
        <w:rPr>
          <w:rFonts w:ascii="Arial" w:cs="Arial" w:eastAsia="Arial" w:hAnsi="Arial"/>
          <w:sz w:val="16"/>
          <w:szCs w:val="16"/>
          <w:color w:val="auto"/>
        </w:rPr>
        <w:t>The General RSUs vest over the requisite service period, which is generally one to five years. The grant date fair value of the General RSUs granted during both the three and nine months ended September 30, 2021 was $7.3 million. As of September 30, 2021, total unrecognized compensation expense related to unvested General RSUs was $6.9 million which is expected to be recognized over a weighted average period of 2.84 years.</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unvested General RSUs for the nine months ended September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Weighted Average</w:t>
            </w:r>
          </w:p>
        </w:tc>
      </w:tr>
      <w:tr>
        <w:trPr>
          <w:trHeight w:val="230"/>
        </w:trPr>
        <w:tc>
          <w:tcPr>
            <w:tcW w:w="7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 Date Fair Value</w:t>
            </w:r>
          </w:p>
        </w:tc>
      </w:tr>
      <w:tr>
        <w:trPr>
          <w:trHeight w:val="241"/>
        </w:trPr>
        <w:tc>
          <w:tcPr>
            <w:tcW w:w="7280" w:type="dxa"/>
            <w:vAlign w:val="bottom"/>
          </w:tcPr>
          <w:p>
            <w:pPr>
              <w:spacing w:after="0"/>
              <w:rPr>
                <w:sz w:val="20"/>
                <w:szCs w:val="20"/>
                <w:color w:val="auto"/>
              </w:rPr>
            </w:pPr>
          </w:p>
        </w:tc>
        <w:tc>
          <w:tcPr>
            <w:tcW w:w="1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General RSUs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Per Share</w:t>
            </w:r>
          </w:p>
        </w:tc>
      </w:tr>
      <w:tr>
        <w:trPr>
          <w:trHeight w:val="25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2021</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524,917</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13.97</w:t>
            </w: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72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524,917</w:t>
            </w:r>
          </w:p>
        </w:tc>
        <w:tc>
          <w:tcPr>
            <w:tcW w:w="3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13.97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1200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20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and Dividend Equivalent Rights</w:t>
      </w:r>
    </w:p>
    <w:p>
      <w:pPr>
        <w:spacing w:after="0" w:line="23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Grantees of the Company’s RSUs and PSUs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dividends in the form of award grants that match the underlying award from which the dividends were generated. The remaining employees receive such awards in the form of cash.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Awards and Professional Partners Awards</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Prior to the Business Combination, Professional Partners granted certain equity-based awards to partners providing services to PWP OpCo (the “Legacy Awards”). In January 2020, the Company granted Legacy Awards with a grant-date fair value of $6.4 million, which was estimated using the income approach and assumed a range of discount rates between 3.8% and 11.2%. In January 2021, the Company granted Legacy Awards with a grant-date fair value of $9.3 million, which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191" w:lineRule="exact"/>
        <w:rPr>
          <w:sz w:val="20"/>
          <w:szCs w:val="20"/>
          <w:color w:val="auto"/>
        </w:rPr>
      </w:pPr>
    </w:p>
    <w:p>
      <w:pPr>
        <w:jc w:val="both"/>
        <w:ind w:firstLine="464"/>
        <w:spacing w:after="0" w:line="306" w:lineRule="auto"/>
        <w:rPr>
          <w:sz w:val="20"/>
          <w:szCs w:val="20"/>
          <w:color w:val="auto"/>
        </w:rPr>
      </w:pPr>
      <w:r>
        <w:rPr>
          <w:rFonts w:ascii="Arial" w:cs="Arial" w:eastAsia="Arial" w:hAnsi="Arial"/>
          <w:sz w:val="16"/>
          <w:szCs w:val="16"/>
          <w:color w:val="auto"/>
        </w:rPr>
        <w:t>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 xml:space="preserve">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with the cost reflected in equity-based compensation over the requisite service period. The Company will continue to amortize the unrecognized cost associated with the Legacy Awards over its original vesting schedule. The $301.5 million grant-date fair value of the Professional Partners Awards is based on the closing price of PWP Class A common stock on the date of grant as units in Professional Partners are ultimately exchangeable into shares of PWP Class A common stock on a one-for-one basis.</w:t>
      </w:r>
    </w:p>
    <w:p>
      <w:pPr>
        <w:spacing w:after="0" w:line="163" w:lineRule="exact"/>
        <w:rPr>
          <w:sz w:val="20"/>
          <w:szCs w:val="20"/>
          <w:color w:val="auto"/>
        </w:rPr>
      </w:pPr>
    </w:p>
    <w:p>
      <w:pPr>
        <w:jc w:val="both"/>
        <w:ind w:firstLine="464"/>
        <w:spacing w:after="0" w:line="309" w:lineRule="auto"/>
        <w:rPr>
          <w:sz w:val="20"/>
          <w:szCs w:val="20"/>
          <w:color w:val="auto"/>
        </w:rPr>
      </w:pPr>
      <w:r>
        <w:rPr>
          <w:rFonts w:ascii="Arial" w:cs="Arial" w:eastAsia="Arial" w:hAnsi="Arial"/>
          <w:sz w:val="16"/>
          <w:szCs w:val="16"/>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78"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63" w:lineRule="exact"/>
        <w:rPr>
          <w:sz w:val="20"/>
          <w:szCs w:val="20"/>
          <w:color w:val="auto"/>
        </w:rPr>
      </w:pPr>
    </w:p>
    <w:p>
      <w:pPr>
        <w:jc w:val="both"/>
        <w:ind w:firstLine="464"/>
        <w:spacing w:after="0" w:line="303" w:lineRule="auto"/>
        <w:rPr>
          <w:sz w:val="20"/>
          <w:szCs w:val="20"/>
          <w:color w:val="auto"/>
        </w:rPr>
      </w:pPr>
      <w:r>
        <w:rPr>
          <w:rFonts w:ascii="Arial" w:cs="Arial" w:eastAsia="Arial" w:hAnsi="Arial"/>
          <w:sz w:val="17"/>
          <w:szCs w:val="17"/>
          <w:color w:val="auto"/>
        </w:rPr>
        <w:t>As of September 30, 2021, there was $28.4 million of unrecognized compensation cost associated with the Legacy Awards that is expected to be recognized over a weighted-average period of 1.82 years. As of September 30, 2021, there was $285.8 million of unrecognized compensation expense related to unvested Professional Partners Awards, which is expected to be recognized over a weighted-average period of 4.62 years.</w:t>
      </w:r>
    </w:p>
    <w:p>
      <w:pPr>
        <w:spacing w:after="0" w:line="164"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The following table presents the expense related to awards that were recorded in Professional fees and components of Equity-based compensation included on the Condensed Consolidated Statements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298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w w:val="92"/>
              </w:rPr>
              <w:t>Three Months Ended September 30,</w:t>
            </w:r>
          </w:p>
        </w:tc>
        <w:tc>
          <w:tcPr>
            <w:tcW w:w="140" w:type="dxa"/>
            <w:vAlign w:val="bottom"/>
          </w:tcPr>
          <w:p>
            <w:pPr>
              <w:spacing w:after="0"/>
              <w:rPr>
                <w:sz w:val="20"/>
                <w:szCs w:val="20"/>
                <w:color w:val="auto"/>
              </w:rPr>
            </w:pPr>
          </w:p>
        </w:tc>
        <w:tc>
          <w:tcPr>
            <w:tcW w:w="29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50"/>
        </w:trPr>
        <w:tc>
          <w:tcPr>
            <w:tcW w:w="5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56"/>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Professional fees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57"/>
        </w:trPr>
        <w:tc>
          <w:tcPr>
            <w:tcW w:w="5200" w:type="dxa"/>
            <w:vAlign w:val="bottom"/>
          </w:tcPr>
          <w:p>
            <w:pPr>
              <w:ind w:left="120"/>
              <w:spacing w:after="0"/>
              <w:rPr>
                <w:sz w:val="20"/>
                <w:szCs w:val="20"/>
                <w:color w:val="auto"/>
              </w:rPr>
            </w:pPr>
            <w:r>
              <w:rPr>
                <w:rFonts w:ascii="Arial" w:cs="Arial" w:eastAsia="Arial" w:hAnsi="Arial"/>
                <w:sz w:val="18"/>
                <w:szCs w:val="18"/>
                <w:color w:val="auto"/>
              </w:rPr>
              <w:t>PWP Incentive Plan Awards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Professional fees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177</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177</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5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Equity-based compensation</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77"/>
        </w:trPr>
        <w:tc>
          <w:tcPr>
            <w:tcW w:w="5200" w:type="dxa"/>
            <w:vAlign w:val="bottom"/>
          </w:tcPr>
          <w:p>
            <w:pPr>
              <w:ind w:left="120"/>
              <w:spacing w:after="0"/>
              <w:rPr>
                <w:sz w:val="20"/>
                <w:szCs w:val="20"/>
                <w:color w:val="auto"/>
              </w:rPr>
            </w:pPr>
            <w:r>
              <w:rPr>
                <w:rFonts w:ascii="Arial" w:cs="Arial" w:eastAsia="Arial" w:hAnsi="Arial"/>
                <w:sz w:val="18"/>
                <w:szCs w:val="18"/>
                <w:color w:val="auto"/>
              </w:rPr>
              <w:t>PWP Incentive Plan Awards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20,917</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20,917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Legacy Awards (1)</w:t>
            </w:r>
          </w:p>
        </w:tc>
        <w:tc>
          <w:tcPr>
            <w:tcW w:w="28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1,450</w:t>
            </w:r>
          </w:p>
        </w:tc>
        <w:tc>
          <w:tcPr>
            <w:tcW w:w="1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6,120</w:t>
            </w:r>
          </w:p>
        </w:tc>
        <w:tc>
          <w:tcPr>
            <w:tcW w:w="1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13,615</w:t>
            </w:r>
          </w:p>
        </w:tc>
        <w:tc>
          <w:tcPr>
            <w:tcW w:w="1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18,484</w:t>
            </w:r>
          </w:p>
        </w:tc>
      </w:tr>
      <w:tr>
        <w:trPr>
          <w:trHeight w:val="283"/>
        </w:trPr>
        <w:tc>
          <w:tcPr>
            <w:tcW w:w="5200" w:type="dxa"/>
            <w:vAlign w:val="bottom"/>
          </w:tcPr>
          <w:p>
            <w:pPr>
              <w:ind w:left="120"/>
              <w:spacing w:after="0"/>
              <w:rPr>
                <w:sz w:val="20"/>
                <w:szCs w:val="20"/>
                <w:color w:val="auto"/>
              </w:rPr>
            </w:pPr>
            <w:r>
              <w:rPr>
                <w:rFonts w:ascii="Arial" w:cs="Arial" w:eastAsia="Arial" w:hAnsi="Arial"/>
                <w:sz w:val="18"/>
                <w:szCs w:val="18"/>
                <w:color w:val="auto"/>
              </w:rPr>
              <w:t>Professional Partners Awards (1)</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15,683</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16,740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317"/>
        </w:trPr>
        <w:tc>
          <w:tcPr>
            <w:tcW w:w="5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Equity-based compensation</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38,050</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6,120</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51,272</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18,484</w:t>
            </w:r>
          </w:p>
        </w:tc>
      </w:tr>
      <w:tr>
        <w:trPr>
          <w:trHeight w:val="264"/>
        </w:trPr>
        <w:tc>
          <w:tcPr>
            <w:tcW w:w="5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1100" w:type="dxa"/>
            <w:vAlign w:val="bottom"/>
          </w:tcPr>
          <w:p>
            <w:pPr>
              <w:spacing w:after="0"/>
              <w:rPr>
                <w:sz w:val="22"/>
                <w:szCs w:val="22"/>
                <w:color w:val="auto"/>
              </w:rPr>
            </w:pPr>
          </w:p>
        </w:tc>
      </w:tr>
      <w:tr>
        <w:trPr>
          <w:trHeight w:val="284"/>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of equity-based awards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2,351</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2,351</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-1464945</wp:posOffset>
            </wp:positionV>
            <wp:extent cx="939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-1447800</wp:posOffset>
            </wp:positionV>
            <wp:extent cx="93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-1464945</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-1447800</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-1464945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-1447800</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-384810</wp:posOffset>
            </wp:positionV>
            <wp:extent cx="939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-368300</wp:posOffset>
            </wp:positionV>
            <wp:extent cx="93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-384810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-368300</wp:posOffset>
            </wp:positionV>
            <wp:extent cx="857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-384810</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-368300</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7" w:lineRule="exact"/>
        <w:rPr>
          <w:sz w:val="20"/>
          <w:szCs w:val="20"/>
          <w:color w:val="auto"/>
        </w:rPr>
      </w:pPr>
    </w:p>
    <w:p>
      <w:pPr>
        <w:ind w:left="340" w:hanging="332"/>
        <w:spacing w:after="0" w:line="29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Compensation and Benefits</w:t>
      </w:r>
    </w:p>
    <w:p>
      <w:pPr>
        <w:spacing w:after="0" w:line="24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239" w:lineRule="exact"/>
        <w:rPr>
          <w:sz w:val="20"/>
          <w:szCs w:val="20"/>
          <w:color w:val="auto"/>
        </w:rPr>
      </w:pPr>
    </w:p>
    <w:p>
      <w:pPr>
        <w:jc w:val="both"/>
        <w:ind w:firstLine="464"/>
        <w:spacing w:after="0" w:line="309" w:lineRule="auto"/>
        <w:rPr>
          <w:sz w:val="20"/>
          <w:szCs w:val="20"/>
          <w:color w:val="auto"/>
        </w:rPr>
      </w:pPr>
      <w:r>
        <w:rPr>
          <w:rFonts w:ascii="Arial" w:cs="Arial" w:eastAsia="Arial" w:hAnsi="Arial"/>
          <w:sz w:val="16"/>
          <w:szCs w:val="16"/>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164"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Deferred compensation liabilities will be paid at various intervals through 2025 and are presented within Deferred compensation programs on the Condensed Consolidated Statements of Financial Condition. Compensation expenses related to these deferred compensation plans was $0.3 million and $1.0 million for the three and nine months ended September 30, 2021, respectively, and $1.6 million and $4.6 million for the three and nine months ended September 30, 2020, respectively, and are presented within Compensation and benefits in the Condensed Consolidated Statements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Certain employees participate in employee benefit plans, which consist of defined contribution plans including (i) profit-sharing plans qualified under Section 401(k) of the Internal Revenue Code, (ii) a UK pension scheme for U.K. employees and (iii) a Germany pension plan for employees in Germany.</w:t>
      </w:r>
    </w:p>
    <w:p>
      <w:pPr>
        <w:spacing w:after="0" w:line="18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Expenses related to the Company’s employee benefit plans was $1.2 million and $3.8 million for the three and nine months ended September 30, 2021, respectively, and $1.1 million and $3.5 million for the three and nine months ended September 30, 2020, respectively, and are included in Compensation and benefits in the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239"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In the second quarter of 2020, the Company underwent a review of operations and headcount levels and the decision was made to reduce employee headcount. In conjunction with such reduction, affected employees were offered a combination of separation and transition benefits (the “termination cost”). As of September 30, 2020, the termination cost accrued was approximately $5.4 million, which is included in Compensation and benefits in the Condensed Consolidated Statements of Operations. These termination costs were fully recognized once the service requirement of the affected employees was complete. The termination costs were substantially paid by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color w:val="auto"/>
        </w:rPr>
        <w:t>–</w:t>
      </w:r>
      <w:r>
        <w:rPr>
          <w:rFonts w:ascii="Arial" w:cs="Arial" w:eastAsia="Arial" w:hAnsi="Arial"/>
          <w:sz w:val="18"/>
          <w:szCs w:val="18"/>
          <w:b w:val="1"/>
          <w:bCs w:val="1"/>
          <w:color w:val="auto"/>
        </w:rPr>
        <w:t xml:space="preserve"> Net Income (Loss) Per Share Attributable to Class A Common Shareholders</w:t>
      </w:r>
    </w:p>
    <w:p>
      <w:pPr>
        <w:spacing w:after="0" w:line="243"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7"/>
          <w:szCs w:val="17"/>
          <w:color w:val="auto"/>
        </w:rPr>
        <w:t>The Company analyzed the calculation of net income (loss) per share for periods prior to the Business Combination on June 24, 2021 and determined that it resulted in values that would not be meaningful to the users of the condensed consolidated financial statements. Therefore, net income (loss) per share information has not been presented for periods prior to the Business Combination. The basic and diluted net income (loss) per share attributable to Class A common shareholders for the nine months ended September 30, 2021, as presented on the Condensed Consolidated Statements of Operations, represent only the period after the Business Combination to September 30, 2021.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calculations of basic and diluted net income (loss) per share attributable to Class A common shareholders are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Period After</w:t>
            </w:r>
          </w:p>
        </w:tc>
      </w:tr>
      <w:tr>
        <w:trPr>
          <w:trHeight w:val="229"/>
        </w:trPr>
        <w:tc>
          <w:tcPr>
            <w:tcW w:w="7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right="270"/>
              <w:spacing w:after="0"/>
              <w:rPr>
                <w:sz w:val="20"/>
                <w:szCs w:val="20"/>
                <w:color w:val="auto"/>
              </w:rPr>
            </w:pPr>
            <w:r>
              <w:rPr>
                <w:rFonts w:ascii="Arial" w:cs="Arial" w:eastAsia="Arial" w:hAnsi="Arial"/>
                <w:sz w:val="18"/>
                <w:szCs w:val="18"/>
                <w:b w:val="1"/>
                <w:bCs w:val="1"/>
                <w:color w:val="auto"/>
                <w:w w:val="82"/>
              </w:rPr>
              <w:t>Business</w:t>
            </w:r>
          </w:p>
        </w:tc>
      </w:tr>
      <w:tr>
        <w:trPr>
          <w:trHeight w:val="230"/>
        </w:trPr>
        <w:tc>
          <w:tcPr>
            <w:tcW w:w="7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Combination</w:t>
            </w:r>
          </w:p>
        </w:tc>
      </w:tr>
      <w:tr>
        <w:trPr>
          <w:trHeight w:val="229"/>
        </w:trPr>
        <w:tc>
          <w:tcPr>
            <w:tcW w:w="7560" w:type="dxa"/>
            <w:vAlign w:val="bottom"/>
          </w:tcPr>
          <w:p>
            <w:pPr>
              <w:spacing w:after="0"/>
              <w:rPr>
                <w:sz w:val="19"/>
                <w:szCs w:val="19"/>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Three Months Ended</w:t>
            </w:r>
          </w:p>
        </w:tc>
        <w:tc>
          <w:tcPr>
            <w:tcW w:w="160" w:type="dxa"/>
            <w:vAlign w:val="bottom"/>
          </w:tcPr>
          <w:p>
            <w:pPr>
              <w:spacing w:after="0"/>
              <w:rPr>
                <w:sz w:val="19"/>
                <w:szCs w:val="19"/>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Through September</w:t>
            </w:r>
          </w:p>
        </w:tc>
      </w:tr>
      <w:tr>
        <w:trPr>
          <w:trHeight w:val="241"/>
        </w:trPr>
        <w:tc>
          <w:tcPr>
            <w:tcW w:w="7560" w:type="dxa"/>
            <w:vAlign w:val="bottom"/>
          </w:tcPr>
          <w:p>
            <w:pPr>
              <w:spacing w:after="0"/>
              <w:rPr>
                <w:sz w:val="20"/>
                <w:szCs w:val="20"/>
                <w:color w:val="auto"/>
              </w:rPr>
            </w:pPr>
          </w:p>
        </w:tc>
        <w:tc>
          <w:tcPr>
            <w:tcW w:w="17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September 30, 2021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30, 2021</w:t>
            </w:r>
          </w:p>
        </w:tc>
      </w:tr>
      <w:tr>
        <w:trPr>
          <w:trHeight w:val="25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Numerator:</w:t>
            </w:r>
          </w:p>
        </w:tc>
        <w:tc>
          <w:tcPr>
            <w:tcW w:w="48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basic</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3,476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(9,023 )</w:t>
            </w:r>
          </w:p>
        </w:tc>
      </w:tr>
      <w:tr>
        <w:trPr>
          <w:trHeight w:val="263"/>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Dilutive effect from assumed exercise of warrants, net of tax</w:t>
            </w:r>
          </w:p>
        </w:tc>
        <w:tc>
          <w:tcPr>
            <w:tcW w:w="48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560" w:type="dxa"/>
            <w:vAlign w:val="bottom"/>
          </w:tcPr>
          <w:p>
            <w:pPr>
              <w:ind w:left="120"/>
              <w:spacing w:after="0"/>
              <w:rPr>
                <w:sz w:val="20"/>
                <w:szCs w:val="20"/>
                <w:color w:val="auto"/>
              </w:rPr>
            </w:pPr>
            <w:r>
              <w:rPr>
                <w:rFonts w:ascii="Arial" w:cs="Arial" w:eastAsia="Arial" w:hAnsi="Arial"/>
                <w:sz w:val="18"/>
                <w:szCs w:val="18"/>
                <w:color w:val="auto"/>
              </w:rPr>
              <w:t>Dilutive effect from assumed exchange of PWP OpCo Units, net of tax</w:t>
            </w: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(12,163 )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(28,401 )</w:t>
            </w:r>
          </w:p>
        </w:tc>
      </w:tr>
      <w:tr>
        <w:trPr>
          <w:trHeight w:val="263"/>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Dilutive effect from assumed vesting of RSUs and PSUs, net of tax</w:t>
            </w:r>
          </w:p>
        </w:tc>
        <w:tc>
          <w:tcPr>
            <w:tcW w:w="4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diluted</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(8,687 )</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(37,424 )</w:t>
            </w:r>
          </w:p>
        </w:tc>
      </w:tr>
      <w:tr>
        <w:trPr>
          <w:trHeight w:val="20"/>
        </w:trPr>
        <w:tc>
          <w:tcPr>
            <w:tcW w:w="7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Denominator:</w:t>
            </w:r>
          </w:p>
        </w:tc>
        <w:tc>
          <w:tcPr>
            <w:tcW w:w="4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4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42,572,813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42,599,954</w:t>
            </w:r>
          </w:p>
        </w:tc>
      </w:tr>
      <w:tr>
        <w:trPr>
          <w:trHeight w:val="290"/>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Weighted average number of incremental shares from assumed exercise of warrants</w:t>
            </w:r>
          </w:p>
        </w:tc>
        <w:tc>
          <w:tcPr>
            <w:tcW w:w="4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560" w:type="dxa"/>
            <w:vAlign w:val="bottom"/>
          </w:tcPr>
          <w:p>
            <w:pPr>
              <w:ind w:left="120"/>
              <w:spacing w:after="0"/>
              <w:rPr>
                <w:sz w:val="20"/>
                <w:szCs w:val="20"/>
                <w:color w:val="auto"/>
              </w:rPr>
            </w:pPr>
            <w:r>
              <w:rPr>
                <w:rFonts w:ascii="Arial" w:cs="Arial" w:eastAsia="Arial" w:hAnsi="Arial"/>
                <w:sz w:val="18"/>
                <w:szCs w:val="18"/>
                <w:color w:val="auto"/>
                <w:w w:val="98"/>
              </w:rPr>
              <w:t>Weighted average number of incremental shares from assumed exchange of PWP OpCo Units</w:t>
            </w:r>
          </w:p>
        </w:tc>
        <w:tc>
          <w:tcPr>
            <w:tcW w:w="480" w:type="dxa"/>
            <w:vAlign w:val="bottom"/>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50,154,199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50,154,199</w:t>
            </w:r>
          </w:p>
        </w:tc>
      </w:tr>
      <w:tr>
        <w:trPr>
          <w:trHeight w:val="277"/>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Weighted average number of incremental shares from assumed vesting of RSUs and PSUs</w:t>
            </w:r>
          </w:p>
        </w:tc>
        <w:tc>
          <w:tcPr>
            <w:tcW w:w="48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92,727,012</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92,754,153</w:t>
            </w:r>
          </w:p>
        </w:tc>
      </w:tr>
      <w:tr>
        <w:trPr>
          <w:trHeight w:val="20"/>
        </w:trPr>
        <w:tc>
          <w:tcPr>
            <w:tcW w:w="7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 attributable to Class A common shareholders</w:t>
            </w:r>
          </w:p>
        </w:tc>
        <w:tc>
          <w:tcPr>
            <w:tcW w:w="4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r>
      <w:tr>
        <w:trPr>
          <w:trHeight w:val="250"/>
        </w:trPr>
        <w:tc>
          <w:tcPr>
            <w:tcW w:w="7560" w:type="dxa"/>
            <w:vAlign w:val="bottom"/>
          </w:tcPr>
          <w:p>
            <w:pPr>
              <w:ind w:left="120"/>
              <w:spacing w:after="0"/>
              <w:rPr>
                <w:sz w:val="20"/>
                <w:szCs w:val="20"/>
                <w:color w:val="auto"/>
              </w:rPr>
            </w:pPr>
            <w:r>
              <w:rPr>
                <w:rFonts w:ascii="Arial" w:cs="Arial" w:eastAsia="Arial" w:hAnsi="Arial"/>
                <w:sz w:val="18"/>
                <w:szCs w:val="18"/>
                <w:color w:val="auto"/>
              </w:rPr>
              <w:t>Basic</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(0.21 )</w:t>
            </w:r>
          </w:p>
        </w:tc>
      </w:tr>
      <w:tr>
        <w:trPr>
          <w:trHeight w:val="263"/>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(0.09 )</w:t>
            </w:r>
          </w:p>
        </w:tc>
        <w:tc>
          <w:tcPr>
            <w:tcW w:w="3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-1736725</wp:posOffset>
            </wp:positionV>
            <wp:extent cx="9461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-681990</wp:posOffset>
            </wp:positionV>
            <wp:extent cx="9461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195"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The impact of Class B common stock has been excluded from the calculation as these shares are entitled to an insignificant amount of economic participation.</w:t>
      </w:r>
    </w:p>
    <w:p>
      <w:pPr>
        <w:spacing w:after="0" w:line="170"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8"/>
          <w:szCs w:val="18"/>
          <w:color w:val="auto"/>
        </w:rPr>
        <w:t>The Company uses the treasury stock method to determine the potential dilutive effect of outstanding warrants and unvested RSUs and PSUs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192"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Period After</w:t>
            </w:r>
          </w:p>
        </w:tc>
      </w:tr>
      <w:tr>
        <w:trPr>
          <w:trHeight w:val="230"/>
        </w:trPr>
        <w:tc>
          <w:tcPr>
            <w:tcW w:w="7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r>
      <w:tr>
        <w:trPr>
          <w:trHeight w:val="229"/>
        </w:trPr>
        <w:tc>
          <w:tcPr>
            <w:tcW w:w="7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Combination</w:t>
            </w:r>
          </w:p>
        </w:tc>
      </w:tr>
      <w:tr>
        <w:trPr>
          <w:trHeight w:val="230"/>
        </w:trPr>
        <w:tc>
          <w:tcPr>
            <w:tcW w:w="760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9"/>
                <w:szCs w:val="19"/>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Through September</w:t>
            </w:r>
          </w:p>
        </w:tc>
      </w:tr>
      <w:tr>
        <w:trPr>
          <w:trHeight w:val="241"/>
        </w:trPr>
        <w:tc>
          <w:tcPr>
            <w:tcW w:w="7600" w:type="dxa"/>
            <w:vAlign w:val="bottom"/>
          </w:tcPr>
          <w:p>
            <w:pPr>
              <w:spacing w:after="0"/>
              <w:rPr>
                <w:sz w:val="20"/>
                <w:szCs w:val="20"/>
                <w:color w:val="auto"/>
              </w:rPr>
            </w:pP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September 30, 2021</w:t>
            </w:r>
          </w:p>
        </w:tc>
        <w:tc>
          <w:tcPr>
            <w:tcW w:w="16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30, 2021</w:t>
            </w:r>
          </w:p>
        </w:tc>
      </w:tr>
      <w:tr>
        <w:trPr>
          <w:trHeight w:val="25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1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1,075,327</w:t>
            </w:r>
          </w:p>
        </w:tc>
        <w:tc>
          <w:tcPr>
            <w:tcW w:w="18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1,075,327</w:t>
            </w: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PWP OpCo Units</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RSUs and PSUs</w:t>
            </w:r>
          </w:p>
        </w:tc>
        <w:tc>
          <w:tcPr>
            <w:tcW w:w="1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16,112</w:t>
            </w:r>
          </w:p>
        </w:tc>
        <w:tc>
          <w:tcPr>
            <w:tcW w:w="160" w:type="dxa"/>
            <w:vAlign w:val="bottom"/>
            <w:tcBorders>
              <w:bottom w:val="single" w:sz="8" w:color="CFF0FC"/>
            </w:tcBorders>
            <w:shd w:val="clear" w:color="auto" w:fill="CFF0FC"/>
          </w:tcPr>
          <w:p>
            <w:pPr>
              <w:spacing w:after="0"/>
              <w:rPr>
                <w:sz w:val="22"/>
                <w:szCs w:val="22"/>
                <w:color w:val="auto"/>
              </w:rPr>
            </w:pPr>
          </w:p>
        </w:tc>
        <w:tc>
          <w:tcPr>
            <w:tcW w:w="1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16,112</w:t>
            </w:r>
          </w:p>
        </w:tc>
      </w:tr>
      <w:tr>
        <w:trPr>
          <w:trHeight w:val="244"/>
        </w:trPr>
        <w:tc>
          <w:tcPr>
            <w:tcW w:w="76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1,091,439</w:t>
            </w:r>
          </w:p>
        </w:tc>
        <w:tc>
          <w:tcPr>
            <w:tcW w:w="1880" w:type="dxa"/>
            <w:vAlign w:val="bottom"/>
            <w:gridSpan w:val="2"/>
          </w:tcPr>
          <w:p>
            <w:pPr>
              <w:jc w:val="right"/>
              <w:ind w:right="10"/>
              <w:spacing w:after="0"/>
              <w:rPr>
                <w:sz w:val="20"/>
                <w:szCs w:val="20"/>
                <w:color w:val="auto"/>
              </w:rPr>
            </w:pPr>
            <w:r>
              <w:rPr>
                <w:rFonts w:ascii="Arial" w:cs="Arial" w:eastAsia="Arial" w:hAnsi="Arial"/>
                <w:sz w:val="18"/>
                <w:szCs w:val="18"/>
                <w:color w:val="auto"/>
              </w:rPr>
              <w:t>1,091,439</w:t>
            </w:r>
          </w:p>
        </w:tc>
      </w:tr>
      <w:tr>
        <w:trPr>
          <w:trHeight w:val="20"/>
        </w:trPr>
        <w:tc>
          <w:tcPr>
            <w:tcW w:w="76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-193675</wp:posOffset>
            </wp:positionV>
            <wp:extent cx="939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7" w:name="page38"/>
    <w:bookmarkEnd w:id="37"/>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 and Investments</w:t>
      </w:r>
    </w:p>
    <w:p>
      <w:pPr>
        <w:spacing w:after="0" w:line="243"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Financial instruments measured and reported at fair value are classified and disclosed in one of the following categories (from highest to lowest)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on inputs:</w:t>
      </w:r>
    </w:p>
    <w:p>
      <w:pPr>
        <w:spacing w:after="0" w:line="23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239" w:lineRule="exact"/>
        <w:rPr>
          <w:sz w:val="20"/>
          <w:szCs w:val="20"/>
          <w:color w:val="auto"/>
        </w:rPr>
      </w:pPr>
    </w:p>
    <w:p>
      <w:pPr>
        <w:ind w:left="840"/>
        <w:spacing w:after="0" w:line="293" w:lineRule="auto"/>
        <w:rPr>
          <w:sz w:val="20"/>
          <w:szCs w:val="20"/>
          <w:color w:val="auto"/>
        </w:rPr>
      </w:pPr>
      <w:r>
        <w:rPr>
          <w:rFonts w:ascii="Arial" w:cs="Arial" w:eastAsia="Arial" w:hAnsi="Arial"/>
          <w:sz w:val="18"/>
          <w:szCs w:val="18"/>
          <w:color w:val="auto"/>
        </w:rPr>
        <w:t>Level 2 – Pricing inputs are observable inputs other than quoted prices included in Level 1, such as quoted prices for similar assets or liabilities in active markets or quoted prices for identical assets or liabilities in inactive markets.</w:t>
      </w:r>
    </w:p>
    <w:p>
      <w:pPr>
        <w:spacing w:after="0" w:line="170" w:lineRule="exact"/>
        <w:rPr>
          <w:sz w:val="20"/>
          <w:szCs w:val="20"/>
          <w:color w:val="auto"/>
        </w:rPr>
      </w:pPr>
    </w:p>
    <w:p>
      <w:pPr>
        <w:ind w:left="840"/>
        <w:spacing w:after="0" w:line="324"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147"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8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fair values of cash, restricted cash, accounts receivable, due from related parties, accounts payable and certain accrued liabilities approximate their carrying amounts due to the short-term nature of these items. Due to the variable rate nature of the Revolving Credit Facility, the carrying value as of December 31, 2020 approximated the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jc w:val="both"/>
        <w:ind w:right="20" w:firstLine="464"/>
        <w:spacing w:after="0" w:line="293"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September 30, 2021 and December 31,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September 30, 2021</w:t>
            </w: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4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6"/>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tcPr>
          <w:p>
            <w:pPr>
              <w:ind w:left="120"/>
              <w:spacing w:after="0"/>
              <w:rPr>
                <w:sz w:val="20"/>
                <w:szCs w:val="20"/>
                <w:color w:val="auto"/>
              </w:rPr>
            </w:pPr>
            <w:r>
              <w:rPr>
                <w:rFonts w:ascii="Arial" w:cs="Arial" w:eastAsia="Arial" w:hAnsi="Arial"/>
                <w:sz w:val="18"/>
                <w:szCs w:val="18"/>
                <w:color w:val="auto"/>
              </w:rPr>
              <w:t>Investments in mutual funds and 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surrender value of company-owned life</w:t>
            </w:r>
          </w:p>
        </w:tc>
        <w:tc>
          <w:tcPr>
            <w:tcW w:w="320" w:type="dxa"/>
            <w:vAlign w:val="bottom"/>
            <w:shd w:val="clear" w:color="auto" w:fill="CFF0FC"/>
          </w:tcPr>
          <w:p>
            <w:pPr>
              <w:spacing w:after="0"/>
              <w:rPr>
                <w:sz w:val="21"/>
                <w:szCs w:val="21"/>
                <w:color w:val="auto"/>
              </w:rPr>
            </w:pPr>
          </w:p>
        </w:tc>
        <w:tc>
          <w:tcPr>
            <w:tcW w:w="134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893</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insurance</w:t>
            </w:r>
          </w:p>
        </w:tc>
        <w:tc>
          <w:tcPr>
            <w:tcW w:w="3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Total financial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Warrant liabilities - Public warrants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24,226</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24,226</w:t>
            </w:r>
          </w:p>
        </w:tc>
        <w:tc>
          <w:tcPr>
            <w:tcW w:w="0" w:type="dxa"/>
            <w:vAlign w:val="bottom"/>
          </w:tcPr>
          <w:p>
            <w:pPr>
              <w:spacing w:after="0"/>
              <w:rPr>
                <w:sz w:val="1"/>
                <w:szCs w:val="1"/>
                <w:color w:val="auto"/>
              </w:rPr>
            </w:pPr>
          </w:p>
        </w:tc>
      </w:tr>
      <w:tr>
        <w:trPr>
          <w:trHeight w:val="250"/>
        </w:trPr>
        <w:tc>
          <w:tcPr>
            <w:tcW w:w="4240" w:type="dxa"/>
            <w:vAlign w:val="bottom"/>
          </w:tcPr>
          <w:p>
            <w:pPr>
              <w:ind w:left="120"/>
              <w:spacing w:after="0"/>
              <w:rPr>
                <w:sz w:val="20"/>
                <w:szCs w:val="20"/>
                <w:color w:val="auto"/>
              </w:rPr>
            </w:pPr>
            <w:r>
              <w:rPr>
                <w:rFonts w:ascii="Arial" w:cs="Arial" w:eastAsia="Arial" w:hAnsi="Arial"/>
                <w:sz w:val="18"/>
                <w:szCs w:val="18"/>
                <w:color w:val="auto"/>
              </w:rPr>
              <w:t>Warrant liabilities - Private warrants</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96"/>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24,226</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740</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-1042035</wp:posOffset>
            </wp:positionV>
            <wp:extent cx="10287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-1042035</wp:posOffset>
            </wp:positionV>
            <wp:extent cx="10287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-1042035</wp:posOffset>
            </wp:positionV>
            <wp:extent cx="10287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1028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102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1028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1028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028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028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8" w:name="page39"/>
    <w:bookmarkEnd w:id="38"/>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December 31, 2020</w:t>
            </w: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4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3</w:t>
            </w:r>
          </w:p>
        </w:tc>
        <w:tc>
          <w:tcPr>
            <w:tcW w:w="3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1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tcPr>
          <w:p>
            <w:pPr>
              <w:ind w:left="120"/>
              <w:spacing w:after="0"/>
              <w:rPr>
                <w:sz w:val="20"/>
                <w:szCs w:val="20"/>
                <w:color w:val="auto"/>
              </w:rPr>
            </w:pPr>
            <w:r>
              <w:rPr>
                <w:rFonts w:ascii="Arial" w:cs="Arial" w:eastAsia="Arial" w:hAnsi="Arial"/>
                <w:sz w:val="18"/>
                <w:szCs w:val="18"/>
                <w:color w:val="auto"/>
              </w:rPr>
              <w:t>Investments in mutual funds and other</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surrender value of company-owned life</w:t>
            </w:r>
          </w:p>
        </w:tc>
        <w:tc>
          <w:tcPr>
            <w:tcW w:w="1180" w:type="dxa"/>
            <w:vAlign w:val="bottom"/>
            <w:shd w:val="clear" w:color="auto" w:fill="CFF0FC"/>
          </w:tcPr>
          <w:p>
            <w:pPr>
              <w:spacing w:after="0"/>
              <w:rPr>
                <w:sz w:val="21"/>
                <w:szCs w:val="21"/>
                <w:color w:val="auto"/>
              </w:rPr>
            </w:pPr>
          </w:p>
        </w:tc>
        <w:tc>
          <w:tcPr>
            <w:tcW w:w="4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857</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6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insurance</w:t>
            </w:r>
          </w:p>
        </w:tc>
        <w:tc>
          <w:tcPr>
            <w:tcW w:w="118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Total financial assets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142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-193675</wp:posOffset>
            </wp:positionV>
            <wp:extent cx="10287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-193675</wp:posOffset>
            </wp:positionV>
            <wp:extent cx="10287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-193675</wp:posOffset>
            </wp:positionV>
            <wp:extent cx="10287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had no transfers between fair value levels during the three and nine months ended September 30, 2021.</w:t>
      </w:r>
    </w:p>
    <w:p>
      <w:pPr>
        <w:spacing w:after="0" w:line="23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As of September 30, 2021 and December 31, 2020, the Company held investments related to a legacy deferred compensation program and securities, which are included in Prepaid expenses and other assets on the Condensed Consolidated Statements of Financial Condition.</w:t>
      </w:r>
    </w:p>
    <w:p>
      <w:pPr>
        <w:spacing w:after="0" w:line="17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Condensed Consolidated Statements of Financial Condition at the amount that could be realized under the contract as of September 30, 2021 and December 31, 2020, which approximates fair value.</w:t>
      </w:r>
    </w:p>
    <w:p>
      <w:pPr>
        <w:spacing w:after="0" w:line="183" w:lineRule="exact"/>
        <w:rPr>
          <w:sz w:val="20"/>
          <w:szCs w:val="20"/>
          <w:color w:val="auto"/>
        </w:rPr>
      </w:pPr>
    </w:p>
    <w:p>
      <w:pPr>
        <w:jc w:val="both"/>
        <w:ind w:firstLine="464"/>
        <w:spacing w:after="0" w:line="324" w:lineRule="auto"/>
        <w:rPr>
          <w:sz w:val="20"/>
          <w:szCs w:val="20"/>
          <w:color w:val="auto"/>
        </w:rPr>
      </w:pPr>
      <w:r>
        <w:rPr>
          <w:rFonts w:ascii="Arial" w:cs="Arial" w:eastAsia="Arial" w:hAnsi="Arial"/>
          <w:sz w:val="17"/>
          <w:szCs w:val="17"/>
          <w:color w:val="auto"/>
        </w:rPr>
        <w:t>The public warrants are valued using quoted market prices on the Nasdaq Capital Market under the ticker PWPPW and are included in Warrant liabilities on the Condensed Consolidated Statements of Financial Condition. As of September 30, 2021, the price per public warrant was $3.16.</w:t>
      </w:r>
    </w:p>
    <w:p>
      <w:pPr>
        <w:spacing w:after="0" w:line="147" w:lineRule="exact"/>
        <w:rPr>
          <w:sz w:val="20"/>
          <w:szCs w:val="20"/>
          <w:color w:val="auto"/>
        </w:rPr>
      </w:pPr>
    </w:p>
    <w:p>
      <w:pPr>
        <w:jc w:val="both"/>
        <w:ind w:firstLine="464"/>
        <w:spacing w:after="0" w:line="285" w:lineRule="auto"/>
        <w:rPr>
          <w:sz w:val="20"/>
          <w:szCs w:val="20"/>
          <w:color w:val="auto"/>
        </w:rPr>
      </w:pPr>
      <w:r>
        <w:rPr>
          <w:rFonts w:ascii="Arial" w:cs="Arial" w:eastAsia="Arial" w:hAnsi="Arial"/>
          <w:sz w:val="17"/>
          <w:szCs w:val="17"/>
          <w:color w:val="auto"/>
        </w:rPr>
        <w:t>Management determines the fair value of the private warrants using the Black-Scholes option pricing valuation model (“Valuation Model”). The private warrants are classified as Level 3 as of September 30, 2021 because of the use of significant unobservable inputs in the Valuation Model. The inputs into the Valuation Model for the private warrants, including some significant unobservable inputs,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September 30, 2021</w:t>
            </w:r>
          </w:p>
        </w:tc>
      </w:tr>
      <w:tr>
        <w:trPr>
          <w:trHeight w:val="257"/>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rate of return</w:t>
            </w:r>
          </w:p>
        </w:tc>
        <w:tc>
          <w:tcPr>
            <w:tcW w:w="400" w:type="dxa"/>
            <w:vAlign w:val="bottom"/>
            <w:shd w:val="clear" w:color="auto" w:fill="CFF0FC"/>
          </w:tcPr>
          <w:p>
            <w:pPr>
              <w:spacing w:after="0"/>
              <w:rPr>
                <w:sz w:val="22"/>
                <w:szCs w:val="22"/>
                <w:color w:val="auto"/>
              </w:rPr>
            </w:pPr>
          </w:p>
        </w:tc>
        <w:tc>
          <w:tcPr>
            <w:tcW w:w="2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0.90 %</w:t>
            </w:r>
          </w:p>
        </w:tc>
      </w:tr>
      <w:tr>
        <w:trPr>
          <w:trHeight w:val="250"/>
        </w:trPr>
        <w:tc>
          <w:tcPr>
            <w:tcW w:w="81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00" w:type="dxa"/>
            <w:vAlign w:val="bottom"/>
          </w:tcPr>
          <w:p>
            <w:pPr>
              <w:spacing w:after="0"/>
              <w:rPr>
                <w:sz w:val="21"/>
                <w:szCs w:val="21"/>
                <w:color w:val="auto"/>
              </w:rPr>
            </w:pPr>
          </w:p>
        </w:tc>
        <w:tc>
          <w:tcPr>
            <w:tcW w:w="2740" w:type="dxa"/>
            <w:vAlign w:val="bottom"/>
          </w:tcPr>
          <w:p>
            <w:pPr>
              <w:jc w:val="right"/>
              <w:ind w:right="10"/>
              <w:spacing w:after="0"/>
              <w:rPr>
                <w:sz w:val="20"/>
                <w:szCs w:val="20"/>
                <w:color w:val="auto"/>
              </w:rPr>
            </w:pPr>
            <w:r>
              <w:rPr>
                <w:rFonts w:ascii="Arial" w:cs="Arial" w:eastAsia="Arial" w:hAnsi="Arial"/>
                <w:sz w:val="18"/>
                <w:szCs w:val="18"/>
                <w:color w:val="auto"/>
              </w:rPr>
              <w:t>27.50 %</w:t>
            </w:r>
          </w:p>
        </w:tc>
      </w:tr>
      <w:tr>
        <w:trPr>
          <w:trHeight w:val="263"/>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FF0FC"/>
          </w:tcPr>
          <w:p>
            <w:pPr>
              <w:spacing w:after="0"/>
              <w:rPr>
                <w:sz w:val="22"/>
                <w:szCs w:val="22"/>
                <w:color w:val="auto"/>
              </w:rPr>
            </w:pPr>
          </w:p>
        </w:tc>
        <w:tc>
          <w:tcPr>
            <w:tcW w:w="2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2.00 %</w:t>
            </w:r>
          </w:p>
        </w:tc>
      </w:tr>
      <w:tr>
        <w:trPr>
          <w:trHeight w:val="250"/>
        </w:trPr>
        <w:tc>
          <w:tcPr>
            <w:tcW w:w="81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400" w:type="dxa"/>
            <w:vAlign w:val="bottom"/>
          </w:tcPr>
          <w:p>
            <w:pPr>
              <w:spacing w:after="0"/>
              <w:rPr>
                <w:sz w:val="21"/>
                <w:szCs w:val="21"/>
                <w:color w:val="auto"/>
              </w:rPr>
            </w:pPr>
          </w:p>
        </w:tc>
        <w:tc>
          <w:tcPr>
            <w:tcW w:w="2740" w:type="dxa"/>
            <w:vAlign w:val="bottom"/>
          </w:tcPr>
          <w:p>
            <w:pPr>
              <w:jc w:val="right"/>
              <w:ind w:right="170"/>
              <w:spacing w:after="0"/>
              <w:rPr>
                <w:sz w:val="20"/>
                <w:szCs w:val="20"/>
                <w:color w:val="auto"/>
              </w:rPr>
            </w:pPr>
            <w:r>
              <w:rPr>
                <w:rFonts w:ascii="Arial" w:cs="Arial" w:eastAsia="Arial" w:hAnsi="Arial"/>
                <w:sz w:val="18"/>
                <w:szCs w:val="18"/>
                <w:color w:val="auto"/>
              </w:rPr>
              <w:t>5</w:t>
            </w:r>
          </w:p>
        </w:tc>
      </w:tr>
      <w:tr>
        <w:trPr>
          <w:trHeight w:val="263"/>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price per share</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27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11.50</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Asset price per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740" w:type="dxa"/>
            <w:vAlign w:val="bottom"/>
          </w:tcPr>
          <w:p>
            <w:pPr>
              <w:jc w:val="right"/>
              <w:ind w:right="170"/>
              <w:spacing w:after="0"/>
              <w:rPr>
                <w:sz w:val="20"/>
                <w:szCs w:val="20"/>
                <w:color w:val="auto"/>
              </w:rPr>
            </w:pPr>
            <w:r>
              <w:rPr>
                <w:rFonts w:ascii="Arial" w:cs="Arial" w:eastAsia="Arial" w:hAnsi="Arial"/>
                <w:sz w:val="18"/>
                <w:szCs w:val="18"/>
                <w:color w:val="auto"/>
              </w:rPr>
              <w:t>13.28</w:t>
            </w: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use of the Valuation Model required the use of the following assumptions:</w:t>
      </w:r>
    </w:p>
    <w:p>
      <w:pPr>
        <w:spacing w:after="0" w:line="239"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The risk-free rate of return assumption was based on the expected term and a U.S. Treasury yield curve as of the date of the Business Combination. An increase in the risk-free interest rate, in isolation, would result in an increase in the fair value measurement of the warrant liabilities and vice versa.</w:t>
      </w:r>
    </w:p>
    <w:p>
      <w:pPr>
        <w:spacing w:after="0" w:line="183"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The expected volatility assumption was based on the weighted average of the implied volatility from the Company’s publicly traded warrants and the historical volatility of the Company’s publicly traded industry peers. An increase in the expected volatility, in isolation, would result in an increase in the fair value measurement of the warrant liabilities.</w:t>
      </w:r>
    </w:p>
    <w:p>
      <w:pPr>
        <w:spacing w:after="0" w:line="1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dividend yield was based on management</w:t>
      </w:r>
      <w:r>
        <w:rPr>
          <w:rFonts w:ascii="Arial" w:cs="Arial" w:eastAsia="Arial" w:hAnsi="Arial"/>
          <w:sz w:val="18"/>
          <w:szCs w:val="18"/>
          <w:color w:val="231F20"/>
        </w:rPr>
        <w:t>’</w:t>
      </w:r>
      <w:r>
        <w:rPr>
          <w:rFonts w:ascii="Arial" w:cs="Arial" w:eastAsia="Arial" w:hAnsi="Arial"/>
          <w:sz w:val="18"/>
          <w:szCs w:val="18"/>
          <w:color w:val="auto"/>
        </w:rPr>
        <w:t>s expectation that the Company will pay 2% dividends during the term.</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resulting valuation for the private warrants were determined to be $3.64 per unit as of September 30, 2021. The Company had approximately 203,333 private warrants outstanding as of September 30, 2021, resulting in a fair value of $0.7 million recorded within Warrant liabilities in the Condensed Consolidated Statements of Financial Condition.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changes in Level 3 financial liabilities measured at fair value for the period from June 24, 2021 to September 30, 2021: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Private Warrants</w:t>
            </w:r>
          </w:p>
        </w:tc>
      </w:tr>
      <w:tr>
        <w:trPr>
          <w:trHeight w:val="257"/>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Business Combination</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675</w:t>
            </w: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46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r>
      <w:tr>
        <w:trPr>
          <w:trHeight w:val="290"/>
        </w:trPr>
        <w:tc>
          <w:tcPr>
            <w:tcW w:w="8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 xml:space="preserve">As of September 30, 2021, the Company applies the equity method of accounting to its investment in PFAC Holdings I LLC (“PFAC Holdings”), an indirect parent of PWP Forward Acquisition Corp. I (“PFAC”), a special purpose acquisition company. As of September 30, 2021, the Company’s investment in PFAC Holdings was $1.3 million. The Company’s share of earnings of PFAC Holdings is included in the Condensed Consolidated Statements of </w:t>
      </w:r>
      <w:r>
        <w:rPr>
          <w:rFonts w:ascii="Arial" w:cs="Arial" w:eastAsia="Arial" w:hAnsi="Arial"/>
          <w:sz w:val="18"/>
          <w:szCs w:val="18"/>
          <w:color w:val="2B2B2B"/>
        </w:rPr>
        <w:t>Operations</w:t>
      </w:r>
      <w:r>
        <w:rPr>
          <w:rFonts w:ascii="Arial" w:cs="Arial" w:eastAsia="Arial" w:hAnsi="Arial"/>
          <w:sz w:val="18"/>
          <w:szCs w:val="18"/>
          <w:color w:val="auto"/>
        </w:rPr>
        <w:t xml:space="preserve"> for the three and nine months ended September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Capital Holdings LP</w:t>
      </w:r>
    </w:p>
    <w:p>
      <w:pPr>
        <w:spacing w:after="0" w:line="239"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8"/>
          <w:szCs w:val="18"/>
          <w:i w:val="1"/>
          <w:iCs w:val="1"/>
          <w:color w:val="auto"/>
        </w:rPr>
        <w:t xml:space="preserve">TSA Agreement </w:t>
      </w:r>
      <w:r>
        <w:rPr>
          <w:rFonts w:ascii="Arial" w:cs="Arial" w:eastAsia="Arial" w:hAnsi="Arial"/>
          <w:sz w:val="18"/>
          <w:szCs w:val="18"/>
          <w:color w:val="auto"/>
        </w:rPr>
        <w:t>– In connection with the Separation, the Company entered into a transition services agreement (the “TSA”) with PWP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lesser of 10% per annum or the maximum rate allowed by law.</w:t>
      </w:r>
    </w:p>
    <w:p>
      <w:pPr>
        <w:spacing w:after="0" w:line="194"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i w:val="1"/>
          <w:iCs w:val="1"/>
          <w:color w:val="auto"/>
        </w:rPr>
        <w:t xml:space="preserve">Sublease Income </w:t>
      </w:r>
      <w:r>
        <w:rPr>
          <w:rFonts w:ascii="Arial" w:cs="Arial" w:eastAsia="Arial" w:hAnsi="Arial"/>
          <w:sz w:val="16"/>
          <w:szCs w:val="16"/>
          <w:color w:val="auto"/>
        </w:rPr>
        <w:t>– In connection with the Separation, the Company subleases a portion of its office space at its New York location to PWP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 – Leases.</w:t>
      </w:r>
    </w:p>
    <w:p>
      <w:pPr>
        <w:spacing w:after="0" w:line="156" w:lineRule="exact"/>
        <w:rPr>
          <w:sz w:val="20"/>
          <w:szCs w:val="20"/>
          <w:color w:val="auto"/>
        </w:rPr>
      </w:pPr>
    </w:p>
    <w:p>
      <w:pPr>
        <w:jc w:val="both"/>
        <w:ind w:firstLine="464"/>
        <w:spacing w:after="0" w:line="296" w:lineRule="auto"/>
        <w:rPr>
          <w:sz w:val="20"/>
          <w:szCs w:val="20"/>
          <w:color w:val="auto"/>
        </w:rPr>
      </w:pPr>
      <w:r>
        <w:rPr>
          <w:rFonts w:ascii="Arial" w:cs="Arial" w:eastAsia="Arial" w:hAnsi="Arial"/>
          <w:sz w:val="17"/>
          <w:szCs w:val="17"/>
          <w:i w:val="1"/>
          <w:iCs w:val="1"/>
          <w:color w:val="auto"/>
        </w:rPr>
        <w:t xml:space="preserve">Compensation Arrangements </w:t>
      </w:r>
      <w:r>
        <w:rPr>
          <w:rFonts w:ascii="Arial" w:cs="Arial" w:eastAsia="Arial" w:hAnsi="Arial"/>
          <w:sz w:val="17"/>
          <w:szCs w:val="17"/>
          <w:color w:val="auto"/>
        </w:rPr>
        <w:t>– In addition, PWP Capital Holdings LP has entered into an arrangement with an employee of the Company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Condensed Consolidated Statements of Operations.</w:t>
      </w:r>
    </w:p>
    <w:p>
      <w:pPr>
        <w:spacing w:after="0" w:line="170"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Amounts due from PWP Capital Holdings LP are reflected as Due from related parties on the Condensed Consolidated Statements of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2B2B2B"/>
        </w:rPr>
        <w:t xml:space="preserve">The following table </w:t>
      </w:r>
      <w:r>
        <w:rPr>
          <w:rFonts w:ascii="Arial" w:cs="Arial" w:eastAsia="Arial" w:hAnsi="Arial"/>
          <w:sz w:val="18"/>
          <w:szCs w:val="18"/>
          <w:color w:val="3A3A3A"/>
        </w:rPr>
        <w:t>shows</w:t>
      </w:r>
      <w:r>
        <w:rPr>
          <w:rFonts w:ascii="Arial" w:cs="Arial" w:eastAsia="Arial" w:hAnsi="Arial"/>
          <w:sz w:val="18"/>
          <w:szCs w:val="18"/>
          <w:color w:val="2B2B2B"/>
        </w:rPr>
        <w:t xml:space="preserve"> the </w:t>
      </w:r>
      <w:r>
        <w:rPr>
          <w:rFonts w:ascii="Arial" w:cs="Arial" w:eastAsia="Arial" w:hAnsi="Arial"/>
          <w:sz w:val="18"/>
          <w:szCs w:val="18"/>
          <w:color w:val="000000"/>
        </w:rPr>
        <w:t>components</w:t>
      </w:r>
      <w:r>
        <w:rPr>
          <w:rFonts w:ascii="Arial" w:cs="Arial" w:eastAsia="Arial" w:hAnsi="Arial"/>
          <w:sz w:val="18"/>
          <w:szCs w:val="18"/>
          <w:color w:val="2B2B2B"/>
        </w:rPr>
        <w:t xml:space="preserve"> of TSA income, reported within Related party income, included in the Condensed Consolidated </w:t>
      </w:r>
      <w:r>
        <w:rPr>
          <w:rFonts w:ascii="Arial" w:cs="Arial" w:eastAsia="Arial" w:hAnsi="Arial"/>
          <w:sz w:val="18"/>
          <w:szCs w:val="18"/>
          <w:color w:val="3A3A3A"/>
        </w:rPr>
        <w:t xml:space="preserve">Statements </w:t>
      </w:r>
      <w:r>
        <w:rPr>
          <w:rFonts w:ascii="Arial" w:cs="Arial" w:eastAsia="Arial" w:hAnsi="Arial"/>
          <w:sz w:val="18"/>
          <w:szCs w:val="18"/>
          <w:color w:val="2B2B2B"/>
        </w:rPr>
        <w:t>of Operations</w:t>
      </w:r>
      <w:r>
        <w:rPr>
          <w:rFonts w:ascii="Arial" w:cs="Arial" w:eastAsia="Arial" w:hAnsi="Arial"/>
          <w:sz w:val="18"/>
          <w:szCs w:val="18"/>
          <w:color w:val="3A3A3A"/>
        </w:rPr>
        <w:t xml:space="preserve"> </w:t>
      </w:r>
      <w:r>
        <w:rPr>
          <w:rFonts w:ascii="Arial" w:cs="Arial" w:eastAsia="Arial" w:hAnsi="Arial"/>
          <w:sz w:val="18"/>
          <w:szCs w:val="18"/>
          <w:color w:val="000000"/>
        </w:rPr>
        <w:t>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Nine Months Ended September</w:t>
            </w:r>
          </w:p>
        </w:tc>
      </w:tr>
      <w:tr>
        <w:trPr>
          <w:trHeight w:val="241"/>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79"/>
              </w:rPr>
              <w:t>30,</w:t>
            </w:r>
          </w:p>
        </w:tc>
        <w:tc>
          <w:tcPr>
            <w:tcW w:w="980" w:type="dxa"/>
            <w:vAlign w:val="bottom"/>
            <w:tcBorders>
              <w:bottom w:val="single" w:sz="8" w:color="auto"/>
            </w:tcBorders>
          </w:tcPr>
          <w:p>
            <w:pPr>
              <w:spacing w:after="0"/>
              <w:rPr>
                <w:sz w:val="20"/>
                <w:szCs w:val="20"/>
                <w:color w:val="auto"/>
              </w:rPr>
            </w:pPr>
          </w:p>
        </w:tc>
      </w:tr>
      <w:tr>
        <w:trPr>
          <w:trHeight w:val="250"/>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8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TSA income</w:t>
            </w:r>
          </w:p>
        </w:tc>
        <w:tc>
          <w:tcPr>
            <w:tcW w:w="24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r>
      <w:tr>
        <w:trPr>
          <w:trHeight w:val="277"/>
        </w:trPr>
        <w:tc>
          <w:tcPr>
            <w:tcW w:w="5940" w:type="dxa"/>
            <w:vAlign w:val="bottom"/>
          </w:tcPr>
          <w:p>
            <w:pPr>
              <w:ind w:left="120"/>
              <w:spacing w:after="0"/>
              <w:rPr>
                <w:sz w:val="20"/>
                <w:szCs w:val="20"/>
                <w:color w:val="auto"/>
              </w:rPr>
            </w:pPr>
            <w:r>
              <w:rPr>
                <w:rFonts w:ascii="Arial" w:cs="Arial" w:eastAsia="Arial" w:hAnsi="Arial"/>
                <w:sz w:val="18"/>
                <w:szCs w:val="18"/>
                <w:color w:val="auto"/>
              </w:rPr>
              <w:t>TSA income – Compensation related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1,735</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3,110</w:t>
            </w:r>
          </w:p>
        </w:tc>
      </w:tr>
      <w:tr>
        <w:trPr>
          <w:trHeight w:val="290"/>
        </w:trPr>
        <w:tc>
          <w:tcPr>
            <w:tcW w:w="5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TSA income – Non-compensation related</w:t>
            </w:r>
          </w:p>
        </w:tc>
        <w:tc>
          <w:tcPr>
            <w:tcW w:w="24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1,126</w:t>
            </w:r>
          </w:p>
        </w:tc>
      </w:tr>
      <w:tr>
        <w:trPr>
          <w:trHeight w:val="283"/>
        </w:trPr>
        <w:tc>
          <w:tcPr>
            <w:tcW w:w="5940" w:type="dxa"/>
            <w:vAlign w:val="bottom"/>
          </w:tcPr>
          <w:p>
            <w:pPr>
              <w:ind w:left="120"/>
              <w:spacing w:after="0"/>
              <w:rPr>
                <w:sz w:val="20"/>
                <w:szCs w:val="20"/>
                <w:color w:val="auto"/>
              </w:rPr>
            </w:pPr>
            <w:r>
              <w:rPr>
                <w:rFonts w:ascii="Arial" w:cs="Arial" w:eastAsia="Arial" w:hAnsi="Arial"/>
                <w:sz w:val="18"/>
                <w:szCs w:val="18"/>
                <w:color w:val="auto"/>
              </w:rPr>
              <w:t>Sublease income</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2,947</w:t>
            </w:r>
          </w:p>
        </w:tc>
      </w:tr>
      <w:tr>
        <w:trPr>
          <w:trHeight w:val="310"/>
        </w:trPr>
        <w:tc>
          <w:tcPr>
            <w:tcW w:w="5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TSA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2,412</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4,598</w:t>
            </w: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-25400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39"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certain other persons under which the Company agreed to payment of 85% of the amount of savings, if any, that the Company realizes in U.S. federal, state, local and foreign income taxes as a result of (i) exchanges of interests in PWP OpCo for cash or stock of the Company and certain other transactions and (ii) payments made under the tax receivable agreement. As of September 30, 2021, the Company had an amount due of $14.1 million pursuant to the tax receivable agreement, which represents management’s best estimate of the amounts currently expected to be owed in connection with the tax receivable agreement. The Company expects to make the following payments with respect to the tax receivable agreement, which may differ significantly from actual payments made: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Estimated Payments</w:t>
            </w:r>
          </w:p>
        </w:tc>
      </w:tr>
      <w:tr>
        <w:trPr>
          <w:trHeight w:val="230"/>
        </w:trPr>
        <w:tc>
          <w:tcPr>
            <w:tcW w:w="9300" w:type="dxa"/>
            <w:vAlign w:val="bottom"/>
          </w:tcPr>
          <w:p>
            <w:pPr>
              <w:spacing w:after="0"/>
              <w:rPr>
                <w:sz w:val="19"/>
                <w:szCs w:val="19"/>
                <w:color w:val="auto"/>
              </w:rPr>
            </w:pPr>
          </w:p>
        </w:tc>
        <w:tc>
          <w:tcPr>
            <w:tcW w:w="194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9"/>
              </w:rPr>
              <w:t>Under Tax Receivable</w:t>
            </w:r>
          </w:p>
        </w:tc>
      </w:tr>
      <w:tr>
        <w:trPr>
          <w:trHeight w:val="248"/>
        </w:trPr>
        <w:tc>
          <w:tcPr>
            <w:tcW w:w="9300" w:type="dxa"/>
            <w:vAlign w:val="bottom"/>
          </w:tcPr>
          <w:p>
            <w:pPr>
              <w:ind w:left="20"/>
              <w:spacing w:after="0"/>
              <w:rPr>
                <w:sz w:val="20"/>
                <w:szCs w:val="20"/>
                <w:color w:val="auto"/>
              </w:rPr>
            </w:pPr>
            <w:r>
              <w:rPr>
                <w:rFonts w:ascii="Arial" w:cs="Arial" w:eastAsia="Arial" w:hAnsi="Arial"/>
                <w:sz w:val="18"/>
                <w:szCs w:val="18"/>
                <w:b w:val="1"/>
                <w:bCs w:val="1"/>
                <w:color w:val="auto"/>
              </w:rPr>
              <w:t>Years Ending:</w:t>
            </w: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Agreement</w:t>
            </w:r>
          </w:p>
        </w:tc>
      </w:tr>
      <w:tr>
        <w:trPr>
          <w:trHeight w:val="277"/>
        </w:trPr>
        <w:tc>
          <w:tcPr>
            <w:tcW w:w="9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930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4"/>
                <w:szCs w:val="24"/>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432</w:t>
            </w:r>
          </w:p>
        </w:tc>
      </w:tr>
      <w:tr>
        <w:trPr>
          <w:trHeight w:val="290"/>
        </w:trPr>
        <w:tc>
          <w:tcPr>
            <w:tcW w:w="9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24"/>
                <w:szCs w:val="24"/>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746</w:t>
            </w:r>
          </w:p>
        </w:tc>
      </w:tr>
      <w:tr>
        <w:trPr>
          <w:trHeight w:val="277"/>
        </w:trPr>
        <w:tc>
          <w:tcPr>
            <w:tcW w:w="93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4"/>
                <w:szCs w:val="24"/>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757</w:t>
            </w:r>
          </w:p>
        </w:tc>
      </w:tr>
      <w:tr>
        <w:trPr>
          <w:trHeight w:val="290"/>
        </w:trPr>
        <w:tc>
          <w:tcPr>
            <w:tcW w:w="9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24"/>
                <w:szCs w:val="24"/>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w:t>
            </w:r>
          </w:p>
        </w:tc>
      </w:tr>
      <w:tr>
        <w:trPr>
          <w:trHeight w:val="264"/>
        </w:trPr>
        <w:tc>
          <w:tcPr>
            <w:tcW w:w="93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11,398</w:t>
            </w:r>
          </w:p>
        </w:tc>
      </w:tr>
      <w:tr>
        <w:trPr>
          <w:trHeight w:val="290"/>
        </w:trPr>
        <w:tc>
          <w:tcPr>
            <w:tcW w:w="9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payments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14,108</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239"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PWP OpCo or other affiliate. As the Partner Promissory Notes and associated interest receivable relate to equity transactions, they have been recognized as a reduction of equity on the Condensed Consolidated Statements of Financial Condition in the amount of $6.0 million and $8.0 million as of September 30, 2021 and December 31, 2020,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9"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Principal amounts of $8.7 million related to the Convertible Notes were held by affiliates prior to redemption. Refer to Note 10 – Debt for additional information on the Convertible Notes.</w:t>
      </w:r>
    </w:p>
    <w:p>
      <w:pPr>
        <w:sectPr>
          <w:pgSz w:w="11900" w:h="16838" w:orient="portrait"/>
          <w:cols w:equalWidth="0" w:num="1">
            <w:col w:w="11240"/>
          </w:cols>
          <w:pgMar w:left="320" w:top="13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1" w:name="page42"/>
    <w:bookmarkEnd w:id="41"/>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Company has a minority interest in PFAC Holdings, an indirect parent of PFAC. The Company earned an advisory fee related to PFAC’s initial public offering of $0.6 million during the nine months ended September 30, 2021. In addition, the Company receives a fee of $10,000 per month for certain administrative services provided to PFAC.</w:t>
      </w:r>
    </w:p>
    <w:p>
      <w:pPr>
        <w:spacing w:after="0" w:line="18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During the nine months ended September 30, 2021, the Company earned $3.1 million in advisory fees from entities controlled by a member of the Board of Directors, which are included in Revenues on the Condensed Consolidated Statements of Operations. The Company may earn additional advisory fees from these related entities in future periods.</w:t>
      </w:r>
    </w:p>
    <w:p>
      <w:pPr>
        <w:spacing w:after="0" w:line="18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was $3.5 million and $5.6 million as of September 30, 2021 and December 31, 2020, respectively. These guarantees are secured by either the partners’ interests in PWP OpCo or Professional Partners. As of September 30, 2021 and December 31, 2020, no loan was in default.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September 30, 2021 and December 31, 2020, the Company expects no claims or losses pursuant to these contracts; therefore, no liability has been recorded related to these indemnification provisions.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39"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September 30, 2021 and December 31, 2020 and for the three and nine months ended September 30, 2021 and 2020.</w:t>
      </w:r>
    </w:p>
    <w:p>
      <w:pPr>
        <w:spacing w:after="0" w:line="160"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2" w:name="page43"/>
    <w:bookmarkEnd w:id="42"/>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82"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w:t>
      </w:r>
    </w:p>
    <w:p>
      <w:pPr>
        <w:spacing w:after="0" w:line="160"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56" w:lineRule="exact"/>
        <w:rPr>
          <w:sz w:val="20"/>
          <w:szCs w:val="20"/>
          <w:color w:val="auto"/>
        </w:rPr>
      </w:pPr>
    </w:p>
    <w:p>
      <w:pPr>
        <w:jc w:val="both"/>
        <w:ind w:firstLine="464"/>
        <w:spacing w:after="0" w:line="303" w:lineRule="auto"/>
        <w:rPr>
          <w:sz w:val="20"/>
          <w:szCs w:val="20"/>
          <w:color w:val="auto"/>
        </w:rPr>
      </w:pPr>
      <w:r>
        <w:rPr>
          <w:rFonts w:ascii="Arial" w:cs="Arial" w:eastAsia="Arial" w:hAnsi="Arial"/>
          <w:sz w:val="17"/>
          <w:szCs w:val="17"/>
          <w:color w:val="auto"/>
        </w:rPr>
        <w:t>The Company incurred $0.9 million during both the three and nine months ended September 30, 2021, and $0.4 million and $1.1 million during the three and nine months ended September 30, 2020, respectively, in legal and professional fees, net of expected insurance reimbursement, related to this litigation. These litigation costs are included in Professional fees in the Condensed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entered into employment agreements whereby the Company committed to grant equity awards to such newly hired employees contingent upon certain events (including but not limited to the Company becoming a public company). The Company settled these commitments in the third quarter of 2021 with a grant of awards approved by the compensation committee under our PWP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Information</w:t>
      </w:r>
    </w:p>
    <w:p>
      <w:pPr>
        <w:spacing w:after="0" w:line="243"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p>
      <w:pPr>
        <w:ind w:left="4580"/>
        <w:spacing w:after="0"/>
        <w:rPr>
          <w:sz w:val="20"/>
          <w:szCs w:val="20"/>
          <w:color w:val="auto"/>
        </w:rPr>
      </w:pPr>
      <w:r>
        <w:rPr>
          <w:rFonts w:ascii="Arial" w:cs="Arial" w:eastAsia="Arial" w:hAnsi="Arial"/>
          <w:sz w:val="18"/>
          <w:szCs w:val="18"/>
          <w:b w:val="1"/>
          <w:bCs w:val="1"/>
          <w:color w:val="auto"/>
        </w:rPr>
        <w:t>Perella Weinberg Partners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313" w:lineRule="exact"/>
        <w:rPr>
          <w:sz w:val="20"/>
          <w:szCs w:val="20"/>
          <w:color w:val="auto"/>
        </w:rPr>
      </w:pPr>
    </w:p>
    <w:p>
      <w:pPr>
        <w:jc w:val="both"/>
        <w:ind w:firstLine="464"/>
        <w:spacing w:after="0" w:line="288" w:lineRule="auto"/>
        <w:rPr>
          <w:sz w:val="20"/>
          <w:szCs w:val="20"/>
          <w:color w:val="auto"/>
        </w:rPr>
      </w:pPr>
      <w:r>
        <w:rPr>
          <w:rFonts w:ascii="Arial" w:cs="Arial" w:eastAsia="Arial" w:hAnsi="Arial"/>
          <w:sz w:val="17"/>
          <w:szCs w:val="17"/>
          <w:color w:val="auto"/>
        </w:rPr>
        <w:t>For the three months ended September 30, 2021, revenues of $54.1 million related to two individual clients accounted for more than 10% of aggregate revenue. For the nine months ended September 30, 2021, no individual client accounted for more than 10% of aggregate revenue. For the three months ended September 30, 2020, revenues of $17.9 million related to one individual client accounted for more than 10% of aggregate revenue. For the nine months ended September 30, 2020, no individual client accounted for more than 10% of aggregate revenue.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1"/>
              </w:rPr>
              <w:t>Three Months Ended September</w:t>
            </w:r>
          </w:p>
        </w:tc>
        <w:tc>
          <w:tcPr>
            <w:tcW w:w="100" w:type="dxa"/>
            <w:vAlign w:val="bottom"/>
          </w:tcPr>
          <w:p>
            <w:pPr>
              <w:spacing w:after="0"/>
              <w:rPr>
                <w:sz w:val="19"/>
                <w:szCs w:val="19"/>
                <w:color w:val="auto"/>
              </w:rPr>
            </w:pPr>
          </w:p>
        </w:tc>
        <w:tc>
          <w:tcPr>
            <w:tcW w:w="26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41"/>
        </w:trPr>
        <w:tc>
          <w:tcPr>
            <w:tcW w:w="5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63"/>
        </w:trPr>
        <w:tc>
          <w:tcPr>
            <w:tcW w:w="55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57"/>
        </w:trPr>
        <w:tc>
          <w:tcPr>
            <w:tcW w:w="5560" w:type="dxa"/>
            <w:vAlign w:val="bottom"/>
            <w:shd w:val="clear" w:color="auto" w:fill="CFF0FC"/>
          </w:tcPr>
          <w:p>
            <w:pPr>
              <w:jc w:val="center"/>
              <w:ind w:right="4690"/>
              <w:spacing w:after="0"/>
              <w:rPr>
                <w:sz w:val="20"/>
                <w:szCs w:val="20"/>
                <w:color w:val="auto"/>
              </w:rPr>
            </w:pPr>
            <w:r>
              <w:rPr>
                <w:rFonts w:ascii="Arial" w:cs="Arial" w:eastAsia="Arial" w:hAnsi="Arial"/>
                <w:sz w:val="18"/>
                <w:szCs w:val="18"/>
                <w:b w:val="1"/>
                <w:bCs w:val="1"/>
                <w:color w:val="auto"/>
                <w:w w:val="86"/>
              </w:rPr>
              <w:t>Revenues</w:t>
            </w:r>
          </w:p>
        </w:tc>
        <w:tc>
          <w:tcPr>
            <w:tcW w:w="1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50"/>
        </w:trPr>
        <w:tc>
          <w:tcPr>
            <w:tcW w:w="55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150,113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96,519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494,976</w:t>
            </w: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237,869</w:t>
            </w:r>
          </w:p>
        </w:tc>
      </w:tr>
      <w:tr>
        <w:trPr>
          <w:trHeight w:val="257"/>
        </w:trPr>
        <w:tc>
          <w:tcPr>
            <w:tcW w:w="5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27,314</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26,325</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107,773</w:t>
            </w:r>
          </w:p>
        </w:tc>
        <w:tc>
          <w:tcPr>
            <w:tcW w:w="1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91,972</w:t>
            </w:r>
          </w:p>
        </w:tc>
      </w:tr>
      <w:tr>
        <w:trPr>
          <w:trHeight w:val="250"/>
        </w:trPr>
        <w:tc>
          <w:tcPr>
            <w:tcW w:w="5560" w:type="dxa"/>
            <w:vAlign w:val="bottom"/>
          </w:tcPr>
          <w:p>
            <w:pPr>
              <w:jc w:val="center"/>
              <w:ind w:right="471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177,427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122,844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602,749</w:t>
            </w: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329,841</w:t>
            </w:r>
          </w:p>
        </w:tc>
      </w:tr>
      <w:tr>
        <w:trPr>
          <w:trHeight w:val="20"/>
        </w:trPr>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-193675</wp:posOffset>
            </wp:positionV>
            <wp:extent cx="8572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-193675</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-193675</wp:posOffset>
            </wp:positionV>
            <wp:extent cx="7683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57"/>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r>
      <w:tr>
        <w:trPr>
          <w:trHeight w:val="250"/>
        </w:trPr>
        <w:tc>
          <w:tcPr>
            <w:tcW w:w="80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496,273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406,884</w:t>
            </w:r>
          </w:p>
        </w:tc>
      </w:tr>
      <w:tr>
        <w:trPr>
          <w:trHeight w:val="257"/>
        </w:trPr>
        <w:tc>
          <w:tcPr>
            <w:tcW w:w="80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167,387</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136,069</w:t>
            </w:r>
          </w:p>
        </w:tc>
      </w:tr>
      <w:tr>
        <w:trPr>
          <w:trHeight w:val="250"/>
        </w:trPr>
        <w:tc>
          <w:tcPr>
            <w:tcW w:w="804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663,660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542,953</w:t>
            </w:r>
          </w:p>
        </w:tc>
      </w:tr>
      <w:tr>
        <w:trPr>
          <w:trHeight w:val="20"/>
        </w:trPr>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-193675</wp:posOffset>
            </wp:positionV>
            <wp:extent cx="13716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has evaluated subsequent events through the issuance date of these condensed consolidated financial statements.</w:t>
      </w:r>
    </w:p>
    <w:p>
      <w:pPr>
        <w:spacing w:after="0" w:line="239" w:lineRule="exact"/>
        <w:rPr>
          <w:sz w:val="20"/>
          <w:szCs w:val="20"/>
          <w:color w:val="auto"/>
        </w:rPr>
      </w:pPr>
    </w:p>
    <w:p>
      <w:pPr>
        <w:jc w:val="both"/>
        <w:ind w:right="20" w:firstLine="464"/>
        <w:spacing w:after="0" w:line="324" w:lineRule="auto"/>
        <w:rPr>
          <w:sz w:val="20"/>
          <w:szCs w:val="20"/>
          <w:color w:val="auto"/>
        </w:rPr>
      </w:pPr>
      <w:r>
        <w:rPr>
          <w:rFonts w:ascii="Arial" w:cs="Arial" w:eastAsia="Arial" w:hAnsi="Arial"/>
          <w:sz w:val="17"/>
          <w:szCs w:val="17"/>
          <w:color w:val="auto"/>
        </w:rPr>
        <w:t>In November 2021, PWP OpCo agreed to provide loans to certain partners in an aggregate amount of approximately $3.3 million in order to provide such partners with liquidity to pay taxes related to partnership equity which vested in connection with the Business Combination.</w:t>
      </w:r>
    </w:p>
    <w:p>
      <w:pPr>
        <w:spacing w:after="0" w:line="147" w:lineRule="exact"/>
        <w:rPr>
          <w:sz w:val="20"/>
          <w:szCs w:val="20"/>
          <w:color w:val="auto"/>
        </w:rPr>
      </w:pPr>
    </w:p>
    <w:p>
      <w:pPr>
        <w:jc w:val="both"/>
        <w:ind w:firstLine="464"/>
        <w:spacing w:after="0" w:line="359" w:lineRule="auto"/>
        <w:rPr>
          <w:sz w:val="20"/>
          <w:szCs w:val="20"/>
          <w:color w:val="auto"/>
        </w:rPr>
      </w:pPr>
      <w:r>
        <w:rPr>
          <w:rFonts w:ascii="Arial" w:cs="Arial" w:eastAsia="Arial" w:hAnsi="Arial"/>
          <w:sz w:val="16"/>
          <w:szCs w:val="16"/>
          <w:color w:val="auto"/>
        </w:rPr>
        <w:t>On November 3, 2021, the Company’s Board of Directors declared a cash dividend of $0.07 per outstanding share of Class A common stock. This dividend will be payable on December 17, 2021 to each of the holders of Class A common stock of record as of the close of business on December 3, 2021.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b w:val="1"/>
          <w:bCs w:val="1"/>
          <w:color w:val="231F20"/>
        </w:rPr>
        <w:t>’</w:t>
      </w:r>
      <w:r>
        <w:rPr>
          <w:rFonts w:ascii="Arial" w:cs="Arial" w:eastAsia="Arial" w:hAnsi="Arial"/>
          <w:sz w:val="18"/>
          <w:szCs w:val="18"/>
          <w:b w:val="1"/>
          <w:bCs w:val="1"/>
          <w:color w:val="auto"/>
        </w:rPr>
        <w:t>s Discussion and Analysis of Financial Condition and Results of Operations</w:t>
      </w:r>
    </w:p>
    <w:p>
      <w:pPr>
        <w:spacing w:after="0" w:line="243"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43" w:lineRule="exact"/>
        <w:rPr>
          <w:sz w:val="20"/>
          <w:szCs w:val="20"/>
          <w:color w:val="auto"/>
        </w:rPr>
      </w:pPr>
    </w:p>
    <w:p>
      <w:pPr>
        <w:jc w:val="both"/>
        <w:ind w:firstLine="464"/>
        <w:spacing w:after="0" w:line="329"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48"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We believe that our clients choose to engage us because they value our unbiased perspective and expert advice regarding complex financial and strategic matters.</w:t>
      </w:r>
    </w:p>
    <w:p>
      <w:pPr>
        <w:spacing w:after="0" w:line="18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(“M&amp;A”) execution, capital markets advisory, shareholder and defense advisory, capital raising, capital structure and restructuring, specialized underwriting and research services for the energy and related industries.</w:t>
      </w:r>
    </w:p>
    <w:p>
      <w:pPr>
        <w:spacing w:after="0" w:line="191"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(“TPH”), an independent advisory firm, focused on the energy industry. As of September 30, 2021, we serve our clients with 58 advisory partners based in 10 offices, located in five countries around the world.</w:t>
      </w:r>
    </w:p>
    <w:p>
      <w:pPr>
        <w:spacing w:after="0" w:line="160"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70"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5" w:name="page46"/>
    <w:bookmarkEnd w:id="45"/>
    <w:p>
      <w:pPr>
        <w:jc w:val="both"/>
        <w:ind w:firstLine="464"/>
        <w:spacing w:after="0" w:line="286" w:lineRule="auto"/>
        <w:rPr>
          <w:sz w:val="20"/>
          <w:szCs w:val="20"/>
          <w:color w:val="auto"/>
        </w:rPr>
      </w:pPr>
      <w:r>
        <w:rPr>
          <w:rFonts w:ascii="Arial" w:cs="Arial" w:eastAsia="Arial" w:hAnsi="Arial"/>
          <w:sz w:val="17"/>
          <w:szCs w:val="17"/>
          <w:color w:val="auto"/>
        </w:rPr>
        <w:t>On June 24, 2021, Perella Weinberg Partners consummated the Business Combination Agreement whereby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The Business Combination was structured as a reverse recapitalization.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The Company shareholders are entitled to receive a portion of PWP OpCo’s economics through their direct ownership interests in shares of Class A common stock of Perella Weinberg Partners. The non-controlling interest owners of PWP OpCo receive economics through ownership of PWP OpCo Class A partnership units (“PWP OpCo Units”). See Note 3 – Business Combination and Note 11 – Stockholders’ Equity in the notes to condensed consolidated financial statements included elsewhere in this Form 10-Q for additional discussion related to the transaction.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24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Worldwide announced M&amp;A volumes in the first three quarters of 2021 increased significantly as compared to the same period in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the nine months ended September 30, 2021.</w:t>
      </w:r>
    </w:p>
    <w:p>
      <w:pPr>
        <w:spacing w:after="0" w:line="18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The level of M&amp;A advisory dialogue remains strong across all our industries and geographies of focus and among our large cap, middle market and sponsor clients. As companies continue to focus on strategic growth and capital deployment, we expect these considerations and the overall business environment will keep activity robust in the medium term.</w:t>
      </w:r>
    </w:p>
    <w:p>
      <w:pPr>
        <w:spacing w:after="0" w:line="183" w:lineRule="exact"/>
        <w:rPr>
          <w:sz w:val="20"/>
          <w:szCs w:val="20"/>
          <w:color w:val="auto"/>
        </w:rPr>
      </w:pPr>
    </w:p>
    <w:p>
      <w:pPr>
        <w:jc w:val="both"/>
        <w:ind w:right="20" w:firstLine="464"/>
        <w:spacing w:after="0" w:line="275" w:lineRule="auto"/>
        <w:rPr>
          <w:sz w:val="20"/>
          <w:szCs w:val="20"/>
          <w:color w:val="auto"/>
        </w:rPr>
      </w:pPr>
      <w:r>
        <w:rPr>
          <w:rFonts w:ascii="Arial" w:cs="Arial" w:eastAsia="Arial" w:hAnsi="Arial"/>
          <w:sz w:val="18"/>
          <w:szCs w:val="18"/>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8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w:t>
      </w:r>
    </w:p>
    <w:p>
      <w:pPr>
        <w:spacing w:after="0" w:line="183"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w:t>
      </w:r>
      <w:r>
        <w:rPr>
          <w:rFonts w:ascii="Arial" w:cs="Arial" w:eastAsia="Arial" w:hAnsi="Arial"/>
          <w:sz w:val="18"/>
          <w:szCs w:val="18"/>
          <w:color w:val="auto"/>
        </w:rPr>
        <w:t>” included elsewhere in this Form 10-Q for a discussion of some of the factors that can affect our performance.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240" w:type="dxa"/>
            <w:vAlign w:val="bottom"/>
            <w:gridSpan w:val="8"/>
          </w:tcPr>
          <w:p>
            <w:pPr>
              <w:ind w:left="480"/>
              <w:spacing w:after="0"/>
              <w:rPr>
                <w:sz w:val="20"/>
                <w:szCs w:val="20"/>
                <w:color w:val="auto"/>
              </w:rPr>
            </w:pPr>
            <w:r>
              <w:rPr>
                <w:rFonts w:ascii="Arial" w:cs="Arial" w:eastAsia="Arial" w:hAnsi="Arial"/>
                <w:sz w:val="18"/>
                <w:szCs w:val="18"/>
                <w:color w:val="auto"/>
                <w:w w:val="91"/>
              </w:rPr>
              <w:t>The following is a discussion of our results of operations for the respective periods indicated: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2021 vs. 2020</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2021 vs. 2020</w:t>
            </w:r>
          </w:p>
        </w:tc>
        <w:tc>
          <w:tcPr>
            <w:tcW w:w="0" w:type="dxa"/>
            <w:vAlign w:val="bottom"/>
          </w:tcPr>
          <w:p>
            <w:pPr>
              <w:spacing w:after="0"/>
              <w:rPr>
                <w:sz w:val="1"/>
                <w:szCs w:val="1"/>
                <w:color w:val="auto"/>
              </w:rPr>
            </w:pPr>
          </w:p>
        </w:tc>
      </w:tr>
      <w:tr>
        <w:trPr>
          <w:trHeight w:val="250"/>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177,427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122,844</w:t>
            </w:r>
          </w:p>
        </w:tc>
        <w:tc>
          <w:tcPr>
            <w:tcW w:w="13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44%</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602,749</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329,841</w:t>
            </w:r>
          </w:p>
        </w:tc>
        <w:tc>
          <w:tcPr>
            <w:tcW w:w="12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8"/>
              </w:rPr>
              <w:t>83%</w:t>
            </w:r>
          </w:p>
        </w:tc>
        <w:tc>
          <w:tcPr>
            <w:tcW w:w="0" w:type="dxa"/>
            <w:vAlign w:val="bottom"/>
          </w:tcPr>
          <w:p>
            <w:pPr>
              <w:spacing w:after="0"/>
              <w:rPr>
                <w:sz w:val="1"/>
                <w:szCs w:val="1"/>
                <w:color w:val="auto"/>
              </w:rPr>
            </w:pP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113,322</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84,785</w:t>
            </w:r>
          </w:p>
        </w:tc>
        <w:tc>
          <w:tcPr>
            <w:tcW w:w="13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34%</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387,196</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229,550</w:t>
            </w:r>
          </w:p>
        </w:tc>
        <w:tc>
          <w:tcPr>
            <w:tcW w:w="12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8"/>
              </w:rPr>
              <w:t>69%</w:t>
            </w:r>
          </w:p>
        </w:tc>
        <w:tc>
          <w:tcPr>
            <w:tcW w:w="0" w:type="dxa"/>
            <w:vAlign w:val="bottom"/>
          </w:tcPr>
          <w:p>
            <w:pPr>
              <w:spacing w:after="0"/>
              <w:rPr>
                <w:sz w:val="1"/>
                <w:szCs w:val="1"/>
                <w:color w:val="auto"/>
              </w:rPr>
            </w:pPr>
          </w:p>
        </w:tc>
      </w:tr>
      <w:tr>
        <w:trPr>
          <w:trHeight w:val="256"/>
        </w:trPr>
        <w:tc>
          <w:tcPr>
            <w:tcW w:w="3320" w:type="dxa"/>
            <w:vAlign w:val="bottom"/>
          </w:tcPr>
          <w:p>
            <w:pPr>
              <w:ind w:left="120"/>
              <w:spacing w:after="0"/>
              <w:rPr>
                <w:sz w:val="20"/>
                <w:szCs w:val="20"/>
                <w:color w:val="auto"/>
              </w:rPr>
            </w:pPr>
            <w:r>
              <w:rPr>
                <w:rFonts w:ascii="Arial" w:cs="Arial" w:eastAsia="Arial" w:hAnsi="Arial"/>
                <w:sz w:val="18"/>
                <w:szCs w:val="18"/>
                <w:color w:val="auto"/>
              </w:rPr>
              <w:t>Equity-based compensation</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38,050</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6,120</w:t>
            </w:r>
          </w:p>
        </w:tc>
        <w:tc>
          <w:tcPr>
            <w:tcW w:w="22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522%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51,272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18,484</w:t>
            </w:r>
          </w:p>
        </w:tc>
        <w:tc>
          <w:tcPr>
            <w:tcW w:w="20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177%</w:t>
            </w:r>
          </w:p>
        </w:tc>
        <w:tc>
          <w:tcPr>
            <w:tcW w:w="0" w:type="dxa"/>
            <w:vAlign w:val="bottom"/>
          </w:tcPr>
          <w:p>
            <w:pPr>
              <w:spacing w:after="0"/>
              <w:rPr>
                <w:sz w:val="1"/>
                <w:szCs w:val="1"/>
                <w:color w:val="auto"/>
              </w:rPr>
            </w:pPr>
          </w:p>
        </w:tc>
      </w:tr>
      <w:tr>
        <w:trPr>
          <w:trHeight w:val="250"/>
        </w:trPr>
        <w:tc>
          <w:tcPr>
            <w:tcW w:w="3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compensation and benefits</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151,372</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90,905</w:t>
            </w:r>
          </w:p>
        </w:tc>
        <w:tc>
          <w:tcPr>
            <w:tcW w:w="13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67%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438,468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248,034</w:t>
            </w:r>
          </w:p>
        </w:tc>
        <w:tc>
          <w:tcPr>
            <w:tcW w:w="12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8"/>
              </w:rPr>
              <w:t>77%</w:t>
            </w:r>
          </w:p>
        </w:tc>
        <w:tc>
          <w:tcPr>
            <w:tcW w:w="0" w:type="dxa"/>
            <w:vAlign w:val="bottom"/>
          </w:tcPr>
          <w:p>
            <w:pPr>
              <w:spacing w:after="0"/>
              <w:rPr>
                <w:sz w:val="1"/>
                <w:szCs w:val="1"/>
                <w:color w:val="auto"/>
              </w:rPr>
            </w:pPr>
          </w:p>
        </w:tc>
      </w:tr>
      <w:tr>
        <w:trPr>
          <w:trHeight w:val="257"/>
        </w:trPr>
        <w:tc>
          <w:tcPr>
            <w:tcW w:w="3320" w:type="dxa"/>
            <w:vAlign w:val="bottom"/>
          </w:tcPr>
          <w:p>
            <w:pPr>
              <w:ind w:left="120"/>
              <w:spacing w:after="0"/>
              <w:rPr>
                <w:sz w:val="20"/>
                <w:szCs w:val="20"/>
                <w:color w:val="auto"/>
              </w:rPr>
            </w:pPr>
            <w:r>
              <w:rPr>
                <w:rFonts w:ascii="Arial" w:cs="Arial" w:eastAsia="Arial" w:hAnsi="Arial"/>
                <w:sz w:val="18"/>
                <w:szCs w:val="18"/>
                <w:color w:val="auto"/>
              </w:rPr>
              <w:t>Non-compensation expenses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36,382</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30,407</w:t>
            </w:r>
          </w:p>
        </w:tc>
        <w:tc>
          <w:tcPr>
            <w:tcW w:w="22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97,078</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104,571</w:t>
            </w:r>
          </w:p>
        </w:tc>
        <w:tc>
          <w:tcPr>
            <w:tcW w:w="20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50"/>
        </w:trPr>
        <w:tc>
          <w:tcPr>
            <w:tcW w:w="3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187,754</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121,312</w:t>
            </w:r>
          </w:p>
        </w:tc>
        <w:tc>
          <w:tcPr>
            <w:tcW w:w="13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55%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535,546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352,605</w:t>
            </w:r>
          </w:p>
        </w:tc>
        <w:tc>
          <w:tcPr>
            <w:tcW w:w="12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8"/>
              </w:rPr>
              <w:t>52%</w:t>
            </w:r>
          </w:p>
        </w:tc>
        <w:tc>
          <w:tcPr>
            <w:tcW w:w="0" w:type="dxa"/>
            <w:vAlign w:val="bottom"/>
          </w:tcPr>
          <w:p>
            <w:pPr>
              <w:spacing w:after="0"/>
              <w:rPr>
                <w:sz w:val="1"/>
                <w:szCs w:val="1"/>
                <w:color w:val="auto"/>
              </w:rPr>
            </w:pPr>
          </w:p>
        </w:tc>
      </w:tr>
      <w:tr>
        <w:trPr>
          <w:trHeight w:val="243"/>
        </w:trPr>
        <w:tc>
          <w:tcPr>
            <w:tcW w:w="33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(10,327 )</w:t>
            </w:r>
          </w:p>
        </w:tc>
        <w:tc>
          <w:tcPr>
            <w:tcW w:w="20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1,532</w:t>
            </w:r>
          </w:p>
        </w:tc>
        <w:tc>
          <w:tcPr>
            <w:tcW w:w="220" w:type="dxa"/>
            <w:vAlign w:val="bottom"/>
            <w:tcBorders>
              <w:top w:val="single" w:sz="8" w:color="CFF0FC"/>
            </w:tcBorders>
          </w:tcPr>
          <w:p>
            <w:pPr>
              <w:spacing w:after="0"/>
              <w:rPr>
                <w:sz w:val="21"/>
                <w:szCs w:val="21"/>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NM</w:t>
            </w:r>
          </w:p>
        </w:tc>
        <w:tc>
          <w:tcPr>
            <w:tcW w:w="20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67,203</w:t>
            </w:r>
          </w:p>
        </w:tc>
        <w:tc>
          <w:tcPr>
            <w:tcW w:w="20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(22,764 )</w:t>
            </w:r>
          </w:p>
        </w:tc>
        <w:tc>
          <w:tcPr>
            <w:tcW w:w="200" w:type="dxa"/>
            <w:vAlign w:val="bottom"/>
            <w:tcBorders>
              <w:top w:val="single" w:sz="8" w:color="CFF0FC"/>
            </w:tcBorders>
          </w:tcPr>
          <w:p>
            <w:pPr>
              <w:spacing w:after="0"/>
              <w:rPr>
                <w:sz w:val="21"/>
                <w:szCs w:val="21"/>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63"/>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20" w:type="dxa"/>
            <w:vAlign w:val="bottom"/>
          </w:tcPr>
          <w:p>
            <w:pPr>
              <w:ind w:left="120"/>
              <w:spacing w:after="0"/>
              <w:rPr>
                <w:sz w:val="20"/>
                <w:szCs w:val="20"/>
                <w:color w:val="auto"/>
              </w:rPr>
            </w:pPr>
            <w:r>
              <w:rPr>
                <w:rFonts w:ascii="Arial" w:cs="Arial" w:eastAsia="Arial" w:hAnsi="Arial"/>
                <w:sz w:val="18"/>
                <w:szCs w:val="18"/>
                <w:color w:val="auto"/>
              </w:rPr>
              <w:t>Related party income</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2,412</w:t>
            </w:r>
          </w:p>
        </w:tc>
        <w:tc>
          <w:tcPr>
            <w:tcW w:w="13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5,303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7,183</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(26%)</w:t>
            </w:r>
          </w:p>
        </w:tc>
        <w:tc>
          <w:tcPr>
            <w:tcW w:w="0" w:type="dxa"/>
            <w:vAlign w:val="bottom"/>
          </w:tcPr>
          <w:p>
            <w:pPr>
              <w:spacing w:after="0"/>
              <w:rPr>
                <w:sz w:val="1"/>
                <w:szCs w:val="1"/>
                <w:color w:val="auto"/>
              </w:rPr>
            </w:pPr>
          </w:p>
        </w:tc>
      </w:tr>
      <w:tr>
        <w:trPr>
          <w:trHeight w:val="263"/>
        </w:trPr>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2,564</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(126 )</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NM</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1,236</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2,724</w:t>
            </w:r>
          </w:p>
        </w:tc>
        <w:tc>
          <w:tcPr>
            <w:tcW w:w="12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1"/>
              </w:rPr>
              <w:t>(55%)</w:t>
            </w:r>
          </w:p>
        </w:tc>
        <w:tc>
          <w:tcPr>
            <w:tcW w:w="0" w:type="dxa"/>
            <w:vAlign w:val="bottom"/>
          </w:tcPr>
          <w:p>
            <w:pPr>
              <w:spacing w:after="0"/>
              <w:rPr>
                <w:sz w:val="1"/>
                <w:szCs w:val="1"/>
                <w:color w:val="auto"/>
              </w:rPr>
            </w:pPr>
          </w:p>
        </w:tc>
      </w:tr>
      <w:tr>
        <w:trPr>
          <w:trHeight w:val="250"/>
        </w:trPr>
        <w:tc>
          <w:tcPr>
            <w:tcW w:w="3320" w:type="dxa"/>
            <w:vAlign w:val="bottom"/>
          </w:tcPr>
          <w:p>
            <w:pPr>
              <w:ind w:left="120"/>
              <w:spacing w:after="0"/>
              <w:rPr>
                <w:sz w:val="20"/>
                <w:szCs w:val="20"/>
                <w:color w:val="auto"/>
              </w:rPr>
            </w:pPr>
            <w:r>
              <w:rPr>
                <w:rFonts w:ascii="Arial" w:cs="Arial" w:eastAsia="Arial" w:hAnsi="Arial"/>
                <w:sz w:val="18"/>
                <w:szCs w:val="18"/>
                <w:color w:val="auto"/>
                <w:w w:val="99"/>
              </w:rPr>
              <w:t>Change in fair value of warrant liabilities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(3,006 )</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100%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(2,058 )</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63"/>
        </w:trPr>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2"/>
              </w:rPr>
              <w:t>(100%)</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(39,408 )</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(100%)</w:t>
            </w:r>
          </w:p>
        </w:tc>
        <w:tc>
          <w:tcPr>
            <w:tcW w:w="0" w:type="dxa"/>
            <w:vAlign w:val="bottom"/>
          </w:tcPr>
          <w:p>
            <w:pPr>
              <w:spacing w:after="0"/>
              <w:rPr>
                <w:sz w:val="1"/>
                <w:szCs w:val="1"/>
                <w:color w:val="auto"/>
              </w:rPr>
            </w:pPr>
          </w:p>
        </w:tc>
      </w:tr>
      <w:tr>
        <w:trPr>
          <w:trHeight w:val="257"/>
        </w:trPr>
        <w:tc>
          <w:tcPr>
            <w:tcW w:w="33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(72 )</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(3,913 )</w:t>
            </w:r>
          </w:p>
        </w:tc>
        <w:tc>
          <w:tcPr>
            <w:tcW w:w="13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98%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(7,536 )</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(11,883 )</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37%</w:t>
            </w:r>
          </w:p>
        </w:tc>
        <w:tc>
          <w:tcPr>
            <w:tcW w:w="0" w:type="dxa"/>
            <w:vAlign w:val="bottom"/>
          </w:tcPr>
          <w:p>
            <w:pPr>
              <w:spacing w:after="0"/>
              <w:rPr>
                <w:sz w:val="1"/>
                <w:szCs w:val="1"/>
                <w:color w:val="auto"/>
              </w:rPr>
            </w:pPr>
          </w:p>
        </w:tc>
      </w:tr>
      <w:tr>
        <w:trPr>
          <w:trHeight w:val="250"/>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7"/>
              </w:rPr>
              <w:t>Total non-operating income (expenses)</w:t>
            </w:r>
          </w:p>
        </w:tc>
        <w:tc>
          <w:tcPr>
            <w:tcW w:w="2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1,015</w:t>
            </w:r>
          </w:p>
        </w:tc>
        <w:tc>
          <w:tcPr>
            <w:tcW w:w="20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(1,627 )</w:t>
            </w:r>
          </w:p>
        </w:tc>
        <w:tc>
          <w:tcPr>
            <w:tcW w:w="22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NM</w:t>
            </w:r>
          </w:p>
        </w:tc>
        <w:tc>
          <w:tcPr>
            <w:tcW w:w="2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(42,463 )</w:t>
            </w:r>
          </w:p>
        </w:tc>
        <w:tc>
          <w:tcPr>
            <w:tcW w:w="2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(1,976 )</w:t>
            </w:r>
          </w:p>
        </w:tc>
        <w:tc>
          <w:tcPr>
            <w:tcW w:w="20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(9,312 )</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(95 )</w:t>
            </w:r>
          </w:p>
        </w:tc>
        <w:tc>
          <w:tcPr>
            <w:tcW w:w="2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24,740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(24,740 )</w:t>
            </w:r>
          </w:p>
        </w:tc>
        <w:tc>
          <w:tcPr>
            <w:tcW w:w="2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63"/>
        </w:trPr>
        <w:tc>
          <w:tcPr>
            <w:tcW w:w="33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(150 )</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(974 )</w:t>
            </w:r>
          </w:p>
        </w:tc>
        <w:tc>
          <w:tcPr>
            <w:tcW w:w="1300" w:type="dxa"/>
            <w:vAlign w:val="bottom"/>
            <w:tcBorders>
              <w:bottom w:val="single" w:sz="8" w:color="CFF0FC"/>
            </w:tcBorders>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85%</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(2,695 )</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(2,518 )</w:t>
            </w:r>
          </w:p>
        </w:tc>
        <w:tc>
          <w:tcPr>
            <w:tcW w:w="1280" w:type="dxa"/>
            <w:vAlign w:val="bottom"/>
            <w:tcBorders>
              <w:bottom w:val="single" w:sz="8" w:color="CFF0FC"/>
            </w:tcBorders>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(9,462 )</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(1,069 )</w:t>
            </w:r>
          </w:p>
        </w:tc>
        <w:tc>
          <w:tcPr>
            <w:tcW w:w="13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(785%)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22,045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(27,258 )</w:t>
            </w:r>
          </w:p>
        </w:tc>
        <w:tc>
          <w:tcPr>
            <w:tcW w:w="2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45"/>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attributable to</w:t>
            </w:r>
          </w:p>
        </w:tc>
        <w:tc>
          <w:tcPr>
            <w:tcW w:w="240" w:type="dxa"/>
            <w:vAlign w:val="bottom"/>
            <w:shd w:val="clear" w:color="auto" w:fill="CFF0FC"/>
          </w:tcPr>
          <w:p>
            <w:pPr>
              <w:spacing w:after="0"/>
              <w:rPr>
                <w:sz w:val="21"/>
                <w:szCs w:val="21"/>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(12,938 )</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31,068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3,476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(9,023 )</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Perella Weinberg Partners</w:t>
            </w:r>
          </w:p>
        </w:tc>
        <w:tc>
          <w:tcPr>
            <w:tcW w:w="2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-2430780</wp:posOffset>
            </wp:positionV>
            <wp:extent cx="13716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-2430780</wp:posOffset>
            </wp:positionV>
            <wp:extent cx="13716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-2430780</wp:posOffset>
            </wp:positionV>
            <wp:extent cx="12890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-2430780</wp:posOffset>
            </wp:positionV>
            <wp:extent cx="12890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-2430780</wp:posOffset>
            </wp:positionV>
            <wp:extent cx="12890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-784860</wp:posOffset>
            </wp:positionV>
            <wp:extent cx="13716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-784860</wp:posOffset>
            </wp:positionV>
            <wp:extent cx="13716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-784860</wp:posOffset>
            </wp:positionV>
            <wp:extent cx="12890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-784860</wp:posOffset>
            </wp:positionV>
            <wp:extent cx="12890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-313690</wp:posOffset>
            </wp:positionV>
            <wp:extent cx="13716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-313690</wp:posOffset>
            </wp:positionV>
            <wp:extent cx="12890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9" w:lineRule="exact"/>
        <w:rPr>
          <w:sz w:val="20"/>
          <w:szCs w:val="20"/>
          <w:color w:val="auto"/>
        </w:rPr>
      </w:pPr>
    </w:p>
    <w:p>
      <w:pPr>
        <w:jc w:val="both"/>
        <w:ind w:firstLine="464"/>
        <w:spacing w:after="0" w:line="309" w:lineRule="auto"/>
        <w:rPr>
          <w:sz w:val="20"/>
          <w:szCs w:val="20"/>
          <w:color w:val="auto"/>
        </w:rPr>
      </w:pPr>
      <w:r>
        <w:rPr>
          <w:rFonts w:ascii="Arial" w:cs="Arial" w:eastAsia="Arial" w:hAnsi="Arial"/>
          <w:sz w:val="16"/>
          <w:szCs w:val="16"/>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ind w:firstLine="464"/>
        <w:spacing w:after="0" w:line="285" w:lineRule="auto"/>
        <w:rPr>
          <w:sz w:val="20"/>
          <w:szCs w:val="20"/>
          <w:color w:val="auto"/>
        </w:rPr>
      </w:pPr>
      <w:r>
        <w:rPr>
          <w:rFonts w:ascii="Arial" w:cs="Arial" w:eastAsia="Arial" w:hAnsi="Arial"/>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 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specifically may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85"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Revenues were $177.4 million for the three months ended September 30, 2021 as compared with $122.8 million for the same period in 2020, representing an increase of 44%. The quarter-on-quarter increase in revenue reflects high levels of activity across certain service lines, sectors and geographies, particularly in M&amp;A advice.</w:t>
      </w:r>
    </w:p>
    <w:p>
      <w:pPr>
        <w:spacing w:after="0" w:line="18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For the three months ended September 30, 2021 and 2020, we earned revenues from 90 and 88 advisory clients, respectively. The number of advisory clients who paid fees equal to or greater than $1.0 million increased to 38 for the three months ended September 30, 2021 compared to 28 advisory clients for the three months ended September 30, 2020. The average fee size increased to $1.9 million for the three months ended September 30, 2021 from $1.4 million for the three months ended September 30,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Revenues were $602.7 million for the nine months ended September 30, 2021 as compared with $329.8 million for the same period in 2020, representing an increase of 83%. The period-over-period growth reflects high levels of activity across substantially all sectors and geographies, with particularly strong M&amp;A activity driving service line growth, when compared to the decreased M&amp;A activity in the prior year period primarily due to the COVID-19 pandemic.</w:t>
      </w:r>
    </w:p>
    <w:p>
      <w:pPr>
        <w:spacing w:after="0" w:line="185"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For the nine months ended September 30, 2021 and 2020, we earned revenues from 188 and 137 advisory clients, respectively. The number of advisory clients who paid fees equal to or greater than $1.0 million increased to 106 advisory clients for the nine months ended September 30, 2021 compared to 68 advisory clients for the nine months ended September 30, 2020. The average fee size increased to $3.2 million for the nine months ended September 30, 2021 from $2.3 million for the nine months ended September 30,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5"/>
        </w:trPr>
        <w:tc>
          <w:tcPr>
            <w:tcW w:w="6160" w:type="dxa"/>
            <w:vAlign w:val="bottom"/>
            <w:gridSpan w:val="6"/>
          </w:tcPr>
          <w:p>
            <w:pPr>
              <w:ind w:left="480"/>
              <w:spacing w:after="0"/>
              <w:rPr>
                <w:sz w:val="20"/>
                <w:szCs w:val="20"/>
                <w:color w:val="auto"/>
              </w:rPr>
            </w:pPr>
            <w:r>
              <w:rPr>
                <w:rFonts w:ascii="Arial" w:cs="Arial" w:eastAsia="Arial" w:hAnsi="Arial"/>
                <w:sz w:val="18"/>
                <w:szCs w:val="18"/>
                <w:color w:val="auto"/>
                <w:w w:val="93"/>
              </w:rPr>
              <w:t>The following table sets forth information relating to our operating expenses: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6"/>
        </w:trPr>
        <w:tc>
          <w:tcPr>
            <w:tcW w:w="3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b w:val="1"/>
                <w:bCs w:val="1"/>
                <w:color w:val="auto"/>
              </w:rPr>
              <w:t>Three Months Ended September 30,</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b w:val="1"/>
                <w:bCs w:val="1"/>
                <w:color w:val="auto"/>
              </w:rPr>
              <w:t>Nine Months Ended September 30,</w:t>
            </w:r>
          </w:p>
        </w:tc>
      </w:tr>
      <w:tr>
        <w:trPr>
          <w:trHeight w:val="513"/>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2021 vs. 2020</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2021 vs. 2020</w:t>
            </w:r>
          </w:p>
        </w:tc>
      </w:tr>
      <w:tr>
        <w:trPr>
          <w:trHeight w:val="25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50"/>
        </w:trPr>
        <w:tc>
          <w:tcPr>
            <w:tcW w:w="3620" w:type="dxa"/>
            <w:vAlign w:val="bottom"/>
          </w:tcPr>
          <w:p>
            <w:pPr>
              <w:ind w:left="12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113,322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84,785</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34%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387,196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229,550</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69%</w:t>
            </w:r>
          </w:p>
        </w:tc>
      </w:tr>
      <w:tr>
        <w:trPr>
          <w:trHeight w:val="263"/>
        </w:trPr>
        <w:tc>
          <w:tcPr>
            <w:tcW w:w="362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 of revenues</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64%</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69%</w:t>
            </w: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64%</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70%</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50"/>
        </w:trPr>
        <w:tc>
          <w:tcPr>
            <w:tcW w:w="3620" w:type="dxa"/>
            <w:vAlign w:val="bottom"/>
          </w:tcPr>
          <w:p>
            <w:pPr>
              <w:ind w:left="120"/>
              <w:spacing w:after="0"/>
              <w:rPr>
                <w:sz w:val="20"/>
                <w:szCs w:val="20"/>
                <w:color w:val="auto"/>
              </w:rPr>
            </w:pPr>
            <w:r>
              <w:rPr>
                <w:rFonts w:ascii="Arial" w:cs="Arial" w:eastAsia="Arial" w:hAnsi="Arial"/>
                <w:sz w:val="18"/>
                <w:szCs w:val="18"/>
                <w:color w:val="auto"/>
              </w:rPr>
              <w:t>Equity-based compensation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38,050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6,120</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522%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51,272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18,484</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177%</w:t>
            </w:r>
          </w:p>
        </w:tc>
      </w:tr>
      <w:tr>
        <w:trPr>
          <w:trHeight w:val="263"/>
        </w:trPr>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i w:val="1"/>
                <w:iCs w:val="1"/>
                <w:color w:val="auto"/>
              </w:rPr>
              <w:t>% of revenues</w:t>
            </w: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21%</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5%</w:t>
            </w:r>
          </w:p>
        </w:tc>
        <w:tc>
          <w:tcPr>
            <w:tcW w:w="1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9%</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6%</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Total compensation and benefits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151,372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90,905</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67%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438,468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248,034</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77%</w:t>
            </w:r>
          </w:p>
        </w:tc>
      </w:tr>
      <w:tr>
        <w:trPr>
          <w:trHeight w:val="263"/>
        </w:trPr>
        <w:tc>
          <w:tcPr>
            <w:tcW w:w="362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 of revenues</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85%</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74%</w:t>
            </w: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73%</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75%</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50"/>
        </w:trPr>
        <w:tc>
          <w:tcPr>
            <w:tcW w:w="3620" w:type="dxa"/>
            <w:vAlign w:val="bottom"/>
          </w:tcPr>
          <w:p>
            <w:pPr>
              <w:ind w:left="120"/>
              <w:spacing w:after="0"/>
              <w:rPr>
                <w:sz w:val="20"/>
                <w:szCs w:val="20"/>
                <w:color w:val="auto"/>
              </w:rPr>
            </w:pPr>
            <w:r>
              <w:rPr>
                <w:rFonts w:ascii="Arial" w:cs="Arial" w:eastAsia="Arial" w:hAnsi="Arial"/>
                <w:sz w:val="18"/>
                <w:szCs w:val="18"/>
                <w:color w:val="auto"/>
              </w:rPr>
              <w:t>Non-compensation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36,382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30,407</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20%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97,078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104,571</w:t>
            </w:r>
          </w:p>
        </w:tc>
        <w:tc>
          <w:tcPr>
            <w:tcW w:w="1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(7%)</w:t>
            </w:r>
          </w:p>
        </w:tc>
      </w:tr>
      <w:tr>
        <w:trPr>
          <w:trHeight w:val="263"/>
        </w:trPr>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i w:val="1"/>
                <w:iCs w:val="1"/>
                <w:color w:val="auto"/>
              </w:rPr>
              <w:t>% of revenues</w:t>
            </w: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21%</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25%</w:t>
            </w:r>
          </w:p>
        </w:tc>
        <w:tc>
          <w:tcPr>
            <w:tcW w:w="1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16%</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32%</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187,754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121,312</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55%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535,546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352,605</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52%</w:t>
            </w:r>
          </w:p>
        </w:tc>
      </w:tr>
      <w:tr>
        <w:trPr>
          <w:trHeight w:val="257"/>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i w:val="1"/>
                <w:iCs w:val="1"/>
                <w:color w:val="auto"/>
              </w:rPr>
              <w:t>% of revenues</w:t>
            </w: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106%</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99%</w:t>
            </w:r>
          </w:p>
        </w:tc>
        <w:tc>
          <w:tcPr>
            <w:tcW w:w="1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89%</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107%</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(9,312 )</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(95 )</w:t>
            </w:r>
          </w:p>
        </w:tc>
        <w:tc>
          <w:tcPr>
            <w:tcW w:w="1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NM</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24,740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(24,740 )</w:t>
            </w:r>
          </w:p>
        </w:tc>
        <w:tc>
          <w:tcPr>
            <w:tcW w:w="1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6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 of revenues</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(5%)</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(0%)</w:t>
            </w: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4%</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(8%)</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-1325245</wp:posOffset>
            </wp:positionV>
            <wp:extent cx="10287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-1325245</wp:posOffset>
            </wp:positionV>
            <wp:extent cx="10287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-1325245</wp:posOffset>
            </wp:positionV>
            <wp:extent cx="9461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-1325245</wp:posOffset>
            </wp:positionV>
            <wp:extent cx="9461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-1325245</wp:posOffset>
            </wp:positionV>
            <wp:extent cx="939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-664845</wp:posOffset>
            </wp:positionV>
            <wp:extent cx="10287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-664845</wp:posOffset>
            </wp:positionV>
            <wp:extent cx="10287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-664845</wp:posOffset>
            </wp:positionV>
            <wp:extent cx="9461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-664845</wp:posOffset>
            </wp:positionV>
            <wp:extent cx="946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-664845</wp:posOffset>
            </wp:positionV>
            <wp:extent cx="9398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-330835</wp:posOffset>
            </wp:positionV>
            <wp:extent cx="10287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-330835</wp:posOffset>
            </wp:positionV>
            <wp:extent cx="10287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-330835</wp:posOffset>
            </wp:positionV>
            <wp:extent cx="9461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-330835</wp:posOffset>
            </wp:positionV>
            <wp:extent cx="9461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-330835</wp:posOffset>
            </wp:positionV>
            <wp:extent cx="939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19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Our operating expenses are classified as (i) compensation and benefits expenses and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39" w:lineRule="exact"/>
        <w:rPr>
          <w:sz w:val="20"/>
          <w:szCs w:val="20"/>
          <w:color w:val="auto"/>
        </w:rPr>
      </w:pPr>
    </w:p>
    <w:p>
      <w:pPr>
        <w:jc w:val="both"/>
        <w:ind w:firstLine="464"/>
        <w:spacing w:after="0" w:line="285" w:lineRule="auto"/>
        <w:rPr>
          <w:sz w:val="20"/>
          <w:szCs w:val="20"/>
          <w:color w:val="auto"/>
        </w:rPr>
      </w:pPr>
      <w:r>
        <w:rPr>
          <w:rFonts w:ascii="Arial" w:cs="Arial" w:eastAsia="Arial" w:hAnsi="Arial"/>
          <w:sz w:val="17"/>
          <w:szCs w:val="17"/>
          <w:color w:val="auto"/>
        </w:rPr>
        <w:t>Operating expenses were $187.8 million for the three months ended September 30, 2021 and represented 106% of revenues, compared with $121.3 million for the three months ended September 30, 2020, which represented 99% of revenues. The increase in operating expenses was primarily driven by an increase in equity-based compensation expense, which was $38.1 million, for the three months ended September 30, 2021 compared to $6.1 million, for the three months ended September 30, 2020, an increase in compensation and benefits expenses, which were $113.3 million, for the three months ended September 30, 2021 compared to $84.8 million, for the three months ended September 30, 2020, and higher non-compensation expenses which were $36.4 million for the three months ended September 30, 2021 compared to $30.4 million for the three months ended September 30, 2020. The increase in equity-based compensation expense was driven by the incentive compensation awards granted in the current year period in accordance with the Perella Weinberg Partners 2021 Omnibus Incentive Plan (the “PWP Incentive Plan”) due principally to awards granted in connection with the Business Combination. The increase in compensation and benefits expenses was primarily due to a larger bonus accrual associated with the increase in revenue despite a lower compensation margin. The increase in non-compensation expense was primarily driven by an increase in professional fees compared to the prior year period due to increased consulting, recruiting and legal expenses, increased public company costs including D&amp;O insurance and a modest increase in travel and related expenses as pandemic-related travel restrictions ease. These increases were partially offset by the recovery of a previously written off client receivable.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39" w:lineRule="exact"/>
        <w:rPr>
          <w:sz w:val="20"/>
          <w:szCs w:val="20"/>
          <w:color w:val="auto"/>
        </w:rPr>
      </w:pPr>
    </w:p>
    <w:p>
      <w:pPr>
        <w:jc w:val="both"/>
        <w:ind w:firstLine="464"/>
        <w:spacing w:after="0" w:line="285" w:lineRule="auto"/>
        <w:rPr>
          <w:sz w:val="20"/>
          <w:szCs w:val="20"/>
          <w:color w:val="auto"/>
        </w:rPr>
      </w:pPr>
      <w:r>
        <w:rPr>
          <w:rFonts w:ascii="Arial" w:cs="Arial" w:eastAsia="Arial" w:hAnsi="Arial"/>
          <w:sz w:val="17"/>
          <w:szCs w:val="17"/>
          <w:color w:val="auto"/>
        </w:rPr>
        <w:t>Operating expenses were $535.5 million for the nine months ended September 30, 2021 and represented 89% of revenues, compared with $352.6 million for the nine months ended September 30, 2020, which represented 107% of revenues. The increase in operating expenses was primarily driven by an increase in compensation and benefits expenses, which were $387.2 million for the nine months ended September 30, 2021 compared to $229.6 million for the nine months ended September 30, 2020 and an increase in equity-based compensation expense which was $51.3 million for the nine months ended September 30, 2021 compared to $18.5 million for the nine months ended September 30, 2020, partially offset by lower non-compensation expenses which were $97.1 million for the nine months ended September 30, 2021 compared to $104.6 million for the nine months ended September 30, 2020. The increase in compensation and benefits expense was primarily due to a larger bonus accrual associated with the increase in revenue despite a lower compensation margin. The increase in equity-based compensation expense was driven by the incentive compensation awards granted in the current year period in accordance with the PWP Incentive Plan due principally to awards granted in connection with the Business Combination. The decrease in non-compensation expense was primarily driven by decreased professional fees compared to the prior year period which included the write-off of certain previously deferred offering costs due to the termination of a public company transaction process in May 2020 and lower travel and related expense as a result of the COVID-19 pandemic. The decrease in non-compensation was partially offset by increased recruiting and increased public company costs including D&amp;O insurance.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 Expenses</w:t>
      </w:r>
    </w:p>
    <w:p>
      <w:pPr>
        <w:spacing w:after="0" w:line="23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91"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63"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The vesting of Legacy Awards granted prior to the Business Combination and the various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w:t>
      </w:r>
    </w:p>
    <w:p>
      <w:pPr>
        <w:spacing w:after="0" w:line="182"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6"/>
          <w:szCs w:val="16"/>
          <w:color w:val="auto"/>
        </w:rPr>
        <w:t>Beginning in the third quarter of 2021, the Company granted incentive compensation awards in accordance with the PWP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Due to the accounting for this equity-based compensation expense, we may experience operating losses in future periods. We intend to compensate our personnel competitively in order to continue building our business and growing our firm.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$115.2 million for the Transaction Pool RSUs and Transaction Pool PSUs and $82.3 million for the Management PSUs granted in conjunction with the Business Combination.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For the three months ended September 30, 2021, total compensation and benefits expenses of $151.4 million represented 85% of revenues, compared with $90.9 million of compensation-related expenses, which represented 74% of revenues for the three months ended September 30, 2020. Included in total compensation-related expense was $38.1 million and $6.1 million amortization of equity awards for the three months ended September 30, 2021 and 2020, respectively. The increase in total compensation and benefit expenses was due to a larger bonus accrual associated with the increase in revenue despite a lower compensation margin as well as increased equity-based compensation due principally to awards granted in connection with the Business Combination.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For the nine months ended September 30, 2021, total compensation and benefits expenses of $438.5 million represented 73% of revenues, compared with $248.0 million of compensation-related expenses, which represented 75% of revenues for the nine months ended September 30, 2020. Included in total compensation-related expense was $51.3 million and $18.5 million amortization of equity awards for the nine months ended September 30, 2021 and 2020, respectively. The increase in total compensation and benefit expenses was due to a larger bonus accrual associated with the increase in revenue despite a lower compensation margin as well as increased equity-based compensation due principally to awards granted in connection with the Business Combination.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Non-Compensation Expenses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Our non-compensation expenses include the costs of professional fees, travel and related expenses, technology and infrastructure, rent and occupancy, depreciation and amortization and general, administrative and other expenses including certain co-advisory fees and expenses reimbursed by our clients. Any expenses reimbursed by clients and the co-advisory fees are also presented within revenues on our Condensed Consolidated Statements of Operations.</w:t>
      </w:r>
    </w:p>
    <w:p>
      <w:pPr>
        <w:spacing w:after="0" w:line="185"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costs such as travel and related expenses. Growth in our headcount has increased rent and occupancy expenses while geographic expansion has increased regulatory expenses. This trend may continue as we expand into new sectors, geographies and products to serve our clients’ growing needs, domestically and internationally.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39"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For the three months ended September 30, 2021, non-compensation expenses of $36.4 million represented 21% of revenues, compared with $30.4 million, which represented 25% of revenues, for the three months ended September 30, 2020. The increase in non-compensation expense was primarily driven by a $4.9 million increase in professional fees due to increased consulting, recruiting and legal expenses and a $1.2 million increase in travel and related expenses as pandemic-related travel restrictions ease. While general, administrative and other expenses were relatively flat, they included increased public company costs such as D&amp;O insurance which were largely offset by the recovery of a previously written off client receivable.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39" w:lineRule="exact"/>
        <w:rPr>
          <w:sz w:val="20"/>
          <w:szCs w:val="20"/>
          <w:color w:val="auto"/>
        </w:rPr>
      </w:pPr>
    </w:p>
    <w:p>
      <w:pPr>
        <w:jc w:val="both"/>
        <w:ind w:firstLine="464"/>
        <w:spacing w:after="0" w:line="288" w:lineRule="auto"/>
        <w:rPr>
          <w:sz w:val="20"/>
          <w:szCs w:val="20"/>
          <w:color w:val="auto"/>
        </w:rPr>
      </w:pPr>
      <w:r>
        <w:rPr>
          <w:rFonts w:ascii="Arial" w:cs="Arial" w:eastAsia="Arial" w:hAnsi="Arial"/>
          <w:sz w:val="17"/>
          <w:szCs w:val="17"/>
          <w:color w:val="auto"/>
        </w:rPr>
        <w:t>For the nine months ended September 30, 2021, non-compensation expenses of $97.1 million represented 16% of revenues, compared with $104.6 million, which represented 32% of revenues, for the nine months ended September 30, 2020. The decrease in non-compensation expense was primarily driven by a $5.5 million decrease in professional fees. This reduction is largely due to elevated professional fees during the nine months ended September 30, 2020 as previously deferred offering costs of $14.8 million were expensed due to the termination of a public company transaction process in May 2020. Excluding this write-off, professional fees during the nine months ended September 30, 2021 increased $9.3 million, including $4.6 million of transaction-related expenses as well as increased consulting and recruiting expenses. The decrease in non-compensation expense was also due to a $1.5 million decrease in travel and related expenses as a result of the COVID-19 pandemic.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39" w:lineRule="exact"/>
        <w:rPr>
          <w:sz w:val="20"/>
          <w:szCs w:val="20"/>
          <w:color w:val="auto"/>
        </w:rPr>
      </w:pPr>
    </w:p>
    <w:p>
      <w:pPr>
        <w:jc w:val="both"/>
        <w:ind w:firstLine="464"/>
        <w:spacing w:after="0" w:line="324" w:lineRule="auto"/>
        <w:rPr>
          <w:sz w:val="20"/>
          <w:szCs w:val="20"/>
          <w:color w:val="auto"/>
        </w:rPr>
      </w:pPr>
      <w:r>
        <w:rPr>
          <w:rFonts w:ascii="Arial" w:cs="Arial" w:eastAsia="Arial" w:hAnsi="Arial"/>
          <w:sz w:val="17"/>
          <w:szCs w:val="17"/>
          <w:color w:val="auto"/>
        </w:rPr>
        <w:t>Non-operating income (expenses) includes the impact of income and expense items that we consider to be non-operational in nature, including related party income, interest expense, change in the fair value of warrant liabilities, loss on debt extinguishment and other income (expense).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3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For the three months ended September 30, 2021, non-operating income (expenses) were $1.0 million of income compared to $1.6 million of expense for the three months ended September 30, 2020. The change included the decrease in interest expense related to the repayment of all indebtedness in connection with the Business Combination and the change in the fair value of warrant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39"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For the nine months ended September 30, 2021, non-operating income (expenses) was $42.5 million of expense compared to $2.0 million of expense for the nine months ended September 30, 2020. The most significant component and change from the prior year period was the $39.4 million loss on debt extinguishment which was related to the redemption of the $150.0 million aggregate principal of the Convertible Notes concurrent with the Business Combination. The loss is composed of the $10.9 million premium and $28.5 million of unamortized debt discount and issuance costs. Additionally, the increase in non-operating expense during the current year period was also driven by the change in the fair value of warrant liabilities. These increases were partially offset by a decrease in interest expense related to the repayment of all indebtedness in connection with the Business Combination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w:t>
      </w:r>
    </w:p>
    <w:p>
      <w:pPr>
        <w:spacing w:after="0" w:line="185" w:lineRule="exact"/>
        <w:rPr>
          <w:sz w:val="20"/>
          <w:szCs w:val="20"/>
          <w:color w:val="auto"/>
        </w:rPr>
      </w:pPr>
    </w:p>
    <w:p>
      <w:pPr>
        <w:jc w:val="both"/>
        <w:ind w:firstLine="464"/>
        <w:spacing w:after="0" w:line="329" w:lineRule="auto"/>
        <w:rPr>
          <w:sz w:val="20"/>
          <w:szCs w:val="20"/>
          <w:color w:val="auto"/>
        </w:rPr>
      </w:pPr>
      <w:r>
        <w:rPr>
          <w:rFonts w:ascii="Arial" w:cs="Arial" w:eastAsia="Arial" w:hAnsi="Arial"/>
          <w:sz w:val="16"/>
          <w:szCs w:val="16"/>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4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2" w:name="page53"/>
    <w:bookmarkEnd w:id="52"/>
    <w:p>
      <w:pPr>
        <w:jc w:val="both"/>
        <w:ind w:firstLine="464"/>
        <w:spacing w:after="0" w:line="306" w:lineRule="auto"/>
        <w:rPr>
          <w:sz w:val="20"/>
          <w:szCs w:val="20"/>
          <w:color w:val="auto"/>
        </w:rPr>
      </w:pPr>
      <w:r>
        <w:rPr>
          <w:rFonts w:ascii="Arial" w:cs="Arial" w:eastAsia="Arial" w:hAnsi="Arial"/>
          <w:sz w:val="16"/>
          <w:szCs w:val="16"/>
          <w:color w:val="auto"/>
        </w:rPr>
        <w:t>Our current assets are primarily composed of cash, short-term liquid investments, receivables related to fees earned from providing advisory services and due from related parties. Our current liabilities are primarily composed of accounts payable, accrued expenses, accrued and deferred employee compensation and due to related parties. Due from related parties primarily includes amounts due from PWP Capital Holdings LP. We pay a significant portion of our annual incentive compensation, in the form of cash bonuses, during the first quarter of each calendar year with respect to the prior year’s results. Therefore, levels of cash generally decline during the first quarter of each year after our annual incentive compensation has been paid to our employees. Cash then typically builds over the remainder of the year. The Company made partner tax distributions of $7.0 million and $54.4 million during the three and nine months ended September 30, 2021, respectively, and $2.4 million and $11.8 million during the three and nine months ended September 30, 2020, respectively. Additionally, as a public company, we may pay dividends throughout the year and may consider share repurchases as well. During the three and nine months ended September 30, 2021, the Company paid $3.0 million in cash dividends and repurchased 1,000,000 shares at a purchase price of $12.00 per share for a total purchase price of $12.0 million, which are being held in treasury stock.</w:t>
      </w:r>
    </w:p>
    <w:p>
      <w:pPr>
        <w:spacing w:after="0" w:line="165"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September 30, 2021 and December 31, 2020. As of September 30, 2021 and December 31, 2020, the Company had cash balances of $415.8 million and $329.1 million, respectively, maintained in U.S. and non-U.S. bank accounts, of which most bank account balances exceeded the U.S. Federal Deposit Insurance Corporation (“FDIC”) and U.K. Financial Services Compensation Scheme (“FSCS”) coverage limits.</w:t>
      </w:r>
    </w:p>
    <w:p>
      <w:pPr>
        <w:spacing w:after="0" w:line="160" w:lineRule="exact"/>
        <w:rPr>
          <w:sz w:val="20"/>
          <w:szCs w:val="20"/>
          <w:color w:val="auto"/>
        </w:rPr>
      </w:pPr>
    </w:p>
    <w:p>
      <w:pPr>
        <w:jc w:val="both"/>
        <w:ind w:right="20" w:firstLine="464"/>
        <w:spacing w:after="0" w:line="303" w:lineRule="auto"/>
        <w:rPr>
          <w:sz w:val="20"/>
          <w:szCs w:val="20"/>
          <w:color w:val="auto"/>
        </w:rPr>
      </w:pPr>
      <w:r>
        <w:rPr>
          <w:rFonts w:ascii="Arial" w:cs="Arial" w:eastAsia="Arial" w:hAnsi="Arial"/>
          <w:sz w:val="17"/>
          <w:szCs w:val="17"/>
          <w:color w:val="auto"/>
        </w:rPr>
        <w:t>Our liquidity is highly dependent upon cash receipts from clients, which generally require the successful completion of transactions. Accounts receivable generally have net terms of 30 days. Accounts receivable was $66.0 million, with $2.0 million of allowance for credit losses balance as of September 30, 2021. Accounts receivable was $40.8 million, with $1.0 million of allowance for credit losses balance as of December 31, 2020.</w:t>
      </w:r>
    </w:p>
    <w:p>
      <w:pPr>
        <w:spacing w:after="0" w:line="164"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In December 2018, the Company amended the Credit Agreement to modify a term loan to a revolving credit facility with a line of credit of $50.0 million (the “Revolving Credit Facility”). During the nine months ended September 30, 2020, the Company made principal payments on the Revolving Credit Facility of $32.0 million as well as drawdowns of $22.0 million. Upon consummation of the Business Combination, the Company repaid all of the outstanding borrowings under the Credit Agreement, which included $27.7 million principal amount plus accrued and unpaid interest. As of the Closing Date, the Credit Agreement was amended such that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above the $50.0 million commitment amount may be incurred under the Credit Agreement, and (v) certain financial covenants were amended. As of September 30, 2021, the Company had no outstanding balance related to the Revolving Credit Facility and no incremental revolving commitments were incurred. For further information on the Revolving Credit Facility, refer to Note 10 – Debt in the notes to condensed consolidated financial statements included elsewhere in this Form 10-Q.</w:t>
      </w:r>
    </w:p>
    <w:p>
      <w:pPr>
        <w:spacing w:after="0" w:line="178"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Based on current market conditions, 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w:t>
      </w:r>
    </w:p>
    <w:p>
      <w:pPr>
        <w:spacing w:after="0" w:line="239"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 – 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239" w:lineRule="exact"/>
        <w:rPr>
          <w:sz w:val="20"/>
          <w:szCs w:val="20"/>
          <w:color w:val="auto"/>
        </w:rPr>
      </w:pPr>
    </w:p>
    <w:p>
      <w:pPr>
        <w:jc w:val="both"/>
        <w:ind w:firstLine="599"/>
        <w:spacing w:after="0" w:line="279" w:lineRule="auto"/>
        <w:rPr>
          <w:sz w:val="20"/>
          <w:szCs w:val="20"/>
          <w:color w:val="auto"/>
        </w:rPr>
      </w:pPr>
      <w:r>
        <w:rPr>
          <w:rFonts w:ascii="Arial" w:cs="Arial" w:eastAsia="Arial" w:hAnsi="Arial"/>
          <w:sz w:val="18"/>
          <w:szCs w:val="18"/>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183" w:lineRule="exact"/>
        <w:rPr>
          <w:sz w:val="20"/>
          <w:szCs w:val="20"/>
          <w:color w:val="auto"/>
        </w:rPr>
      </w:pPr>
    </w:p>
    <w:p>
      <w:pPr>
        <w:jc w:val="both"/>
        <w:ind w:firstLine="539"/>
        <w:spacing w:after="0" w:line="269" w:lineRule="auto"/>
        <w:rPr>
          <w:sz w:val="20"/>
          <w:szCs w:val="20"/>
          <w:color w:val="auto"/>
        </w:rPr>
      </w:pPr>
      <w:r>
        <w:rPr>
          <w:rFonts w:ascii="Arial" w:cs="Arial" w:eastAsia="Arial" w:hAnsi="Arial"/>
          <w:sz w:val="18"/>
          <w:szCs w:val="18"/>
          <w:color w:val="auto"/>
        </w:rPr>
        <w:t>The PWP OpCo LPA contains restrictions on the ability to exchange PWP OpCo Units for shares of Class A common stock or cash from an offering of shares of Class A common stock, for the following periods: (i) PWP OpCo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 days after Closing; and (b) for working partners of PWP, will be between three to five years after the Closing), (ii) PWP OpCo Units held by ILPs existing at the time of the Business Combination will be subject to such restriction for 180 days after the Closing, and (iii) any other outstanding PWP OpCo Units not previously covered by clauses (i) and (ii) above will be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91"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On August 9, 2021, the Company repurchased 1,000,000 founder shares from the Sponsor at $12.00 per share for a total purchase price of $12.0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debt payments and distributions to partners, and in the nine months ended September 30, 2021, the proceeds and distributions related to the Business Combination.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ind w:left="480"/>
              <w:spacing w:after="0"/>
              <w:rPr>
                <w:sz w:val="20"/>
                <w:szCs w:val="20"/>
                <w:color w:val="auto"/>
              </w:rPr>
            </w:pPr>
            <w:r>
              <w:rPr>
                <w:rFonts w:ascii="Arial" w:cs="Arial" w:eastAsia="Arial" w:hAnsi="Arial"/>
                <w:sz w:val="18"/>
                <w:szCs w:val="18"/>
                <w:color w:val="auto"/>
              </w:rPr>
              <w:t>A summary of our operating, investing and financing cash flows is as follows:</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7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6"/>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Provided By (Used In)</w:t>
            </w:r>
          </w:p>
        </w:tc>
        <w:tc>
          <w:tcPr>
            <w:tcW w:w="36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2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22,045</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(27,258 )</w:t>
            </w:r>
          </w:p>
        </w:tc>
        <w:tc>
          <w:tcPr>
            <w:tcW w:w="0" w:type="dxa"/>
            <w:vAlign w:val="bottom"/>
          </w:tcPr>
          <w:p>
            <w:pPr>
              <w:spacing w:after="0"/>
              <w:rPr>
                <w:sz w:val="1"/>
                <w:szCs w:val="1"/>
                <w:color w:val="auto"/>
              </w:rPr>
            </w:pPr>
          </w:p>
        </w:tc>
      </w:tr>
      <w:tr>
        <w:trPr>
          <w:trHeight w:val="250"/>
        </w:trPr>
        <w:tc>
          <w:tcPr>
            <w:tcW w:w="7240" w:type="dxa"/>
            <w:vAlign w:val="bottom"/>
          </w:tcPr>
          <w:p>
            <w:pPr>
              <w:ind w:left="160"/>
              <w:spacing w:after="0"/>
              <w:rPr>
                <w:sz w:val="20"/>
                <w:szCs w:val="20"/>
                <w:color w:val="auto"/>
              </w:rPr>
            </w:pPr>
            <w:r>
              <w:rPr>
                <w:rFonts w:ascii="Arial" w:cs="Arial" w:eastAsia="Arial" w:hAnsi="Arial"/>
                <w:sz w:val="18"/>
                <w:szCs w:val="18"/>
                <w:color w:val="auto"/>
              </w:rPr>
              <w:t>Non-cash charges and other operating activity adjustments</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118,945</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48,709</w:t>
            </w:r>
          </w:p>
        </w:tc>
        <w:tc>
          <w:tcPr>
            <w:tcW w:w="0" w:type="dxa"/>
            <w:vAlign w:val="bottom"/>
          </w:tcPr>
          <w:p>
            <w:pPr>
              <w:spacing w:after="0"/>
              <w:rPr>
                <w:sz w:val="1"/>
                <w:szCs w:val="1"/>
                <w:color w:val="auto"/>
              </w:rPr>
            </w:pPr>
          </w:p>
        </w:tc>
      </w:tr>
      <w:tr>
        <w:trPr>
          <w:trHeight w:val="257"/>
        </w:trPr>
        <w:tc>
          <w:tcPr>
            <w:tcW w:w="7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Other operating activities</w:t>
            </w:r>
          </w:p>
        </w:tc>
        <w:tc>
          <w:tcPr>
            <w:tcW w:w="36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(14,949 )</w:t>
            </w:r>
          </w:p>
        </w:tc>
        <w:tc>
          <w:tcPr>
            <w:tcW w:w="1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(73,057 )</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Total operating activities</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126,041</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(51,606 )</w:t>
            </w:r>
          </w:p>
        </w:tc>
        <w:tc>
          <w:tcPr>
            <w:tcW w:w="0" w:type="dxa"/>
            <w:vAlign w:val="bottom"/>
          </w:tcPr>
          <w:p>
            <w:pPr>
              <w:spacing w:after="0"/>
              <w:rPr>
                <w:sz w:val="1"/>
                <w:szCs w:val="1"/>
                <w:color w:val="auto"/>
              </w:rPr>
            </w:pPr>
          </w:p>
        </w:tc>
      </w:tr>
      <w:tr>
        <w:trPr>
          <w:trHeight w:val="26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(1,662 )</w:t>
            </w: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(4,965 )</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(34,670 )</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(21,789 )</w:t>
            </w:r>
          </w:p>
        </w:tc>
        <w:tc>
          <w:tcPr>
            <w:tcW w:w="0" w:type="dxa"/>
            <w:vAlign w:val="bottom"/>
          </w:tcPr>
          <w:p>
            <w:pPr>
              <w:spacing w:after="0"/>
              <w:rPr>
                <w:sz w:val="1"/>
                <w:szCs w:val="1"/>
                <w:color w:val="auto"/>
              </w:rPr>
            </w:pPr>
          </w:p>
        </w:tc>
      </w:tr>
      <w:tr>
        <w:trPr>
          <w:trHeight w:val="257"/>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6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(2,943 )</w:t>
            </w:r>
          </w:p>
        </w:tc>
        <w:tc>
          <w:tcPr>
            <w:tcW w:w="1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86,766</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(78,522 )</w:t>
            </w:r>
          </w:p>
        </w:tc>
        <w:tc>
          <w:tcPr>
            <w:tcW w:w="0" w:type="dxa"/>
            <w:vAlign w:val="bottom"/>
          </w:tcPr>
          <w:p>
            <w:pPr>
              <w:spacing w:after="0"/>
              <w:rPr>
                <w:sz w:val="1"/>
                <w:szCs w:val="1"/>
                <w:color w:val="auto"/>
              </w:rPr>
            </w:pPr>
          </w:p>
        </w:tc>
      </w:tr>
      <w:tr>
        <w:trPr>
          <w:trHeight w:val="257"/>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330,908</w:t>
            </w:r>
          </w:p>
        </w:tc>
        <w:tc>
          <w:tcPr>
            <w:tcW w:w="1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266,582</w:t>
            </w:r>
          </w:p>
        </w:tc>
        <w:tc>
          <w:tcPr>
            <w:tcW w:w="0" w:type="dxa"/>
            <w:vAlign w:val="bottom"/>
          </w:tcPr>
          <w:p>
            <w:pPr>
              <w:spacing w:after="0"/>
              <w:rPr>
                <w:sz w:val="1"/>
                <w:szCs w:val="1"/>
                <w:color w:val="auto"/>
              </w:rPr>
            </w:pPr>
          </w:p>
        </w:tc>
      </w:tr>
      <w:tr>
        <w:trPr>
          <w:trHeight w:val="256"/>
        </w:trPr>
        <w:tc>
          <w:tcPr>
            <w:tcW w:w="72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417,674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188,060</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5540"/>
              <w:spacing w:after="0"/>
              <w:rPr>
                <w:sz w:val="20"/>
                <w:szCs w:val="20"/>
                <w:color w:val="auto"/>
              </w:rPr>
            </w:pPr>
            <w:r>
              <w:rPr>
                <w:rFonts w:ascii="Arial" w:cs="Arial" w:eastAsia="Arial" w:hAnsi="Arial"/>
                <w:sz w:val="18"/>
                <w:szCs w:val="18"/>
                <w:color w:val="auto"/>
              </w:rPr>
              <w:t>53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-1702435</wp:posOffset>
            </wp:positionV>
            <wp:extent cx="12001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-1042035</wp:posOffset>
            </wp:positionV>
            <wp:extent cx="12001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-708025</wp:posOffset>
            </wp:positionV>
            <wp:extent cx="12001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Nine Months Ended September 30, 2021</w:t>
      </w:r>
    </w:p>
    <w:p>
      <w:pPr>
        <w:spacing w:after="0" w:line="239"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8"/>
          <w:szCs w:val="18"/>
          <w:color w:val="auto"/>
        </w:rPr>
        <w:t>Cash and restricted cash were $417.7 million as of September 30, 2021, an increase of $86.8 million from $330.9 million as of December 31, 2020. Operating activities resulted in a net inflow of $126.0 million largely attributable to net income generated during the nine months ended September 30, 2021, partially offset by changes in working capital. Net income included $79.2 million of non-cash charges as well as a $39.4 million loss on debt extinguishment related to the redemption of the Convertible Notes concurrent with the Business Combination. Investing activities resulted in a net outflow of $1.7 million attributable to the Company’s deconsolidation of PFAC Holdings and the purchases of fixed assets. Financing activities resulted in a net outflow of $34.7 million primarily related to the transactions associated with the Business Combination, the payoff of all outstanding debt and tax distributions to partners, the repurchase of founder shares held as treasury shares, withholding payments for vesting of incentive awards and the payment of dividends.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2020</w:t>
      </w:r>
    </w:p>
    <w:p>
      <w:pPr>
        <w:spacing w:after="0" w:line="239"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Cash and restricted cash were $188.1 million as of September 30, 2020. Operating activities resulted in a net outflow of $51.6 million attributable to changes in working capital and net loss incurred during the nine months ended September 30, 2020, both partially offset by non-cash operating charges. Investing activities resulted in a net outflow of $5.0 million primarily attributable to purchases of fixed assets. Financing activities resulted in a net outflow of $21.8 million primarily related to draw downs and principal payments on the Revolving Credit Facility and distributions to partners.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6"/>
          <w:szCs w:val="16"/>
          <w:color w:val="auto"/>
        </w:rPr>
        <w:t>We have various non-cancelable operating leases in connection with the leases of our office spaces and equipment. The related lease agreements, which range from non-cancelable and month-to-month terms, generally provide for fixed monthly rentals and can also include renewal options. See Note 5</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Leases in the notes to condensed consolidated financial statements included elsewhere in this Form 10-Q for further information. Our London and New York office leases expire in December 2022 and September 2023, respectively, and given our significant historical growth, we anticipate expanding our square footage meaningfully in both locations which will increase our contractual obligations.</w:t>
      </w:r>
    </w:p>
    <w:p>
      <w:pPr>
        <w:spacing w:after="0" w:line="182" w:lineRule="exact"/>
        <w:rPr>
          <w:sz w:val="20"/>
          <w:szCs w:val="20"/>
          <w:color w:val="auto"/>
        </w:rPr>
      </w:pPr>
    </w:p>
    <w:p>
      <w:pPr>
        <w:jc w:val="both"/>
        <w:ind w:firstLine="464"/>
        <w:spacing w:after="0" w:line="319" w:lineRule="auto"/>
        <w:rPr>
          <w:sz w:val="20"/>
          <w:szCs w:val="20"/>
          <w:color w:val="auto"/>
        </w:rPr>
      </w:pPr>
      <w:r>
        <w:rPr>
          <w:rFonts w:ascii="Arial" w:cs="Arial" w:eastAsia="Arial" w:hAnsi="Arial"/>
          <w:sz w:val="16"/>
          <w:szCs w:val="16"/>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Note 14 – Other Compensation and Benefits in the notes to condensed consolidated financial statements included elsewhere in this Form 10-Q for further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PWP OpCo has also unconditionally guaranteed, through a wholly-owned subsidiary, certain loans to limited partners of Professional Partners (“Limited Partners”) with First Republic Bank (the “Program Lender”), whereby PWP OpCo will pay the Program Lender upon the occurrence of a default event. Refer to Note 17 – Related Party Transactions and Note 18 – Commitments and Contingencies in the notes to condensed consolidated financial statements included elsewhere in this Form 10-Q for further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52" w:lineRule="exact"/>
        <w:rPr>
          <w:sz w:val="20"/>
          <w:szCs w:val="20"/>
          <w:color w:val="auto"/>
        </w:rPr>
      </w:pPr>
    </w:p>
    <w:p>
      <w:pPr>
        <w:jc w:val="both"/>
        <w:ind w:firstLine="524"/>
        <w:spacing w:after="0" w:line="275"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certain other persons (the “TRA”) under which the Company agreed to payments of 85% of the amount of savings, if any, that the Company realizes in U.S. federal, state, local and foreign income taxes as a result of (i) exchanges of interests in PWP OpCo for cash or stock of the Company and certain other transactions and (ii) payments made under the tax receivable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 except for those described under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above.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243"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39" w:lineRule="exact"/>
        <w:rPr>
          <w:sz w:val="20"/>
          <w:szCs w:val="20"/>
          <w:color w:val="auto"/>
        </w:rPr>
      </w:pPr>
    </w:p>
    <w:p>
      <w:pPr>
        <w:jc w:val="both"/>
        <w:ind w:right="20" w:firstLine="464"/>
        <w:spacing w:after="0" w:line="319" w:lineRule="auto"/>
        <w:rPr>
          <w:sz w:val="20"/>
          <w:szCs w:val="20"/>
          <w:color w:val="auto"/>
        </w:rPr>
      </w:pPr>
      <w:r>
        <w:rPr>
          <w:rFonts w:ascii="Arial" w:cs="Arial" w:eastAsia="Arial" w:hAnsi="Arial"/>
          <w:sz w:val="16"/>
          <w:szCs w:val="16"/>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 – Summary of Significant Accounting Policies in the notes to condensed consolidated financial statements included elsewhere in this Form 10-Q for further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nine months ended September 30, 2021 and 2020, the net impact of non-functional currency-related transaction gains and losses recorded in Other income (expense) on our Condensed Consolidated Statements of Operations was a $0.4 million gain and a $2.4 million gain, respectively. In addition, the reported amounts in our condensed consolidated financial statements may be affected by movements in the rate of exchange between the pound sterling, Euro, Canadian dollar and our reporting currency, the U.S. dollar, resulting in translation gains and losses.</w:t>
      </w:r>
    </w:p>
    <w:p>
      <w:pPr>
        <w:spacing w:after="0" w:line="191"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For the nine months ended September 30, 2021 and 2020, the net impact of the fluctuation of foreign currencies recorded in Foreign currency translation gain (loss) within our Condensed Consolidated Statements of Comprehensive Income (Loss) was a $1.5 million loss and $0.3 million gain, respectively. We have not entered into any transactions to hedge our exposure to these foreign currency fluctuations using derivative instruments or other methods but may do so if we deem appropriate in the future.</w:t>
      </w:r>
    </w:p>
    <w:p>
      <w:pPr>
        <w:spacing w:after="0" w:line="185"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8"/>
          <w:szCs w:val="18"/>
          <w:color w:val="auto"/>
        </w:rPr>
        <w:t>As of September 30, 2021, we held balances of $46.6 million of non-U.S. dollar denominated currencies, composed of pound sterling, the Euro, and Canadian dollars.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5" w:lineRule="exact"/>
        <w:rPr>
          <w:sz w:val="20"/>
          <w:szCs w:val="20"/>
          <w:color w:val="auto"/>
        </w:rPr>
      </w:pPr>
    </w:p>
    <w:p>
      <w:pPr>
        <w:jc w:val="both"/>
        <w:ind w:firstLine="464"/>
        <w:spacing w:after="0" w:line="298" w:lineRule="auto"/>
        <w:rPr>
          <w:sz w:val="20"/>
          <w:szCs w:val="20"/>
          <w:color w:val="auto"/>
        </w:rPr>
      </w:pPr>
      <w:r>
        <w:rPr>
          <w:rFonts w:ascii="Arial" w:cs="Arial" w:eastAsia="Arial" w:hAnsi="Arial"/>
          <w:sz w:val="17"/>
          <w:szCs w:val="17"/>
          <w:color w:val="auto"/>
        </w:rPr>
        <w:t>This Quarterly Report on Form 10-Q should be read together with the discussion within “</w:t>
      </w:r>
      <w:r>
        <w:rPr>
          <w:rFonts w:ascii="Arial" w:cs="Arial" w:eastAsia="Arial" w:hAnsi="Arial"/>
          <w:sz w:val="17"/>
          <w:szCs w:val="17"/>
          <w:i w:val="1"/>
          <w:iCs w:val="1"/>
          <w:color w:val="auto"/>
        </w:rPr>
        <w:t>Management</w:t>
      </w:r>
      <w:r>
        <w:rPr>
          <w:rFonts w:ascii="Arial" w:cs="Arial" w:eastAsia="Arial" w:hAnsi="Arial"/>
          <w:sz w:val="20"/>
          <w:szCs w:val="20"/>
          <w:i w:val="1"/>
          <w:iCs w:val="1"/>
          <w:color w:val="auto"/>
        </w:rPr>
        <w:t>’</w:t>
      </w:r>
      <w:r>
        <w:rPr>
          <w:rFonts w:ascii="Arial" w:cs="Arial" w:eastAsia="Arial" w:hAnsi="Arial"/>
          <w:sz w:val="17"/>
          <w:szCs w:val="17"/>
          <w:i w:val="1"/>
          <w:iCs w:val="1"/>
          <w:color w:val="auto"/>
        </w:rPr>
        <w: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Condition and Results of Operations” </w:t>
      </w:r>
      <w:r>
        <w:rPr>
          <w:rFonts w:ascii="Arial" w:cs="Arial" w:eastAsia="Arial" w:hAnsi="Arial"/>
          <w:sz w:val="17"/>
          <w:szCs w:val="17"/>
          <w:color w:val="auto"/>
        </w:rPr>
        <w:t>contained in the Current Report on Form 8-K filed on June 24, 2021 regarding these critical accounting policies. For</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critical accounting policies during the nine months ended September 30, 2021, refer to Note 2 – Summary of Significant Accounting Policies in the notes to condensed consolidated financial statements included elsewhere in this Form 10-Q.</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We are exposed to market risks associated with changes in foreign currency exchange rates due to our international operations. The currencies for which we have our largest exchange rate exposures are related to changes in the British Pound, the Canadian dollar and the Euro. Our revenue contracts are primarily denominated in these currencies or the U.S. dollar. The contracts denominated in currencies other than the U.S. dollar, primarily from the transaction-related advisory services that we provide, are exposed to foreign currency fluctuations.</w:t>
      </w:r>
    </w:p>
    <w:p>
      <w:pPr>
        <w:spacing w:after="0" w:line="18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Additionally, the net assets and liabilities of these international operations are exposed to changes in foreign currency exchange rates. These operations may also have net assets and liabilities not denominated in their functional currency, which exposes us to changes in foreign currency exchange rates that impact income. Our foreign currency gains (losses) are primarily due to exchange rate fluctuations related to monetary asset balances denominated in currencies other than the functional currency, including foreign currency exchange rate changes recorded on intercompany obligations. Changes in exchange rates may create gains or losses in future periods to the extent we maintain net assets and liabilities not denominated in the functional currency.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 Report on Form 10-Q as Exhibits 31.1 and 31.2.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85"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September 30, 2021.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jc w:val="both"/>
        <w:ind w:firstLine="464"/>
        <w:spacing w:after="0" w:line="359"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Rules 13a-15(f) and 15d-15(f)) during the three months ended September 30, 2021 that materially affected, or are reasonably likely to materially affect, our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3" w:lineRule="exact"/>
        <w:rPr>
          <w:sz w:val="20"/>
          <w:szCs w:val="20"/>
          <w:color w:val="auto"/>
        </w:rPr>
      </w:pPr>
    </w:p>
    <w:p>
      <w:pPr>
        <w:jc w:val="both"/>
        <w:ind w:firstLine="546"/>
        <w:spacing w:after="0" w:line="269" w:lineRule="auto"/>
        <w:rPr>
          <w:sz w:val="20"/>
          <w:szCs w:val="20"/>
          <w:color w:val="auto"/>
        </w:rPr>
      </w:pPr>
      <w:r>
        <w:rPr>
          <w:rFonts w:ascii="Arial" w:cs="Arial" w:eastAsia="Arial" w:hAnsi="Arial"/>
          <w:sz w:val="18"/>
          <w:szCs w:val="18"/>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jc w:val="both"/>
        <w:ind w:firstLine="464"/>
        <w:spacing w:after="0" w:line="286"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82" w:lineRule="exact"/>
        <w:rPr>
          <w:sz w:val="20"/>
          <w:szCs w:val="20"/>
          <w:color w:val="auto"/>
        </w:rPr>
      </w:pPr>
    </w:p>
    <w:p>
      <w:pPr>
        <w:jc w:val="both"/>
        <w:ind w:firstLine="464"/>
        <w:spacing w:after="0" w:line="314"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judgment.</w:t>
      </w:r>
    </w:p>
    <w:p>
      <w:pPr>
        <w:spacing w:after="0" w:line="160" w:lineRule="exact"/>
        <w:rPr>
          <w:sz w:val="20"/>
          <w:szCs w:val="20"/>
          <w:color w:val="auto"/>
        </w:rPr>
      </w:pPr>
    </w:p>
    <w:p>
      <w:pPr>
        <w:jc w:val="both"/>
        <w:ind w:firstLine="464"/>
        <w:spacing w:after="0" w:line="296" w:lineRule="auto"/>
        <w:rPr>
          <w:sz w:val="20"/>
          <w:szCs w:val="20"/>
          <w:color w:val="auto"/>
        </w:rPr>
      </w:pPr>
      <w:r>
        <w:rPr>
          <w:rFonts w:ascii="Arial" w:cs="Arial" w:eastAsia="Arial" w:hAnsi="Arial"/>
          <w:sz w:val="17"/>
          <w:szCs w:val="17"/>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7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83" w:lineRule="exact"/>
        <w:rPr>
          <w:sz w:val="20"/>
          <w:szCs w:val="20"/>
          <w:color w:val="auto"/>
        </w:rPr>
      </w:pPr>
    </w:p>
    <w:p>
      <w:pPr>
        <w:jc w:val="both"/>
        <w:ind w:right="20" w:firstLine="464"/>
        <w:spacing w:after="0" w:line="293" w:lineRule="auto"/>
        <w:rPr>
          <w:sz w:val="20"/>
          <w:szCs w:val="20"/>
          <w:color w:val="auto"/>
        </w:rPr>
      </w:pPr>
      <w:r>
        <w:rPr>
          <w:rFonts w:ascii="Arial" w:cs="Arial" w:eastAsia="Arial" w:hAnsi="Arial"/>
          <w:sz w:val="18"/>
          <w:szCs w:val="18"/>
          <w:color w:val="auto"/>
        </w:rPr>
        <w:t>For further details on the current legal proceedings, refer to Note 18 – Commitments and Contingencies in the notes to condensed consolidated financial statements included elsewhere in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60" w:firstLine="464"/>
        <w:spacing w:after="0" w:line="301" w:lineRule="auto"/>
        <w:rPr>
          <w:sz w:val="20"/>
          <w:szCs w:val="20"/>
          <w:color w:val="auto"/>
        </w:rPr>
      </w:pPr>
      <w:r>
        <w:rPr>
          <w:rFonts w:ascii="Arial" w:cs="Arial" w:eastAsia="Arial" w:hAnsi="Arial"/>
          <w:sz w:val="16"/>
          <w:szCs w:val="16"/>
          <w:color w:val="auto"/>
        </w:rPr>
        <w:t xml:space="preserve">There have been no material changes or updates to our risk factors that were previously disclosed in Part II </w:t>
      </w:r>
      <w:r>
        <w:rPr>
          <w:rFonts w:ascii="Arial" w:cs="Arial" w:eastAsia="Arial" w:hAnsi="Arial"/>
          <w:sz w:val="17"/>
          <w:szCs w:val="17"/>
          <w:color w:val="auto"/>
        </w:rPr>
        <w:t>“</w:t>
      </w:r>
      <w:r>
        <w:rPr>
          <w:rFonts w:ascii="Arial" w:cs="Arial" w:eastAsia="Arial" w:hAnsi="Arial"/>
          <w:sz w:val="16"/>
          <w:szCs w:val="16"/>
          <w:color w:val="auto"/>
        </w:rPr>
        <w:t>Item 1A. Risk Factors</w:t>
      </w:r>
      <w:r>
        <w:rPr>
          <w:rFonts w:ascii="Arial" w:cs="Arial" w:eastAsia="Arial" w:hAnsi="Arial"/>
          <w:sz w:val="17"/>
          <w:szCs w:val="17"/>
          <w:color w:val="auto"/>
        </w:rPr>
        <w:t>”</w:t>
      </w:r>
      <w:r>
        <w:rPr>
          <w:rFonts w:ascii="Arial" w:cs="Arial" w:eastAsia="Arial" w:hAnsi="Arial"/>
          <w:sz w:val="16"/>
          <w:szCs w:val="16"/>
          <w:color w:val="auto"/>
        </w:rPr>
        <w:t xml:space="preserve"> in the Company’s Quarterly Report on Form 10-Q for the quarter ended June 30, 2021 as filed with the SEC on August 12,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of Common Stock</w:t>
      </w:r>
    </w:p>
    <w:p>
      <w:pPr>
        <w:spacing w:after="0" w:line="239"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8"/>
          <w:szCs w:val="18"/>
          <w:color w:val="auto"/>
        </w:rPr>
        <w:t>In connection with the Business Combination, the Company delivered 12,500,000 shares of Class A common stock (as described in the “</w:t>
      </w:r>
      <w:r>
        <w:rPr>
          <w:rFonts w:ascii="Arial" w:cs="Arial" w:eastAsia="Arial" w:hAnsi="Arial"/>
          <w:sz w:val="18"/>
          <w:szCs w:val="18"/>
          <w:i w:val="1"/>
          <w:iCs w:val="1"/>
          <w:color w:val="auto"/>
        </w:rPr>
        <w:t>Private</w:t>
      </w:r>
      <w:r>
        <w:rPr>
          <w:rFonts w:ascii="Arial" w:cs="Arial" w:eastAsia="Arial" w:hAnsi="Arial"/>
          <w:sz w:val="18"/>
          <w:szCs w:val="18"/>
          <w:color w:val="auto"/>
        </w:rPr>
        <w:t xml:space="preserve"> </w:t>
      </w:r>
      <w:r>
        <w:rPr>
          <w:rFonts w:ascii="Arial" w:cs="Arial" w:eastAsia="Arial" w:hAnsi="Arial"/>
          <w:sz w:val="18"/>
          <w:szCs w:val="18"/>
          <w:i w:val="1"/>
          <w:iCs w:val="1"/>
          <w:color w:val="auto"/>
        </w:rPr>
        <w:t>Placement</w:t>
      </w:r>
      <w:r>
        <w:rPr>
          <w:rFonts w:ascii="Arial" w:cs="Arial" w:eastAsia="Arial" w:hAnsi="Arial"/>
          <w:sz w:val="18"/>
          <w:szCs w:val="18"/>
          <w:color w:val="auto"/>
        </w:rPr>
        <w:t>” section below), 48,470,675 shares of Class B-1 common stock (of which 45,608,840 shares of Class B-1 common stock remained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after giving effect to Redemptions (as defined below)) and 12,589,325 shares of Class B-2 common stock (of which 4,545,359 shares of Class B-2 common stock remained outstanding after giving effect to Redemptions).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3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8"/>
          <w:szCs w:val="18"/>
          <w:color w:val="auto"/>
        </w:rPr>
        <w:t>In connection with entering into the Business Combination Agreement, the Company entered into subscription agreements with certain investors (collectively, the “PIPE Investors”), pursuant to which, among other things, the PIPE Investors party thereto agreed to purchase an aggregate of 12,500,000 shares of Class A common stock immediately prior to the Closing at a cash purchase price of $10.00 per share, resulting in aggregate proceeds of $125,000,000 in the private placement (the “PIPE Investment”). The shares of Class A common stock issued to the PIPE Investors were issued in reliance on the exemption from registration requirements thereof provided by Section 4(a)(2)of the Securities Act as a transaction by an issuer not involving a public offering without any form of general solicitation or general advertising.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jc w:val="both"/>
        <w:ind w:firstLine="464"/>
        <w:spacing w:after="0" w:line="311" w:lineRule="auto"/>
        <w:rPr>
          <w:sz w:val="20"/>
          <w:szCs w:val="20"/>
          <w:color w:val="auto"/>
        </w:rPr>
      </w:pPr>
      <w:r>
        <w:rPr>
          <w:rFonts w:ascii="Arial" w:cs="Arial" w:eastAsia="Arial" w:hAnsi="Arial"/>
          <w:sz w:val="16"/>
          <w:szCs w:val="16"/>
          <w:color w:val="auto"/>
        </w:rPr>
        <w:t>The subscription agreements for the PIPE Investors (other than the Sponsor-related PIPE Investors, whose registration rights are governed by a registration rights agreement (the “Non-Sponsor PIPE Investors”)) provide for certain registration rights. In accordance with the subscription agreements, we filed a registration statement registering the resale of such shares.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 (as defined below). The Company filed a registration statement registering resale of such shares (as well as other shares) on July 15, 2021, and such registration statement was declared effective by the SEC on July 26,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Units</w:t>
      </w:r>
    </w:p>
    <w:p>
      <w:pPr>
        <w:spacing w:after="0" w:line="239" w:lineRule="exact"/>
        <w:rPr>
          <w:sz w:val="20"/>
          <w:szCs w:val="20"/>
          <w:color w:val="auto"/>
        </w:rPr>
      </w:pPr>
    </w:p>
    <w:p>
      <w:pPr>
        <w:jc w:val="both"/>
        <w:ind w:firstLine="464"/>
        <w:spacing w:after="0" w:line="309" w:lineRule="auto"/>
        <w:rPr>
          <w:sz w:val="20"/>
          <w:szCs w:val="20"/>
          <w:color w:val="auto"/>
        </w:rPr>
      </w:pPr>
      <w:r>
        <w:rPr>
          <w:rFonts w:ascii="Arial" w:cs="Arial" w:eastAsia="Arial" w:hAnsi="Arial"/>
          <w:sz w:val="16"/>
          <w:szCs w:val="16"/>
          <w:color w:val="auto"/>
        </w:rPr>
        <w:t>Subject to the exchange procedures and restrictions set forth in the PWP OpCo LPA, and any other procedures or restrictions imposed by the Company, holders of the 61,060,000 PWP OpCo Units (other than the Company) outstanding as of immediately after the Closing (before giving effect to the redemptions of certain legacy partners of Professional Partners and ILPs)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 The PWP OpCo Units were previously issued in reliance on the exemption from registration requirements thereof provided by Section 4(a)(2) of the Securities Act as a transaction by an issuer not involving a public offering without any form of general solicitation or general advertising.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Equity Securities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repurchase of equity securities during the three months ended September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 Value</w:t>
            </w:r>
          </w:p>
        </w:tc>
      </w:tr>
      <w:tr>
        <w:trPr>
          <w:trHeight w:val="229"/>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6"/>
              </w:rPr>
              <w:t>of Shares yet to be</w:t>
            </w:r>
          </w:p>
        </w:tc>
      </w:tr>
      <w:tr>
        <w:trPr>
          <w:trHeight w:val="230"/>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Purchased Under the</w:t>
            </w:r>
          </w:p>
        </w:tc>
      </w:tr>
      <w:tr>
        <w:trPr>
          <w:trHeight w:val="229"/>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r>
      <w:tr>
        <w:trPr>
          <w:trHeight w:val="241"/>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Repurchased</w:t>
            </w:r>
          </w:p>
        </w:tc>
        <w:tc>
          <w:tcPr>
            <w:tcW w:w="12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Per Unit</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July 1, 2021 - July 31, 2021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20" w:type="dxa"/>
            <w:vAlign w:val="bottom"/>
          </w:tcPr>
          <w:p>
            <w:pPr>
              <w:ind w:left="19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40" w:type="dxa"/>
            <w:vAlign w:val="bottom"/>
          </w:tcPr>
          <w:p>
            <w:pPr>
              <w:ind w:left="2140"/>
              <w:spacing w:after="0"/>
              <w:rPr>
                <w:sz w:val="20"/>
                <w:szCs w:val="20"/>
                <w:color w:val="auto"/>
              </w:rPr>
            </w:pPr>
            <w:r>
              <w:rPr>
                <w:rFonts w:ascii="Arial" w:cs="Arial" w:eastAsia="Arial" w:hAnsi="Arial"/>
                <w:sz w:val="18"/>
                <w:szCs w:val="18"/>
                <w:color w:val="auto"/>
                <w:w w:val="79"/>
              </w:rPr>
              <w:t>–</w:t>
            </w:r>
          </w:p>
        </w:tc>
      </w:tr>
      <w:tr>
        <w:trPr>
          <w:trHeight w:val="257"/>
        </w:trPr>
        <w:tc>
          <w:tcPr>
            <w:tcW w:w="4400" w:type="dxa"/>
            <w:vAlign w:val="bottom"/>
          </w:tcPr>
          <w:p>
            <w:pPr>
              <w:ind w:left="20"/>
              <w:spacing w:after="0"/>
              <w:rPr>
                <w:sz w:val="20"/>
                <w:szCs w:val="20"/>
                <w:color w:val="auto"/>
              </w:rPr>
            </w:pPr>
            <w:r>
              <w:rPr>
                <w:rFonts w:ascii="Arial" w:cs="Arial" w:eastAsia="Arial" w:hAnsi="Arial"/>
                <w:sz w:val="18"/>
                <w:szCs w:val="18"/>
                <w:color w:val="auto"/>
              </w:rPr>
              <w:t>August 1, 2021 - August 31, 2021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2"/>
                <w:szCs w:val="22"/>
                <w:color w:val="auto"/>
              </w:rPr>
            </w:pPr>
          </w:p>
        </w:tc>
        <w:tc>
          <w:tcPr>
            <w:tcW w:w="2020" w:type="dxa"/>
            <w:vAlign w:val="bottom"/>
          </w:tcPr>
          <w:p>
            <w:pPr>
              <w:ind w:left="19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240" w:type="dxa"/>
            <w:vAlign w:val="bottom"/>
          </w:tcPr>
          <w:p>
            <w:pPr>
              <w:ind w:left="2140"/>
              <w:spacing w:after="0"/>
              <w:rPr>
                <w:sz w:val="20"/>
                <w:szCs w:val="20"/>
                <w:color w:val="auto"/>
              </w:rPr>
            </w:pPr>
            <w:r>
              <w:rPr>
                <w:rFonts w:ascii="Arial" w:cs="Arial" w:eastAsia="Arial" w:hAnsi="Arial"/>
                <w:sz w:val="18"/>
                <w:szCs w:val="18"/>
                <w:color w:val="auto"/>
                <w:w w:val="79"/>
              </w:rPr>
              <w:t>–</w:t>
            </w:r>
          </w:p>
        </w:tc>
      </w:tr>
      <w:tr>
        <w:trPr>
          <w:trHeight w:val="263"/>
        </w:trPr>
        <w:tc>
          <w:tcPr>
            <w:tcW w:w="4400" w:type="dxa"/>
            <w:vAlign w:val="bottom"/>
          </w:tcPr>
          <w:p>
            <w:pPr>
              <w:ind w:left="20"/>
              <w:spacing w:after="0"/>
              <w:rPr>
                <w:sz w:val="20"/>
                <w:szCs w:val="20"/>
                <w:color w:val="auto"/>
              </w:rPr>
            </w:pPr>
            <w:r>
              <w:rPr>
                <w:rFonts w:ascii="Arial" w:cs="Arial" w:eastAsia="Arial" w:hAnsi="Arial"/>
                <w:sz w:val="18"/>
                <w:szCs w:val="18"/>
                <w:color w:val="auto"/>
              </w:rPr>
              <w:t>September 1, 2021 - September 30, 2021</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2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2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w w:val="79"/>
              </w:rPr>
              <w:t>–</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2020" w:type="dxa"/>
            <w:vAlign w:val="bottom"/>
          </w:tcPr>
          <w:p>
            <w:pPr>
              <w:ind w:left="19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40" w:type="dxa"/>
            <w:vAlign w:val="bottom"/>
          </w:tcPr>
          <w:p>
            <w:pPr>
              <w:ind w:left="2140"/>
              <w:spacing w:after="0"/>
              <w:rPr>
                <w:sz w:val="20"/>
                <w:szCs w:val="20"/>
                <w:color w:val="auto"/>
              </w:rPr>
            </w:pPr>
            <w:r>
              <w:rPr>
                <w:rFonts w:ascii="Arial" w:cs="Arial" w:eastAsia="Arial" w:hAnsi="Arial"/>
                <w:sz w:val="18"/>
                <w:szCs w:val="18"/>
                <w:color w:val="auto"/>
                <w:w w:val="79"/>
              </w:rPr>
              <w:t>–</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3" w:lineRule="exact"/>
        <w:rPr>
          <w:sz w:val="20"/>
          <w:szCs w:val="20"/>
          <w:color w:val="auto"/>
        </w:rPr>
      </w:pPr>
    </w:p>
    <w:p>
      <w:pPr>
        <w:jc w:val="center"/>
        <w:ind w:right="92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1"/>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gridSpan w:val="11"/>
          </w:tcPr>
          <w:p>
            <w:pPr>
              <w:ind w:left="344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60" w:type="dxa"/>
            <w:vAlign w:val="bottom"/>
            <w:tcBorders>
              <w:bottom w:val="single" w:sz="8" w:color="0000FF"/>
            </w:tcBorders>
            <w:gridSpan w:val="11"/>
          </w:tcPr>
          <w:p>
            <w:pPr>
              <w:spacing w:after="0" w:line="189" w:lineRule="exact"/>
              <w:rPr>
                <w:rFonts w:ascii="Arial" w:cs="Arial" w:eastAsia="Arial" w:hAnsi="Arial"/>
                <w:sz w:val="18"/>
                <w:szCs w:val="18"/>
                <w:color w:val="0000FF"/>
                <w:w w:val="90"/>
              </w:rPr>
            </w:pPr>
            <w:hyperlink w:anchor="page62">
              <w:r>
                <w:rPr>
                  <w:rFonts w:ascii="Arial" w:cs="Arial" w:eastAsia="Arial" w:hAnsi="Arial"/>
                  <w:sz w:val="18"/>
                  <w:szCs w:val="18"/>
                  <w:color w:val="0000FF"/>
                  <w:w w:val="90"/>
                </w:rPr>
                <w:t>Employment Agreement, dated as of August 11, 2021, by and between Perella Weinberg Partners, PWP Employer LP and Peter A.</w:t>
              </w:r>
            </w:hyperlink>
          </w:p>
        </w:tc>
        <w:tc>
          <w:tcPr>
            <w:tcW w:w="740" w:type="dxa"/>
            <w:vAlign w:val="bottom"/>
            <w:gridSpan w:val="6"/>
          </w:tcPr>
          <w:p>
            <w:pPr>
              <w:spacing w:after="0"/>
              <w:rPr>
                <w:sz w:val="16"/>
                <w:szCs w:val="16"/>
                <w:color w:val="auto"/>
              </w:rPr>
            </w:pPr>
          </w:p>
        </w:tc>
      </w:tr>
      <w:tr>
        <w:trPr>
          <w:trHeight w:val="209"/>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bottom w:val="single" w:sz="8" w:color="0000FF"/>
            </w:tcBorders>
          </w:tcPr>
          <w:p>
            <w:pPr>
              <w:spacing w:after="0"/>
              <w:rPr>
                <w:rFonts w:ascii="Arial" w:cs="Arial" w:eastAsia="Arial" w:hAnsi="Arial"/>
                <w:sz w:val="18"/>
                <w:szCs w:val="18"/>
                <w:color w:val="0000FF"/>
                <w:w w:val="87"/>
              </w:rPr>
            </w:pPr>
            <w:hyperlink w:anchor="page62">
              <w:r>
                <w:rPr>
                  <w:rFonts w:ascii="Arial" w:cs="Arial" w:eastAsia="Arial" w:hAnsi="Arial"/>
                  <w:sz w:val="18"/>
                  <w:szCs w:val="18"/>
                  <w:color w:val="0000FF"/>
                  <w:w w:val="87"/>
                </w:rPr>
                <w:t>Weinberg.</w:t>
              </w:r>
            </w:hyperlink>
          </w:p>
        </w:tc>
        <w:tc>
          <w:tcPr>
            <w:tcW w:w="20" w:type="dxa"/>
            <w:vAlign w:val="bottom"/>
            <w:tcBorders>
              <w:bottom w:val="single" w:sz="8" w:color="0000EE"/>
            </w:tcBorders>
          </w:tcPr>
          <w:p>
            <w:pPr>
              <w:spacing w:after="0"/>
              <w:rPr>
                <w:sz w:val="18"/>
                <w:szCs w:val="18"/>
                <w:color w:val="auto"/>
              </w:rPr>
            </w:pPr>
          </w:p>
        </w:tc>
        <w:tc>
          <w:tcPr>
            <w:tcW w:w="9440" w:type="dxa"/>
            <w:vAlign w:val="bottom"/>
            <w:gridSpan w:val="15"/>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7"/>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Employment Agreement, dated as of August 11, 2021, by and between Perella Weinberg Partners, PWP Employer LP and Andrew Bednar.</w:t>
              </w:r>
            </w:hyperlink>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Employment Agreement, dated as of August 11, 2021, by and between Perella Weinberg Partners, Perella Weinberg UK Limited and</w:t>
              </w:r>
            </w:hyperlink>
          </w:p>
        </w:tc>
        <w:tc>
          <w:tcPr>
            <w:tcW w:w="400" w:type="dxa"/>
            <w:vAlign w:val="bottom"/>
            <w:tcBorders>
              <w:top w:val="single" w:sz="8" w:color="0000FF"/>
            </w:tcBorders>
            <w:gridSpan w:val="2"/>
          </w:tcPr>
          <w:p>
            <w:pPr>
              <w:spacing w:after="0"/>
              <w:rPr>
                <w:sz w:val="19"/>
                <w:szCs w:val="19"/>
                <w:color w:val="auto"/>
              </w:rPr>
            </w:pPr>
          </w:p>
        </w:tc>
        <w:tc>
          <w:tcPr>
            <w:tcW w:w="200" w:type="dxa"/>
            <w:vAlign w:val="bottom"/>
            <w:gridSpan w:val="3"/>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76">
              <w:r>
                <w:rPr>
                  <w:rFonts w:ascii="Arial" w:cs="Arial" w:eastAsia="Arial" w:hAnsi="Arial"/>
                  <w:sz w:val="18"/>
                  <w:szCs w:val="18"/>
                  <w:color w:val="0000FF"/>
                  <w:w w:val="91"/>
                </w:rPr>
                <w:t>Dietrich Becker.</w:t>
              </w:r>
            </w:hyperlink>
          </w:p>
        </w:tc>
        <w:tc>
          <w:tcPr>
            <w:tcW w:w="20" w:type="dxa"/>
            <w:vAlign w:val="bottom"/>
            <w:tcBorders>
              <w:bottom w:val="single" w:sz="8" w:color="0000EE"/>
            </w:tcBorders>
          </w:tcPr>
          <w:p>
            <w:pPr>
              <w:spacing w:after="0"/>
              <w:rPr>
                <w:sz w:val="18"/>
                <w:szCs w:val="18"/>
                <w:color w:val="auto"/>
              </w:rPr>
            </w:pPr>
          </w:p>
        </w:tc>
        <w:tc>
          <w:tcPr>
            <w:tcW w:w="9000" w:type="dxa"/>
            <w:vAlign w:val="bottom"/>
            <w:gridSpan w:val="11"/>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7"/>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Form of Director Restricted Stock Unit Award Agreement (One-Time Award).</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7"/>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Form of Director Restricted Stock Unit Award Agreement (Annual Base Retainer Award).</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6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89">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540" w:type="dxa"/>
            <w:vAlign w:val="bottom"/>
            <w:gridSpan w:val="4"/>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89">
              <w:r>
                <w:rPr>
                  <w:rFonts w:ascii="Arial" w:cs="Arial" w:eastAsia="Arial" w:hAnsi="Arial"/>
                  <w:sz w:val="18"/>
                  <w:szCs w:val="18"/>
                  <w:color w:val="0000FF"/>
                  <w:w w:val="90"/>
                </w:rPr>
                <w:t>Adopted Pursuant to Section 302 of the Sarbanes-Oxley Act of 2002.</w:t>
              </w:r>
            </w:hyperlink>
          </w:p>
        </w:tc>
        <w:tc>
          <w:tcPr>
            <w:tcW w:w="20" w:type="dxa"/>
            <w:vAlign w:val="bottom"/>
            <w:tcBorders>
              <w:bottom w:val="single" w:sz="8" w:color="0000EE"/>
            </w:tcBorders>
          </w:tcPr>
          <w:p>
            <w:pPr>
              <w:spacing w:after="0"/>
              <w:rPr>
                <w:sz w:val="18"/>
                <w:szCs w:val="18"/>
                <w:color w:val="auto"/>
              </w:rPr>
            </w:pPr>
          </w:p>
        </w:tc>
        <w:tc>
          <w:tcPr>
            <w:tcW w:w="5200" w:type="dxa"/>
            <w:vAlign w:val="bottom"/>
            <w:gridSpan w:val="9"/>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90">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600" w:type="dxa"/>
            <w:vAlign w:val="bottom"/>
            <w:gridSpan w:val="5"/>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Adopted Pursuant to Section 302 of the Sarbanes-Oxley Act of 2002.</w:t>
              </w:r>
            </w:hyperlink>
          </w:p>
        </w:tc>
        <w:tc>
          <w:tcPr>
            <w:tcW w:w="20" w:type="dxa"/>
            <w:vAlign w:val="bottom"/>
            <w:tcBorders>
              <w:bottom w:val="single" w:sz="8" w:color="0000EE"/>
            </w:tcBorders>
          </w:tcPr>
          <w:p>
            <w:pPr>
              <w:spacing w:after="0"/>
              <w:rPr>
                <w:sz w:val="18"/>
                <w:szCs w:val="18"/>
                <w:color w:val="auto"/>
              </w:rPr>
            </w:pPr>
          </w:p>
        </w:tc>
        <w:tc>
          <w:tcPr>
            <w:tcW w:w="5200" w:type="dxa"/>
            <w:vAlign w:val="bottom"/>
            <w:gridSpan w:val="9"/>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91">
              <w:r>
                <w:rPr>
                  <w:rFonts w:ascii="Arial" w:cs="Arial" w:eastAsia="Arial" w:hAnsi="Arial"/>
                  <w:sz w:val="18"/>
                  <w:szCs w:val="18"/>
                  <w:color w:val="0000FF"/>
                  <w:w w:val="91"/>
                </w:rPr>
                <w:t>Certification of Principal Executive Officer Pursuant to 18 U.S.C. Section 1350, as Adopted Pursuant to Section 906 of the Sarbanes-Oxley</w:t>
              </w:r>
            </w:hyperlink>
          </w:p>
        </w:tc>
        <w:tc>
          <w:tcPr>
            <w:tcW w:w="120" w:type="dxa"/>
            <w:vAlign w:val="bottom"/>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91">
              <w:r>
                <w:rPr>
                  <w:rFonts w:ascii="Arial" w:cs="Arial" w:eastAsia="Arial" w:hAnsi="Arial"/>
                  <w:sz w:val="18"/>
                  <w:szCs w:val="18"/>
                  <w:color w:val="0000FF"/>
                  <w:w w:val="91"/>
                </w:rPr>
                <w:t>Act of 2002.</w:t>
              </w:r>
            </w:hyperlink>
          </w:p>
        </w:tc>
        <w:tc>
          <w:tcPr>
            <w:tcW w:w="20" w:type="dxa"/>
            <w:vAlign w:val="bottom"/>
            <w:tcBorders>
              <w:bottom w:val="single" w:sz="8" w:color="0000EE"/>
            </w:tcBorders>
          </w:tcPr>
          <w:p>
            <w:pPr>
              <w:spacing w:after="0"/>
              <w:rPr>
                <w:sz w:val="18"/>
                <w:szCs w:val="18"/>
                <w:color w:val="auto"/>
              </w:rPr>
            </w:pPr>
          </w:p>
        </w:tc>
        <w:tc>
          <w:tcPr>
            <w:tcW w:w="9280" w:type="dxa"/>
            <w:vAlign w:val="bottom"/>
            <w:gridSpan w:val="13"/>
          </w:tcPr>
          <w:p>
            <w:pPr>
              <w:spacing w:after="0"/>
              <w:rPr>
                <w:sz w:val="18"/>
                <w:szCs w:val="18"/>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92">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c>
          <w:tcPr>
            <w:tcW w:w="160" w:type="dxa"/>
            <w:vAlign w:val="bottom"/>
            <w:gridSpan w:val="2"/>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92">
              <w:r>
                <w:rPr>
                  <w:rFonts w:ascii="Arial" w:cs="Arial" w:eastAsia="Arial" w:hAnsi="Arial"/>
                  <w:sz w:val="18"/>
                  <w:szCs w:val="18"/>
                  <w:color w:val="0000FF"/>
                  <w:w w:val="91"/>
                </w:rPr>
                <w:t>Act of 2002.</w:t>
              </w:r>
            </w:hyperlink>
          </w:p>
        </w:tc>
        <w:tc>
          <w:tcPr>
            <w:tcW w:w="20" w:type="dxa"/>
            <w:vAlign w:val="bottom"/>
            <w:tcBorders>
              <w:bottom w:val="single" w:sz="8" w:color="0000EE"/>
            </w:tcBorders>
          </w:tcPr>
          <w:p>
            <w:pPr>
              <w:spacing w:after="0"/>
              <w:rPr>
                <w:sz w:val="18"/>
                <w:szCs w:val="18"/>
                <w:color w:val="auto"/>
              </w:rPr>
            </w:pPr>
          </w:p>
        </w:tc>
        <w:tc>
          <w:tcPr>
            <w:tcW w:w="9280" w:type="dxa"/>
            <w:vAlign w:val="bottom"/>
            <w:gridSpan w:val="13"/>
          </w:tcPr>
          <w:p>
            <w:pPr>
              <w:spacing w:after="0"/>
              <w:rPr>
                <w:sz w:val="18"/>
                <w:szCs w:val="18"/>
                <w:color w:val="auto"/>
              </w:rPr>
            </w:pPr>
          </w:p>
        </w:tc>
      </w:tr>
      <w:tr>
        <w:trPr>
          <w:trHeight w:val="263"/>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7"/>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XBRL tags are embedded</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17"/>
          </w:tcPr>
          <w:p>
            <w:pPr>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73"/>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73"/>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73"/>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73"/>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42" w:lineRule="exact"/>
        <w:rPr>
          <w:sz w:val="20"/>
          <w:szCs w:val="20"/>
          <w:color w:val="auto"/>
        </w:rPr>
      </w:pPr>
    </w:p>
    <w:p>
      <w:pPr>
        <w:ind w:left="1040" w:hanging="1019"/>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a management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160"/>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PERELLA WEINBERG PARTNERS</w:t>
            </w:r>
          </w:p>
        </w:tc>
      </w:tr>
      <w:tr>
        <w:trPr>
          <w:trHeight w:val="493"/>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5, 2021</w:t>
            </w: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By: /s/ PETER A. WEINBERG</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Peter A. Weinberg</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Chief Executive Officer</w:t>
            </w:r>
          </w:p>
        </w:tc>
      </w:tr>
      <w:tr>
        <w:trPr>
          <w:trHeight w:val="243"/>
        </w:trPr>
        <w:tc>
          <w:tcPr>
            <w:tcW w:w="36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3"/>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5, 2021</w:t>
            </w: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By: /s/ GARY S. BARANCIK</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Gary S. Barancik</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Chief Financial Officer</w:t>
            </w:r>
          </w:p>
        </w:tc>
      </w:tr>
      <w:tr>
        <w:trPr>
          <w:trHeight w:val="243"/>
        </w:trPr>
        <w:tc>
          <w:tcPr>
            <w:tcW w:w="36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688"/>
        </w:trPr>
        <w:tc>
          <w:tcPr>
            <w:tcW w:w="3660" w:type="dxa"/>
            <w:vAlign w:val="bottom"/>
          </w:tcPr>
          <w:p>
            <w:pPr>
              <w:spacing w:after="0"/>
              <w:rPr>
                <w:sz w:val="24"/>
                <w:szCs w:val="24"/>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color w:val="auto"/>
              </w:rPr>
              <w:t>60</w:t>
            </w:r>
          </w:p>
        </w:tc>
        <w:tc>
          <w:tcPr>
            <w:tcW w:w="52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39"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11, 2021, is made by and between Perella Weinberg Partners,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u w:val="single" w:color="auto"/>
          <w:color w:val="auto"/>
        </w:rPr>
        <w:t>PWP</w:t>
      </w:r>
      <w:r>
        <w:rPr>
          <w:rFonts w:ascii="Arial" w:cs="Arial" w:eastAsia="Arial" w:hAnsi="Arial"/>
          <w:sz w:val="18"/>
          <w:szCs w:val="18"/>
          <w:color w:val="auto"/>
        </w:rPr>
        <w:t>”), PWP Employer LP, a Delaware limited partnership (“</w:t>
      </w:r>
      <w:r>
        <w:rPr>
          <w:rFonts w:ascii="Arial" w:cs="Arial" w:eastAsia="Arial" w:hAnsi="Arial"/>
          <w:sz w:val="18"/>
          <w:szCs w:val="18"/>
          <w:u w:val="single" w:color="auto"/>
          <w:color w:val="auto"/>
        </w:rPr>
        <w:t>PWP Employer</w:t>
      </w:r>
      <w:r>
        <w:rPr>
          <w:rFonts w:ascii="Arial" w:cs="Arial" w:eastAsia="Arial" w:hAnsi="Arial"/>
          <w:sz w:val="18"/>
          <w:szCs w:val="18"/>
          <w:color w:val="auto"/>
        </w:rPr>
        <w:t>,” and together with PWP, the “</w:t>
      </w:r>
      <w:r>
        <w:rPr>
          <w:rFonts w:ascii="Arial" w:cs="Arial" w:eastAsia="Arial" w:hAnsi="Arial"/>
          <w:sz w:val="18"/>
          <w:szCs w:val="18"/>
          <w:u w:val="single" w:color="auto"/>
          <w:color w:val="auto"/>
        </w:rPr>
        <w:t>Company</w:t>
      </w:r>
      <w:r>
        <w:rPr>
          <w:rFonts w:ascii="Arial" w:cs="Arial" w:eastAsia="Arial" w:hAnsi="Arial"/>
          <w:sz w:val="18"/>
          <w:szCs w:val="18"/>
          <w:color w:val="auto"/>
        </w:rPr>
        <w:t>”), and Peter A. Weinberg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7"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mutually desire to enter into this Agreement setting forth the terms and conditions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which will become effective as of, and subject to, the Closing (such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63"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hereinafter set forth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of which are hereby acknowledged, the parties hereto agree as follows:</w:t>
      </w:r>
    </w:p>
    <w:p>
      <w:pPr>
        <w:spacing w:after="0" w:line="167" w:lineRule="exact"/>
        <w:rPr>
          <w:sz w:val="20"/>
          <w:szCs w:val="20"/>
          <w:color w:val="auto"/>
        </w:rPr>
      </w:pPr>
    </w:p>
    <w:p>
      <w:pPr>
        <w:jc w:val="both"/>
        <w:ind w:firstLine="757"/>
        <w:spacing w:after="0" w:line="279" w:lineRule="auto"/>
        <w:tabs>
          <w:tab w:leader="none" w:pos="112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Executive’s employment with the Company pursuant to the terms and conditions set forth in this Agreement will commence on the Effective Date and will expire immediately upon the termination of Executive’s employment in accordance with the terms and conditions set forth in Section 5 hereof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1120" w:hanging="363"/>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Title; Services and Duties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860" w:hanging="355"/>
        <w:spacing w:after="0"/>
        <w:tabs>
          <w:tab w:leader="none" w:pos="18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During the Term, Executive will be employed by the Company in the position of Chief Executive Officer pursuant to the terms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37" w:lineRule="exact"/>
        <w:rPr>
          <w:rFonts w:ascii="Arial" w:cs="Arial" w:eastAsia="Arial" w:hAnsi="Arial"/>
          <w:sz w:val="16"/>
          <w:szCs w:val="16"/>
          <w:color w:val="auto"/>
        </w:rPr>
      </w:pPr>
    </w:p>
    <w:p>
      <w:pPr>
        <w:jc w:val="both"/>
        <w:ind w:firstLine="1505"/>
        <w:spacing w:after="0" w:line="305" w:lineRule="auto"/>
        <w:tabs>
          <w:tab w:leader="none" w:pos="1857" w:val="left"/>
        </w:tabs>
        <w:numPr>
          <w:ilvl w:val="1"/>
          <w:numId w:val="17"/>
        </w:numPr>
        <w:rPr>
          <w:rFonts w:ascii="Arial" w:cs="Arial" w:eastAsia="Arial" w:hAnsi="Arial"/>
          <w:sz w:val="16"/>
          <w:szCs w:val="16"/>
          <w:color w:val="auto"/>
        </w:rPr>
      </w:pPr>
      <w:r>
        <w:rPr>
          <w:rFonts w:ascii="Arial" w:cs="Arial" w:eastAsia="Arial" w:hAnsi="Arial"/>
          <w:sz w:val="16"/>
          <w:szCs w:val="16"/>
          <w:color w:val="auto"/>
        </w:rPr>
        <w:t>During the Term, Executive will be a full-time employee of the Company and report directly to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and have such duties, responsibilities and authority as are reasonably prescribed by the Board from time to time and normally associated with the role of a Chief Executive Officer at an entity of similar size and nature as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changes prescribed by the Board to Executive’s position, role, duties, responsibilities or authority shall not be considered a breach of the contractual obligations of the Company set forth in this Section 2. Executive shall devote all of his business time and best efforts to the performance of his duties to the Company and will not engage in any other business, profession or occupation for compensation. Notwithstanding the foregoing, Executive may (i) continue to engage in any outside business activities previously disclosed to the Company as of the date of this Agreement, (ii) subject to prior approval of the Board (which shall not be unreasonably withheld), serve as a director or advisor of non-profit organizations or for profit companies that are not competitive with the Company, (iii) perform and participate in charitable civic, educational, professional, community, industry affairs and other related activities and (iv) manage his personal and family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activities do not result in a conflict of interest with the Company and do not unreasonably interfere, individually or in the aggregate, in any material respect with the performance of Executive’s duties hereunder.</w:t>
      </w:r>
    </w:p>
    <w:p>
      <w:pPr>
        <w:spacing w:after="0" w:line="168" w:lineRule="exact"/>
        <w:rPr>
          <w:rFonts w:ascii="Arial" w:cs="Arial" w:eastAsia="Arial" w:hAnsi="Arial"/>
          <w:sz w:val="16"/>
          <w:szCs w:val="16"/>
          <w:color w:val="auto"/>
        </w:rPr>
      </w:pPr>
    </w:p>
    <w:p>
      <w:pPr>
        <w:ind w:left="1120" w:hanging="363"/>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279" w:lineRule="auto"/>
        <w:tabs>
          <w:tab w:leader="none" w:pos="1857"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Term, the Company will pay Executive a base salary in the amount of $500,000 per annum (the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Salary</w:t>
      </w:r>
      <w:r>
        <w:rPr>
          <w:rFonts w:ascii="Arial" w:cs="Arial" w:eastAsia="Arial" w:hAnsi="Arial"/>
          <w:sz w:val="18"/>
          <w:szCs w:val="18"/>
          <w:color w:val="auto"/>
        </w:rPr>
        <w:t>”), payable in such installments as the Company pays other similarly situated individuals. The Base Salary will be annually reviewed for increase (but not decrease) by the Compensation Committee of the Board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during the Term.</w:t>
      </w:r>
    </w:p>
    <w:p>
      <w:pPr>
        <w:spacing w:after="0" w:line="182" w:lineRule="exact"/>
        <w:rPr>
          <w:rFonts w:ascii="Arial" w:cs="Arial" w:eastAsia="Arial" w:hAnsi="Arial"/>
          <w:sz w:val="18"/>
          <w:szCs w:val="18"/>
          <w:color w:val="auto"/>
        </w:rPr>
      </w:pPr>
    </w:p>
    <w:p>
      <w:pPr>
        <w:jc w:val="both"/>
        <w:ind w:firstLine="1505"/>
        <w:spacing w:after="0" w:line="271" w:lineRule="auto"/>
        <w:tabs>
          <w:tab w:leader="none" w:pos="1857"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Annual Performance Bonus</w:t>
      </w:r>
      <w:r>
        <w:rPr>
          <w:rFonts w:ascii="Arial" w:cs="Arial" w:eastAsia="Arial" w:hAnsi="Arial"/>
          <w:sz w:val="18"/>
          <w:szCs w:val="18"/>
          <w:color w:val="auto"/>
        </w:rPr>
        <w:t>. During the Term, Executive will be eligible to receive an annual discretionary performance bonus pursuant to the Company’s annual bonus program in respect of each fiscal year during the Term. The actual bonus payable to Executive will be determined by the Compensation Committee based on, among other things, individual performance for such year, the achievement of the applicable performance criteria established by the Compensation Committee for such year, and such other factors deemed to be relevant by the Compensation Committee. The Company will pay any such annual discretionary performance bonus at the same time or times, and subject to the same conditions (including any applicable repayment provisions) as annual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2" w:name="page63"/>
    <w:bookmarkEnd w:id="62"/>
    <w:p>
      <w:pPr>
        <w:ind w:right="20"/>
        <w:spacing w:after="0" w:line="293" w:lineRule="auto"/>
        <w:rPr>
          <w:sz w:val="20"/>
          <w:szCs w:val="20"/>
          <w:color w:val="auto"/>
        </w:rPr>
      </w:pPr>
      <w:r>
        <w:rPr>
          <w:rFonts w:ascii="Arial" w:cs="Arial" w:eastAsia="Arial" w:hAnsi="Arial"/>
          <w:sz w:val="18"/>
          <w:szCs w:val="18"/>
          <w:color w:val="auto"/>
        </w:rPr>
        <w:t>payments to other similarly situated officers of the Company, provided that Executive is an active employee of the Company, and has not given or received notice of termination of employment, as of the date on which such bonus is paid.</w:t>
      </w:r>
    </w:p>
    <w:p>
      <w:pPr>
        <w:spacing w:after="0" w:line="170" w:lineRule="exact"/>
        <w:rPr>
          <w:sz w:val="20"/>
          <w:szCs w:val="20"/>
          <w:color w:val="auto"/>
        </w:rPr>
      </w:pPr>
    </w:p>
    <w:p>
      <w:pPr>
        <w:ind w:left="1860" w:hanging="355"/>
        <w:spacing w:after="0"/>
        <w:tabs>
          <w:tab w:leader="none" w:pos="186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Equity-Based Awards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2254"/>
        <w:spacing w:after="0" w:line="279" w:lineRule="auto"/>
        <w:tabs>
          <w:tab w:leader="none" w:pos="2606" w:val="left"/>
        </w:tabs>
        <w:numPr>
          <w:ilvl w:val="2"/>
          <w:numId w:val="18"/>
        </w:numPr>
        <w:rPr>
          <w:rFonts w:ascii="Arial" w:cs="Arial" w:eastAsia="Arial" w:hAnsi="Arial"/>
          <w:sz w:val="18"/>
          <w:szCs w:val="18"/>
          <w:color w:val="auto"/>
        </w:rPr>
      </w:pPr>
      <w:r>
        <w:rPr>
          <w:rFonts w:ascii="Arial" w:cs="Arial" w:eastAsia="Arial" w:hAnsi="Arial"/>
          <w:sz w:val="18"/>
          <w:szCs w:val="18"/>
          <w:color w:val="auto"/>
        </w:rPr>
        <w:t>During the term, Executive will be eligible to participate in the Company’s equity-based incentive compensation programs as in effect from time to time and receive periodic grants of equity-based awards, subject to the terms and conditions set forth in the applicable equity incentive plan and Executive’s individual award agreements.</w:t>
      </w:r>
    </w:p>
    <w:p>
      <w:pPr>
        <w:spacing w:after="0" w:line="182" w:lineRule="exact"/>
        <w:rPr>
          <w:rFonts w:ascii="Arial" w:cs="Arial" w:eastAsia="Arial" w:hAnsi="Arial"/>
          <w:sz w:val="18"/>
          <w:szCs w:val="18"/>
          <w:color w:val="auto"/>
        </w:rPr>
      </w:pPr>
    </w:p>
    <w:p>
      <w:pPr>
        <w:jc w:val="both"/>
        <w:ind w:firstLine="2254"/>
        <w:spacing w:after="0" w:line="275" w:lineRule="auto"/>
        <w:tabs>
          <w:tab w:leader="none" w:pos="2606" w:val="left"/>
        </w:tabs>
        <w:numPr>
          <w:ilvl w:val="2"/>
          <w:numId w:val="18"/>
        </w:numPr>
        <w:rPr>
          <w:rFonts w:ascii="Arial" w:cs="Arial" w:eastAsia="Arial" w:hAnsi="Arial"/>
          <w:sz w:val="18"/>
          <w:szCs w:val="18"/>
          <w:color w:val="auto"/>
        </w:rPr>
      </w:pPr>
      <w:r>
        <w:rPr>
          <w:rFonts w:ascii="Arial" w:cs="Arial" w:eastAsia="Arial" w:hAnsi="Arial"/>
          <w:sz w:val="18"/>
          <w:szCs w:val="18"/>
          <w:color w:val="auto"/>
        </w:rPr>
        <w:t>As soon as practicable following the Effective Date, Executive will receive a one-time grant of 3,300,000 performance-based restricted stock units of the Company pursuant to the General Share Reserve, as defined in the Company’s 2021 Omnibus Incentive Plan (the “</w:t>
      </w:r>
      <w:r>
        <w:rPr>
          <w:rFonts w:ascii="Arial" w:cs="Arial" w:eastAsia="Arial" w:hAnsi="Arial"/>
          <w:sz w:val="18"/>
          <w:szCs w:val="18"/>
          <w:u w:val="single" w:color="auto"/>
          <w:color w:val="auto"/>
        </w:rPr>
        <w:t>2021</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subject to the terms and conditions of the 2021 Plan and an individual award agreement substantially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Management RSU Award</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120" w:hanging="363"/>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272" w:lineRule="auto"/>
        <w:tabs>
          <w:tab w:leader="none" w:pos="1857"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Retirement and Welfare Benefits</w:t>
      </w:r>
      <w:r>
        <w:rPr>
          <w:rFonts w:ascii="Arial" w:cs="Arial" w:eastAsia="Arial" w:hAnsi="Arial"/>
          <w:sz w:val="18"/>
          <w:szCs w:val="18"/>
          <w:color w:val="auto"/>
        </w:rPr>
        <w:t>. During the Term, Executive will be eligible to participate in all benefit plans made available by the Company to similarly-situated officers of the Company from time to time. Such benefits will be subject to the applicable limitations and requirements imposed by the terms of such benefit plans and will be governed in all respects in accordance with the terms of such plans as in effect from time to time. Nothing in this Section 4(a), however, will require the Company to maintain any benefit plan or provide any type or level of benefits to its current or former employees, including Executive.</w:t>
      </w:r>
    </w:p>
    <w:p>
      <w:pPr>
        <w:spacing w:after="0" w:line="190" w:lineRule="exact"/>
        <w:rPr>
          <w:rFonts w:ascii="Arial" w:cs="Arial" w:eastAsia="Arial" w:hAnsi="Arial"/>
          <w:sz w:val="18"/>
          <w:szCs w:val="18"/>
          <w:color w:val="auto"/>
        </w:rPr>
      </w:pPr>
    </w:p>
    <w:p>
      <w:pPr>
        <w:jc w:val="both"/>
        <w:ind w:firstLine="1505"/>
        <w:spacing w:after="0" w:line="279" w:lineRule="auto"/>
        <w:tabs>
          <w:tab w:leader="none" w:pos="1857"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will be entitled to paid vacation in accordance with the Company’s vacation policies as in effect from time to time and applicable to similarly-situated officers of the Company. Executive will take vacation at his and the Company’s reasonable and mutual convenience.</w:t>
      </w:r>
    </w:p>
    <w:p>
      <w:pPr>
        <w:spacing w:after="0" w:line="182" w:lineRule="exact"/>
        <w:rPr>
          <w:rFonts w:ascii="Arial" w:cs="Arial" w:eastAsia="Arial" w:hAnsi="Arial"/>
          <w:sz w:val="18"/>
          <w:szCs w:val="18"/>
          <w:color w:val="auto"/>
        </w:rPr>
      </w:pPr>
    </w:p>
    <w:p>
      <w:pPr>
        <w:jc w:val="both"/>
        <w:ind w:firstLine="1505"/>
        <w:spacing w:after="0" w:line="303" w:lineRule="auto"/>
        <w:tabs>
          <w:tab w:leader="none" w:pos="1884"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Reimbursement of Business Expenses</w:t>
      </w:r>
      <w:r>
        <w:rPr>
          <w:rFonts w:ascii="Arial" w:cs="Arial" w:eastAsia="Arial" w:hAnsi="Arial"/>
          <w:sz w:val="17"/>
          <w:szCs w:val="17"/>
          <w:color w:val="auto"/>
        </w:rPr>
        <w:t>. The Company will reimburse Executive for any expenses reasonably and necessarily incurred by Executive during the Term in furtherance of Executive’s duties hereunder, including travel, meals and accommodations, subject to Executive’s compliance with the Company’s policies with respect to reimbursement of business expenses as in effect from time to time.</w:t>
      </w:r>
    </w:p>
    <w:p>
      <w:pPr>
        <w:spacing w:after="0" w:line="164" w:lineRule="exact"/>
        <w:rPr>
          <w:rFonts w:ascii="Arial" w:cs="Arial" w:eastAsia="Arial" w:hAnsi="Arial"/>
          <w:sz w:val="17"/>
          <w:szCs w:val="17"/>
          <w:color w:val="auto"/>
        </w:rPr>
      </w:pPr>
    </w:p>
    <w:p>
      <w:pPr>
        <w:jc w:val="both"/>
        <w:ind w:firstLine="1505"/>
        <w:spacing w:after="0" w:line="275" w:lineRule="auto"/>
        <w:tabs>
          <w:tab w:leader="none" w:pos="1871"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D&amp;O Insurance; Indemnification</w:t>
      </w:r>
      <w:r>
        <w:rPr>
          <w:rFonts w:ascii="Arial" w:cs="Arial" w:eastAsia="Arial" w:hAnsi="Arial"/>
          <w:sz w:val="18"/>
          <w:szCs w:val="18"/>
          <w:color w:val="auto"/>
        </w:rPr>
        <w:t>. Executive will be covered by such directors’ and officers’ liability insurance on terms and conditions that are no less favorable than the terms that apply to other director or officer of the Company or any of its affiliates. Executive will also be entitled to indemnification rights, benefits and related expense advances and reimbursements to the same extent as any other director or officer of the Company or any of its affiliates.</w:t>
      </w:r>
    </w:p>
    <w:p>
      <w:pPr>
        <w:spacing w:after="0" w:line="185" w:lineRule="exact"/>
        <w:rPr>
          <w:rFonts w:ascii="Arial" w:cs="Arial" w:eastAsia="Arial" w:hAnsi="Arial"/>
          <w:sz w:val="18"/>
          <w:szCs w:val="18"/>
          <w:color w:val="auto"/>
        </w:rPr>
      </w:pPr>
    </w:p>
    <w:p>
      <w:pPr>
        <w:ind w:left="1120" w:hanging="363"/>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Accrued Benefits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271" w:lineRule="auto"/>
        <w:tabs>
          <w:tab w:leader="none" w:pos="1857"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Executive is an “at-will” employee of the Company. Executive’s employment will be terminated at the earliest to occur of the following during the Term: (i) the date of Executive’s death; (ii) the date on which the Company provides written notice to Executive of his termination of employment for “Cause” (as defined in the Fourth Amended and Restated Agreement of Limited Partnership of PWP Professional Partners LP (the “</w:t>
      </w:r>
      <w:r>
        <w:rPr>
          <w:rFonts w:ascii="Arial" w:cs="Arial" w:eastAsia="Arial" w:hAnsi="Arial"/>
          <w:sz w:val="18"/>
          <w:szCs w:val="18"/>
          <w:u w:val="single" w:color="auto"/>
          <w:color w:val="auto"/>
        </w:rPr>
        <w:t>Limited Partnership Agreement</w:t>
      </w:r>
      <w:r>
        <w:rPr>
          <w:rFonts w:ascii="Arial" w:cs="Arial" w:eastAsia="Arial" w:hAnsi="Arial"/>
          <w:sz w:val="18"/>
          <w:szCs w:val="18"/>
          <w:color w:val="auto"/>
        </w:rPr>
        <w:t>”); or (iii) the date which is ninety (90) days following the date on which either Executive or the Company provides written notice to the other party of his voluntary termination of employment or termination other than for Cause.</w:t>
      </w:r>
    </w:p>
    <w:p>
      <w:pPr>
        <w:spacing w:after="0" w:line="190" w:lineRule="exact"/>
        <w:rPr>
          <w:rFonts w:ascii="Arial" w:cs="Arial" w:eastAsia="Arial" w:hAnsi="Arial"/>
          <w:sz w:val="18"/>
          <w:szCs w:val="18"/>
          <w:color w:val="auto"/>
        </w:rPr>
      </w:pPr>
    </w:p>
    <w:p>
      <w:pPr>
        <w:jc w:val="both"/>
        <w:ind w:firstLine="1505"/>
        <w:spacing w:after="0" w:line="275" w:lineRule="auto"/>
        <w:tabs>
          <w:tab w:leader="none" w:pos="1857" w:val="left"/>
        </w:tabs>
        <w:numPr>
          <w:ilvl w:val="1"/>
          <w:numId w:val="19"/>
        </w:numPr>
        <w:rPr>
          <w:rFonts w:ascii="Arial" w:cs="Arial" w:eastAsia="Arial" w:hAnsi="Arial"/>
          <w:sz w:val="18"/>
          <w:szCs w:val="18"/>
          <w:color w:val="auto"/>
        </w:rPr>
      </w:pPr>
      <w:r>
        <w:rPr>
          <w:rFonts w:ascii="Arial" w:cs="Arial" w:eastAsia="Arial" w:hAnsi="Arial"/>
          <w:sz w:val="18"/>
          <w:szCs w:val="18"/>
          <w:color w:val="auto"/>
        </w:rPr>
        <w:t>Effective as of the date of his termination of employment, Executive will not be entitled to any further compensation or benefits pursuant to this Agreement other than, in each case if applicable as of the date of termination: (i) any accrued but unpaid Base Salary (payable as provided in Section 3(a) hereof); (ii) any amounts payable with respect to the Management RSU Award in accordance with the terms of the applicable individual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3" w:name="page64"/>
    <w:bookmarkEnd w:id="63"/>
    <w:p>
      <w:pPr>
        <w:jc w:val="both"/>
        <w:spacing w:after="0" w:line="270" w:lineRule="auto"/>
        <w:rPr>
          <w:sz w:val="20"/>
          <w:szCs w:val="20"/>
          <w:color w:val="auto"/>
        </w:rPr>
      </w:pPr>
      <w:r>
        <w:rPr>
          <w:rFonts w:ascii="Arial" w:cs="Arial" w:eastAsia="Arial" w:hAnsi="Arial"/>
          <w:sz w:val="18"/>
          <w:szCs w:val="18"/>
          <w:color w:val="auto"/>
        </w:rPr>
        <w:t>agreements; (iii) in the case of a termination of employment by the Company other than for Cause, an amount in cash equal to any annual discretionary performance bonus payable to Executive in respect of any previously completed fiscal year of the Company in accordance with Section 3(b) hereof but unpaid as of the date of termination, payable on the same date on which annual bonuses are paid to other similarly-situated officers of the Company in respect of such fiscal year; (iv) reimbursement for any expenses properly incurred and reported by Executive prior to the date of termination in accordance with Section 4(c) hereof, payable on the Company’s first regularly scheduled payroll date which occurs at least ten (10) business days after the date of termination; and (v) vested employee benefits, if any, to which Executive may be entitled under the Company’s employee benefit plans described in Sections 4(a) and 4(b) hereof as of the date of termination.</w:t>
      </w:r>
    </w:p>
    <w:p>
      <w:pPr>
        <w:spacing w:after="0" w:line="193" w:lineRule="exact"/>
        <w:rPr>
          <w:sz w:val="20"/>
          <w:szCs w:val="20"/>
          <w:color w:val="auto"/>
        </w:rPr>
      </w:pPr>
    </w:p>
    <w:p>
      <w:pPr>
        <w:ind w:right="20" w:firstLine="1505"/>
        <w:spacing w:after="0" w:line="293" w:lineRule="auto"/>
        <w:tabs>
          <w:tab w:leader="none" w:pos="1857" w:val="left"/>
        </w:tabs>
        <w:numPr>
          <w:ilvl w:val="2"/>
          <w:numId w:val="20"/>
        </w:numPr>
        <w:rPr>
          <w:rFonts w:ascii="Arial" w:cs="Arial" w:eastAsia="Arial" w:hAnsi="Arial"/>
          <w:sz w:val="18"/>
          <w:szCs w:val="18"/>
          <w:color w:val="auto"/>
        </w:rPr>
      </w:pPr>
      <w:r>
        <w:rPr>
          <w:rFonts w:ascii="Arial" w:cs="Arial" w:eastAsia="Arial" w:hAnsi="Arial"/>
          <w:sz w:val="18"/>
          <w:szCs w:val="18"/>
          <w:color w:val="auto"/>
        </w:rPr>
        <w:t>Upon a termination of employment for any reason, unless requested otherwise by the Company, Executive shall be deemed to have resigned from each position (if any) that Executive then holds as an officer or director of the Company or any of its affiliates.</w:t>
      </w:r>
    </w:p>
    <w:p>
      <w:pPr>
        <w:spacing w:after="0" w:line="169" w:lineRule="exact"/>
        <w:rPr>
          <w:rFonts w:ascii="Arial" w:cs="Arial" w:eastAsia="Arial" w:hAnsi="Arial"/>
          <w:sz w:val="18"/>
          <w:szCs w:val="18"/>
          <w:color w:val="auto"/>
        </w:rPr>
      </w:pPr>
    </w:p>
    <w:p>
      <w:pPr>
        <w:ind w:left="1120" w:hanging="363"/>
        <w:spacing w:after="0"/>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Restrictive Covenants; Permitted Disclosures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275" w:lineRule="auto"/>
        <w:tabs>
          <w:tab w:leader="none" w:pos="1857" w:val="left"/>
        </w:tabs>
        <w:numPr>
          <w:ilvl w:val="2"/>
          <w:numId w:val="21"/>
        </w:numPr>
        <w:rPr>
          <w:rFonts w:ascii="Arial" w:cs="Arial" w:eastAsia="Arial" w:hAnsi="Arial"/>
          <w:sz w:val="18"/>
          <w:szCs w:val="18"/>
          <w:color w:val="auto"/>
        </w:rPr>
      </w:pPr>
      <w:r>
        <w:rPr>
          <w:rFonts w:ascii="Arial" w:cs="Arial" w:eastAsia="Arial" w:hAnsi="Arial"/>
          <w:sz w:val="18"/>
          <w:szCs w:val="18"/>
          <w:color w:val="auto"/>
        </w:rPr>
        <w:t>Executive acknowledges and agrees that Executive is bound by certain restrictive covenants in connection with Executive’s employment with the Company and its affiliates, including, without limitation, confidentiality, non-solicitation, non-competition and non-disparagement covenants (as applicable, the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 The Restrictive Covenants are incorporated by reference as if fully set forth herein and are hereby re-executed and reaffirmed.</w:t>
      </w:r>
    </w:p>
    <w:p>
      <w:pPr>
        <w:spacing w:after="0" w:line="185" w:lineRule="exact"/>
        <w:rPr>
          <w:rFonts w:ascii="Arial" w:cs="Arial" w:eastAsia="Arial" w:hAnsi="Arial"/>
          <w:sz w:val="18"/>
          <w:szCs w:val="18"/>
          <w:color w:val="auto"/>
        </w:rPr>
      </w:pPr>
    </w:p>
    <w:p>
      <w:pPr>
        <w:jc w:val="both"/>
        <w:ind w:firstLine="1505"/>
        <w:spacing w:after="0" w:line="299" w:lineRule="auto"/>
        <w:tabs>
          <w:tab w:leader="none" w:pos="1857" w:val="left"/>
        </w:tabs>
        <w:numPr>
          <w:ilvl w:val="2"/>
          <w:numId w:val="21"/>
        </w:numPr>
        <w:rPr>
          <w:rFonts w:ascii="Arial" w:cs="Arial" w:eastAsia="Arial" w:hAnsi="Arial"/>
          <w:sz w:val="16"/>
          <w:szCs w:val="16"/>
          <w:color w:val="auto"/>
        </w:rPr>
      </w:pPr>
      <w:r>
        <w:rPr>
          <w:rFonts w:ascii="Arial" w:cs="Arial" w:eastAsia="Arial" w:hAnsi="Arial"/>
          <w:sz w:val="16"/>
          <w:szCs w:val="16"/>
          <w:color w:val="auto"/>
        </w:rPr>
        <w:t>Pursuant to 18 U.S.C. §1833(b), Executive will not be held criminally or civilly liable under any federal or state trade secret law for the disclosure of a trade secret of the Company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his attorney and use the trade secret information in the court proceeding, if Executive</w:t>
      </w:r>
    </w:p>
    <w:p>
      <w:pPr>
        <w:spacing w:after="0" w:line="2" w:lineRule="exact"/>
        <w:rPr>
          <w:rFonts w:ascii="Arial" w:cs="Arial" w:eastAsia="Arial" w:hAnsi="Arial"/>
          <w:sz w:val="16"/>
          <w:szCs w:val="16"/>
          <w:color w:val="auto"/>
        </w:rPr>
      </w:pPr>
    </w:p>
    <w:p>
      <w:pPr>
        <w:jc w:val="both"/>
        <w:ind w:firstLine="8"/>
        <w:spacing w:after="0" w:line="292" w:lineRule="auto"/>
        <w:tabs>
          <w:tab w:leader="none" w:pos="273"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files any document containing the trade secret under seal, and (2) does not disclose the trade secret, except pursuant to court order. Nothing in this Agreement is intended to conflict with 18 U.S.C. §1833(b) or create liability for disclosures of trade secrets that are expressly allowed by such section. Further, nothing in any agreement Executive has with the Company or any of its affiliates will prohibit or restrict Executive from making a protected disclosure or any other voluntary disclosure of information or documents related to any possible violation of law to any governmental agency or legislative body, or any self-regulatory organization, in each case, without advance notice to the Company or any of its affiliates.</w:t>
      </w:r>
    </w:p>
    <w:p>
      <w:pPr>
        <w:spacing w:after="0" w:line="173" w:lineRule="exact"/>
        <w:rPr>
          <w:rFonts w:ascii="Arial" w:cs="Arial" w:eastAsia="Arial" w:hAnsi="Arial"/>
          <w:sz w:val="17"/>
          <w:szCs w:val="17"/>
          <w:color w:val="auto"/>
        </w:rPr>
      </w:pPr>
    </w:p>
    <w:p>
      <w:pPr>
        <w:jc w:val="both"/>
        <w:ind w:firstLine="757"/>
        <w:spacing w:after="0" w:line="271" w:lineRule="auto"/>
        <w:tabs>
          <w:tab w:leader="none" w:pos="1136"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and all of the terms and conditions hereof, will bind the Company and its successors and assigns and will bind Executive and Executive’s heirs, executors and administrators. No transfer or assignment of this Agreement will release the Company from any obligation to Executive hereunder. Neither this Agreement, nor any of the Company’s rights or obligations hereunder, may be assigned or otherwise subject to hypothecation by Executive, and any such attempted assignment or hypothecation will be null and void. The Company may assign any of its rights hereunder, in whole or in part, to any successor or assign in connection with the sale of all or substantially all of the Company’s assets or equity interests or in connection with any merger, acquisition and/or reorganization.</w:t>
      </w:r>
    </w:p>
    <w:p>
      <w:pPr>
        <w:spacing w:after="0" w:line="190" w:lineRule="exact"/>
        <w:rPr>
          <w:rFonts w:ascii="Arial" w:cs="Arial" w:eastAsia="Arial" w:hAnsi="Arial"/>
          <w:sz w:val="18"/>
          <w:szCs w:val="18"/>
          <w:color w:val="auto"/>
        </w:rPr>
      </w:pPr>
    </w:p>
    <w:p>
      <w:pPr>
        <w:ind w:left="1120" w:hanging="363"/>
        <w:spacing w:after="0"/>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270" w:lineRule="auto"/>
        <w:tabs>
          <w:tab w:leader="none" w:pos="1857"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Company and Executive mutually consent to the resolution by final and binding arbitration of any and all disputes, controversies or claims between them including, without limitation, (i) any dispute, controversy or claim related in any way to Executive’s employment with the Company or any of its affiliates or any termination thereof, (ii) any dispute, controversy or claim of alleged discrimination, harassment or retaliation (including, but not limited to, claims based on race, sex, sexual preference, religion, national origin, age, marital or family status, medical condition, handicap or disability) and (iii) any claim arising out of or relating to this Agreement or the breach thereof (collectively, “</w:t>
      </w: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will require arbitration of any claim or charge which, by law, cannot be the subject of a compulsory arbitration agreement. All Disputes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4" w:name="page65"/>
    <w:bookmarkEnd w:id="64"/>
    <w:p>
      <w:pPr>
        <w:ind w:right="20"/>
        <w:spacing w:after="0" w:line="293" w:lineRule="auto"/>
        <w:rPr>
          <w:sz w:val="20"/>
          <w:szCs w:val="20"/>
          <w:color w:val="auto"/>
        </w:rPr>
      </w:pPr>
      <w:r>
        <w:rPr>
          <w:rFonts w:ascii="Arial" w:cs="Arial" w:eastAsia="Arial" w:hAnsi="Arial"/>
          <w:sz w:val="18"/>
          <w:szCs w:val="18"/>
          <w:color w:val="auto"/>
        </w:rPr>
        <w:t>resolved exclusively by arbitration administered by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under the AAA Employment Arbitration Rules and Mediation Procedures then in effect (the “</w:t>
      </w:r>
      <w:r>
        <w:rPr>
          <w:rFonts w:ascii="Arial" w:cs="Arial" w:eastAsia="Arial" w:hAnsi="Arial"/>
          <w:sz w:val="18"/>
          <w:szCs w:val="18"/>
          <w:u w:val="single" w:color="auto"/>
          <w:color w:val="auto"/>
        </w:rPr>
        <w:t>AAA Rules</w:t>
      </w:r>
      <w:r>
        <w:rPr>
          <w:rFonts w:ascii="Arial" w:cs="Arial" w:eastAsia="Arial" w:hAnsi="Arial"/>
          <w:sz w:val="18"/>
          <w:szCs w:val="18"/>
          <w:color w:val="auto"/>
        </w:rPr>
        <w:t>”).</w:t>
      </w:r>
    </w:p>
    <w:p>
      <w:pPr>
        <w:spacing w:after="0" w:line="170" w:lineRule="exact"/>
        <w:rPr>
          <w:sz w:val="20"/>
          <w:szCs w:val="20"/>
          <w:color w:val="auto"/>
        </w:rPr>
      </w:pPr>
    </w:p>
    <w:p>
      <w:pPr>
        <w:jc w:val="both"/>
        <w:ind w:firstLine="1505"/>
        <w:spacing w:after="0" w:line="311" w:lineRule="auto"/>
        <w:tabs>
          <w:tab w:leader="none" w:pos="18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Any arbitration proceeding brought under this Agreement will be conducted in New York, New York or another mutually agreed upon location before one arbitrator selected in accordance with the AAA Rules. Each party to any Dispute will pay its own expenses, including attorneys’ fees. The arbitrator will be empowered to award either party any remedy at law or in equity that the party would otherwise have been entitled to had the matter been litigated in a court of competent jurisdiction, including, but not limited to, general, special, and punitive damages, injunctive relief, costs and attorney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authority to award any remedy is subject to whatever limitations, if any, exist in the applicable law on such remedies. The arbitrator will issue a decision or award in writing, stating the essential findings of fact and conclusions of law.</w:t>
      </w:r>
    </w:p>
    <w:p>
      <w:pPr>
        <w:spacing w:after="0" w:line="162" w:lineRule="exact"/>
        <w:rPr>
          <w:rFonts w:ascii="Arial" w:cs="Arial" w:eastAsia="Arial" w:hAnsi="Arial"/>
          <w:sz w:val="16"/>
          <w:szCs w:val="16"/>
          <w:color w:val="auto"/>
        </w:rPr>
      </w:pPr>
    </w:p>
    <w:p>
      <w:pPr>
        <w:jc w:val="both"/>
        <w:ind w:firstLine="1505"/>
        <w:spacing w:after="0" w:line="329" w:lineRule="auto"/>
        <w:tabs>
          <w:tab w:leader="none" w:pos="18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judgment on or enforcement of any award, including an award providing for interim or permanent injunctive relief, rendered by the arbitrator may be entered, enforced or appealed in any court of competent jurisdiction. Any arbitration proceedings, decision or award rendered hereunder, and the validity, effect and interpretation of this arbitration provision, will be governed by the Federal Arbitration Act, 9 U.S.C. §1 et seq.</w:t>
      </w:r>
    </w:p>
    <w:p>
      <w:pPr>
        <w:spacing w:after="0" w:line="147" w:lineRule="exact"/>
        <w:rPr>
          <w:rFonts w:ascii="Arial" w:cs="Arial" w:eastAsia="Arial" w:hAnsi="Arial"/>
          <w:sz w:val="16"/>
          <w:szCs w:val="16"/>
          <w:color w:val="auto"/>
        </w:rPr>
      </w:pPr>
    </w:p>
    <w:p>
      <w:pPr>
        <w:jc w:val="both"/>
        <w:ind w:firstLine="1505"/>
        <w:spacing w:after="0" w:line="309" w:lineRule="auto"/>
        <w:tabs>
          <w:tab w:leader="none" w:pos="18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It is part of the essence of this Agreement that any Disputes hereunder will be resolved expeditiously and as confidentially as possible. Accordingly, the Company and Executive agree that all proceedings in any arbitration will be conducted under seal and kept strictly confidential. In that regard, no party will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 Before making any disclosure permitted by the preceding sentence, the party intending to make such disclosure will give the other party reasonable written notice of the intended disclosure and afford such other party a reasonable opportunity to protect its interests.</w:t>
      </w:r>
    </w:p>
    <w:p>
      <w:pPr>
        <w:spacing w:after="0" w:line="164" w:lineRule="exact"/>
        <w:rPr>
          <w:rFonts w:ascii="Arial" w:cs="Arial" w:eastAsia="Arial" w:hAnsi="Arial"/>
          <w:sz w:val="16"/>
          <w:szCs w:val="16"/>
          <w:color w:val="auto"/>
        </w:rPr>
      </w:pPr>
    </w:p>
    <w:p>
      <w:pPr>
        <w:ind w:left="1120" w:hanging="363"/>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292" w:lineRule="auto"/>
        <w:tabs>
          <w:tab w:leader="none" w:pos="1871"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claims, demands, waivers and other communications hereunder shall be in writing and shall be deemed to have been given: (i) when delivered by hand (with written confirmation of receipt); (ii) when received by the addressee if sent by a nationally recognized overnight courier (receipt requested); (iii) on the date sent by facsimile or e-mail; or (iv)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9(a)):</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 the Company:</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Perella Weinberg Partners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767 Fifth Avenue</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10153</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(212) 287-3200</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vshendelman@pwpartners.com</w:t>
      </w:r>
    </w:p>
    <w:p>
      <w:pPr>
        <w:spacing w:after="0" w:line="2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 Executive:</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 the address shown in the Company’s personnel records</w:t>
      </w:r>
    </w:p>
    <w:p>
      <w:pPr>
        <w:spacing w:after="0" w:line="239" w:lineRule="exact"/>
        <w:rPr>
          <w:sz w:val="20"/>
          <w:szCs w:val="20"/>
          <w:color w:val="auto"/>
        </w:rPr>
      </w:pPr>
    </w:p>
    <w:p>
      <w:pPr>
        <w:jc w:val="both"/>
        <w:ind w:firstLine="1505"/>
        <w:spacing w:after="0" w:line="279" w:lineRule="auto"/>
        <w:tabs>
          <w:tab w:leader="none" w:pos="185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exhibits hereto) constitutes the sole and entire agreement of the parties to this Agreement with respect to the subject matter contained herein and therein, and, effective as of the Effective Date, supersedes all prior and contemporaneous representations,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spacing w:after="0" w:line="293" w:lineRule="auto"/>
        <w:rPr>
          <w:sz w:val="20"/>
          <w:szCs w:val="20"/>
          <w:color w:val="auto"/>
        </w:rPr>
      </w:pPr>
      <w:r>
        <w:rPr>
          <w:rFonts w:ascii="Arial" w:cs="Arial" w:eastAsia="Arial" w:hAnsi="Arial"/>
          <w:sz w:val="18"/>
          <w:szCs w:val="18"/>
          <w:color w:val="auto"/>
        </w:rPr>
        <w:t>understandings and agreements, both written and oral, with respect to such subject matter, including any employment agreement term sheets or letters of intent previously exchanged by the parties.</w:t>
      </w:r>
    </w:p>
    <w:p>
      <w:pPr>
        <w:spacing w:after="0" w:line="170" w:lineRule="exact"/>
        <w:rPr>
          <w:sz w:val="20"/>
          <w:szCs w:val="20"/>
          <w:color w:val="auto"/>
        </w:rPr>
      </w:pPr>
    </w:p>
    <w:p>
      <w:pPr>
        <w:ind w:left="1860" w:hanging="355"/>
        <w:spacing w:after="0"/>
        <w:tabs>
          <w:tab w:leader="none" w:pos="18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reference only and shall not affect the interpretation of this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5" w:lineRule="exact"/>
        <w:rPr>
          <w:rFonts w:ascii="Arial" w:cs="Arial" w:eastAsia="Arial" w:hAnsi="Arial"/>
          <w:sz w:val="17"/>
          <w:szCs w:val="17"/>
          <w:color w:val="auto"/>
        </w:rPr>
      </w:pPr>
    </w:p>
    <w:p>
      <w:pPr>
        <w:jc w:val="both"/>
        <w:ind w:firstLine="1505"/>
        <w:spacing w:after="0" w:line="275" w:lineRule="auto"/>
        <w:tabs>
          <w:tab w:leader="none" w:pos="187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 Waiver</w:t>
      </w:r>
      <w:r>
        <w:rPr>
          <w:rFonts w:ascii="Arial" w:cs="Arial" w:eastAsia="Arial" w:hAnsi="Arial"/>
          <w:sz w:val="18"/>
          <w:szCs w:val="18"/>
          <w:color w:val="auto"/>
        </w:rPr>
        <w:t>. This Agreement may only be amended, modified or supplemented by an agreement in writing signed by all of the parties hereto.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5" w:lineRule="exact"/>
        <w:rPr>
          <w:rFonts w:ascii="Arial" w:cs="Arial" w:eastAsia="Arial" w:hAnsi="Arial"/>
          <w:sz w:val="18"/>
          <w:szCs w:val="18"/>
          <w:color w:val="auto"/>
        </w:rPr>
      </w:pPr>
    </w:p>
    <w:p>
      <w:pPr>
        <w:ind w:firstLine="1505"/>
        <w:spacing w:after="0" w:line="293" w:lineRule="auto"/>
        <w:tabs>
          <w:tab w:leader="none" w:pos="187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New York without giving effect to any choice or conflict of law provision or rule (whether of the State of New York or any other jurisdiction).</w:t>
      </w:r>
    </w:p>
    <w:p>
      <w:pPr>
        <w:spacing w:after="0" w:line="169" w:lineRule="exact"/>
        <w:rPr>
          <w:rFonts w:ascii="Arial" w:cs="Arial" w:eastAsia="Arial" w:hAnsi="Arial"/>
          <w:sz w:val="18"/>
          <w:szCs w:val="18"/>
          <w:color w:val="auto"/>
        </w:rPr>
      </w:pPr>
    </w:p>
    <w:p>
      <w:pPr>
        <w:ind w:firstLine="1505"/>
        <w:spacing w:after="0" w:line="293" w:lineRule="auto"/>
        <w:tabs>
          <w:tab w:leader="none" w:pos="185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Survivorship</w:t>
      </w:r>
      <w:r>
        <w:rPr>
          <w:rFonts w:ascii="Arial" w:cs="Arial" w:eastAsia="Arial" w:hAnsi="Arial"/>
          <w:sz w:val="18"/>
          <w:szCs w:val="18"/>
          <w:color w:val="auto"/>
        </w:rPr>
        <w:t>. The provisions of this Agreement necessary to carry out the intention of the parties as expressed herein will survive the termination or expiration of this Agreement.</w:t>
      </w:r>
    </w:p>
    <w:p>
      <w:pPr>
        <w:spacing w:after="0" w:line="169" w:lineRule="exact"/>
        <w:rPr>
          <w:rFonts w:ascii="Arial" w:cs="Arial" w:eastAsia="Arial" w:hAnsi="Arial"/>
          <w:sz w:val="18"/>
          <w:szCs w:val="18"/>
          <w:color w:val="auto"/>
        </w:rPr>
      </w:pPr>
    </w:p>
    <w:p>
      <w:pPr>
        <w:jc w:val="both"/>
        <w:ind w:firstLine="1505"/>
        <w:spacing w:after="0" w:line="275" w:lineRule="auto"/>
        <w:tabs>
          <w:tab w:leader="none" w:pos="188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acknowledge that this Agreement is the result of arm’s-length negotiations between sophisticated parties, each afforded representation by legal counsel. Each and every provision of this Agreement will be construed as though both parties participated equally in the drafting of the same, and any rule of construction that a document will be construed against the drafting party will not be applicable to this Agreement.</w:t>
      </w:r>
    </w:p>
    <w:p>
      <w:pPr>
        <w:spacing w:after="0" w:line="185" w:lineRule="exact"/>
        <w:rPr>
          <w:rFonts w:ascii="Arial" w:cs="Arial" w:eastAsia="Arial" w:hAnsi="Arial"/>
          <w:sz w:val="18"/>
          <w:szCs w:val="18"/>
          <w:color w:val="auto"/>
        </w:rPr>
      </w:pPr>
    </w:p>
    <w:p>
      <w:pPr>
        <w:jc w:val="both"/>
        <w:ind w:right="20" w:firstLine="1505"/>
        <w:spacing w:after="0" w:line="279" w:lineRule="auto"/>
        <w:tabs>
          <w:tab w:leader="none" w:pos="188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compensation payable to Executive pursuant to this Agreement will be subject to any applicable statutory withholding taxes and such other taxes as are required or permitted under applicable law and such other deductions or withholdings as authorized by Executive to be collected with respect to compensation paid to Executive.</w:t>
      </w:r>
    </w:p>
    <w:p>
      <w:pPr>
        <w:spacing w:after="0" w:line="182" w:lineRule="exact"/>
        <w:rPr>
          <w:rFonts w:ascii="Arial" w:cs="Arial" w:eastAsia="Arial" w:hAnsi="Arial"/>
          <w:sz w:val="18"/>
          <w:szCs w:val="18"/>
          <w:color w:val="auto"/>
        </w:rPr>
      </w:pPr>
    </w:p>
    <w:p>
      <w:pPr>
        <w:jc w:val="both"/>
        <w:ind w:firstLine="1505"/>
        <w:spacing w:after="0" w:line="279" w:lineRule="auto"/>
        <w:tabs>
          <w:tab w:leader="none" w:pos="187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82" w:lineRule="exact"/>
        <w:rPr>
          <w:rFonts w:ascii="Arial" w:cs="Arial" w:eastAsia="Arial" w:hAnsi="Arial"/>
          <w:sz w:val="18"/>
          <w:szCs w:val="18"/>
          <w:color w:val="auto"/>
        </w:rPr>
      </w:pPr>
    </w:p>
    <w:p>
      <w:pPr>
        <w:jc w:val="both"/>
        <w:ind w:firstLine="1505"/>
        <w:spacing w:after="0" w:line="304" w:lineRule="auto"/>
        <w:tabs>
          <w:tab w:leader="none" w:pos="187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intent of the parties is that payments and benefits under this Agreement comply with, or be exempt from, Section 409A of the U.S. Internal Revenue Code of 1986, as amended (“</w:t>
      </w:r>
      <w:r>
        <w:rPr>
          <w:rFonts w:ascii="Arial" w:cs="Arial" w:eastAsia="Arial" w:hAnsi="Arial"/>
          <w:sz w:val="16"/>
          <w:szCs w:val="16"/>
          <w:u w:val="single" w:color="auto"/>
          <w:color w:val="auto"/>
        </w:rPr>
        <w:t>Section 409A of the Code</w:t>
      </w:r>
      <w:r>
        <w:rPr>
          <w:rFonts w:ascii="Arial" w:cs="Arial" w:eastAsia="Arial" w:hAnsi="Arial"/>
          <w:sz w:val="16"/>
          <w:szCs w:val="16"/>
          <w:color w:val="auto"/>
        </w:rPr>
        <w:t>”), to the extent subject thereto, and accordingly, to the maximum extent permitted, this Agreement shall be interpreted to be in compliance therewith. Notwithstanding anything contained herein to the contrary, Executive will not be considered to have terminated employment with the Company for purposes of any payments under this Agreement which are subject to Section 409A of the Code until Executive would be considered to have incurred a “separation from service” from the Company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or any other arrangement between Executive and the Company and its affiliates during the six (6) month period immediately following Executive’s separation from service shall instead be paid on the first business day after the date that is six (6) months following Executive’s separation from service (or, if earlier, Executive’s date of death).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jc w:val="both"/>
        <w:spacing w:after="0" w:line="279" w:lineRule="auto"/>
        <w:rPr>
          <w:sz w:val="20"/>
          <w:szCs w:val="20"/>
          <w:color w:val="auto"/>
        </w:rPr>
      </w:pPr>
      <w:r>
        <w:rPr>
          <w:rFonts w:ascii="Arial" w:cs="Arial" w:eastAsia="Arial" w:hAnsi="Arial"/>
          <w:sz w:val="18"/>
          <w:szCs w:val="18"/>
          <w:color w:val="auto"/>
        </w:rPr>
        <w:t>Company makes no representation that any or all of the payments described in this Agreement will be exempt from or comply with Section 409A of the Code and makes no undertaking to preclude Section 409A of the Code from applying to any such payment. Executive will be solely responsible for the payment of any taxes and penalties incurred under Section 409A of the Code.</w:t>
      </w:r>
    </w:p>
    <w:p>
      <w:pPr>
        <w:spacing w:after="0" w:line="183" w:lineRule="exact"/>
        <w:rPr>
          <w:sz w:val="20"/>
          <w:szCs w:val="20"/>
          <w:color w:val="auto"/>
        </w:rPr>
      </w:pPr>
    </w:p>
    <w:p>
      <w:pPr>
        <w:jc w:val="both"/>
        <w:ind w:firstLine="757"/>
        <w:spacing w:after="0" w:line="279" w:lineRule="auto"/>
        <w:tabs>
          <w:tab w:leader="none" w:pos="112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Executive Representation and Acceptance</w:t>
      </w:r>
      <w:r>
        <w:rPr>
          <w:rFonts w:ascii="Arial" w:cs="Arial" w:eastAsia="Arial" w:hAnsi="Arial"/>
          <w:sz w:val="18"/>
          <w:szCs w:val="18"/>
          <w:color w:val="auto"/>
        </w:rPr>
        <w:t>. By signing this Agreement, Executive hereby represents that Executive is not currently under any contractual obligation to work for another employer and that Executive is not restricted by any agreement or arrangement from entering into this Agreement and performing Executive’s duties hereunder.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is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7" w:name="page68"/>
    <w:bookmarkEnd w:id="67"/>
    <w:p>
      <w:pPr>
        <w:ind w:firstLine="749"/>
        <w:spacing w:after="0" w:line="29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and intending to be legally bound thereby, the parties hereto have executed and delivered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and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PERELLA WEINBERG PARTNERS</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Vladimir Shendelman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Vladimir Shendelman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Partner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PWP EMPLOYER LP</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Vladimir Shendelman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Vladimir Shendelman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Partner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Peter A. Weinberg</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Peter A. Weinberg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39"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11, 2021, is made by and between Perella Weinberg Partners,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u w:val="single" w:color="auto"/>
          <w:color w:val="auto"/>
        </w:rPr>
        <w:t>PWP</w:t>
      </w:r>
      <w:r>
        <w:rPr>
          <w:rFonts w:ascii="Arial" w:cs="Arial" w:eastAsia="Arial" w:hAnsi="Arial"/>
          <w:sz w:val="18"/>
          <w:szCs w:val="18"/>
          <w:color w:val="auto"/>
        </w:rPr>
        <w:t>”), PWP Employer LP, a Delaware limited partnership (“</w:t>
      </w:r>
      <w:r>
        <w:rPr>
          <w:rFonts w:ascii="Arial" w:cs="Arial" w:eastAsia="Arial" w:hAnsi="Arial"/>
          <w:sz w:val="18"/>
          <w:szCs w:val="18"/>
          <w:u w:val="single" w:color="auto"/>
          <w:color w:val="auto"/>
        </w:rPr>
        <w:t>PWP Employer</w:t>
      </w:r>
      <w:r>
        <w:rPr>
          <w:rFonts w:ascii="Arial" w:cs="Arial" w:eastAsia="Arial" w:hAnsi="Arial"/>
          <w:sz w:val="18"/>
          <w:szCs w:val="18"/>
          <w:color w:val="auto"/>
        </w:rPr>
        <w:t>,” and together with PWP, the “</w:t>
      </w:r>
      <w:r>
        <w:rPr>
          <w:rFonts w:ascii="Arial" w:cs="Arial" w:eastAsia="Arial" w:hAnsi="Arial"/>
          <w:sz w:val="18"/>
          <w:szCs w:val="18"/>
          <w:u w:val="single" w:color="auto"/>
          <w:color w:val="auto"/>
        </w:rPr>
        <w:t>Company</w:t>
      </w:r>
      <w:r>
        <w:rPr>
          <w:rFonts w:ascii="Arial" w:cs="Arial" w:eastAsia="Arial" w:hAnsi="Arial"/>
          <w:sz w:val="18"/>
          <w:szCs w:val="18"/>
          <w:color w:val="auto"/>
        </w:rPr>
        <w:t>”), and Andrew Bednar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7"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mutually desire to enter into this Agreement setting forth the terms and conditions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which will become effective as of, and subject to, the Closing (such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63"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hereinafter set forth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of which are hereby acknowledged, the parties hereto agree as follows:</w:t>
      </w:r>
    </w:p>
    <w:p>
      <w:pPr>
        <w:spacing w:after="0" w:line="167" w:lineRule="exact"/>
        <w:rPr>
          <w:sz w:val="20"/>
          <w:szCs w:val="20"/>
          <w:color w:val="auto"/>
        </w:rPr>
      </w:pPr>
    </w:p>
    <w:p>
      <w:pPr>
        <w:jc w:val="both"/>
        <w:ind w:firstLine="757"/>
        <w:spacing w:after="0" w:line="279" w:lineRule="auto"/>
        <w:tabs>
          <w:tab w:leader="none" w:pos="112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Executive’s employment with the Company pursuant to the terms and conditions set forth in this Agreement will commence on the Effective Date and will expire immediately upon the termination of Executive’s employment in accordance with the terms and conditions set forth in Section 5 hereof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1120" w:hanging="363"/>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Title; Services and Duties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860" w:hanging="355"/>
        <w:spacing w:after="0"/>
        <w:tabs>
          <w:tab w:leader="none" w:pos="18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During the Term, Executive will be employed by the Company in the position of Co-President pursuant to the terms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37" w:lineRule="exact"/>
        <w:rPr>
          <w:rFonts w:ascii="Arial" w:cs="Arial" w:eastAsia="Arial" w:hAnsi="Arial"/>
          <w:sz w:val="17"/>
          <w:szCs w:val="17"/>
          <w:color w:val="auto"/>
        </w:rPr>
      </w:pPr>
    </w:p>
    <w:p>
      <w:pPr>
        <w:jc w:val="both"/>
        <w:ind w:firstLine="1505"/>
        <w:spacing w:after="0" w:line="285" w:lineRule="auto"/>
        <w:tabs>
          <w:tab w:leader="none" w:pos="1857"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During the Term, Executive will be a full-time employee of the Company and report directly to the Company’s Chief Executive Officer, and have such duties, responsibilities and authority as are reasonably prescribed by the Company’s Chief Executive Officer from time to time and normally associated with the role of a Co-President at an entity of similar size and nature as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changes prescribed by the Company’s Chief Executive Officer to Executive’s position, role, duties, responsibilities or authority shall not be considered a breach of the contractual obligations of the Company set forth in this Section 2. Executive shall devote all of his business time and best efforts to the performance of his duties to the Company and will not engage in any other business, profession or occupation for compensation. Notwithstanding the foregoing, Executive may (i) continue to engage in any outside business activities previously disclosed to the Company as of the date of this Agreement, (ii) subject to prior approval of the Company’s Chief Executive Officer (which shall not be unreasonably withheld), serve as a director or advisor of non-profit organizations or for profit companies that are not competitive with the Company, (iii) perform and participate in charitable civic, educational, professional, community, industry affairs and other related activities and (iv) manage his personal and family investments;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activities do not result in a conflict of interest with the Company and do not unreasonably interfere, individually or in the aggregate, in any material respect with the performance of Executive’s duties hereunder.</w:t>
      </w:r>
    </w:p>
    <w:p>
      <w:pPr>
        <w:spacing w:after="0" w:line="184" w:lineRule="exact"/>
        <w:rPr>
          <w:rFonts w:ascii="Arial" w:cs="Arial" w:eastAsia="Arial" w:hAnsi="Arial"/>
          <w:sz w:val="17"/>
          <w:szCs w:val="17"/>
          <w:color w:val="auto"/>
        </w:rPr>
      </w:pPr>
    </w:p>
    <w:p>
      <w:pPr>
        <w:ind w:left="1120" w:hanging="363"/>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329" w:lineRule="auto"/>
        <w:tabs>
          <w:tab w:leader="none" w:pos="1857"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Term, the Company will pay Executive a base salary in the amount of $500,000 per annum (the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Salary</w:t>
      </w:r>
      <w:r>
        <w:rPr>
          <w:rFonts w:ascii="Arial" w:cs="Arial" w:eastAsia="Arial" w:hAnsi="Arial"/>
          <w:sz w:val="16"/>
          <w:szCs w:val="16"/>
          <w:color w:val="auto"/>
        </w:rPr>
        <w:t>”), payable in such installments as the Company pays other similarly situated individuals. The Base Salary will be annually reviewed for increase (but not decrease) by the Compensation Committee of the Board of Directors of the Company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during the Term.</w:t>
      </w:r>
    </w:p>
    <w:p>
      <w:pPr>
        <w:spacing w:after="0" w:line="147" w:lineRule="exact"/>
        <w:rPr>
          <w:rFonts w:ascii="Arial" w:cs="Arial" w:eastAsia="Arial" w:hAnsi="Arial"/>
          <w:sz w:val="16"/>
          <w:szCs w:val="16"/>
          <w:color w:val="auto"/>
        </w:rPr>
      </w:pPr>
    </w:p>
    <w:p>
      <w:pPr>
        <w:jc w:val="both"/>
        <w:ind w:firstLine="1505"/>
        <w:spacing w:after="0" w:line="271" w:lineRule="auto"/>
        <w:tabs>
          <w:tab w:leader="none" w:pos="185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Annual Performance Bonus</w:t>
      </w:r>
      <w:r>
        <w:rPr>
          <w:rFonts w:ascii="Arial" w:cs="Arial" w:eastAsia="Arial" w:hAnsi="Arial"/>
          <w:sz w:val="18"/>
          <w:szCs w:val="18"/>
          <w:color w:val="auto"/>
        </w:rPr>
        <w:t>. During the Term, Executive will be eligible to receive an annual discretionary performance bonus pursuant to the Company’s annual bonus program in respect of each fiscal year during the Term. The actual bonus payable to Executive will be determined by the Compensation Committee based on, among other things, individual performance for such year, the achievement of the applicable performance criteria established by the Compensation Committee for such year, and such other factors deemed to be relevant by the Compensation Committee. The Company will pay any such annual discretionary performance bonus at the same time or times, and subject to the same conditions (including any applicable repayment provisions) as annual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9" w:name="page70"/>
    <w:bookmarkEnd w:id="69"/>
    <w:p>
      <w:pPr>
        <w:ind w:right="20"/>
        <w:spacing w:after="0" w:line="293" w:lineRule="auto"/>
        <w:rPr>
          <w:sz w:val="20"/>
          <w:szCs w:val="20"/>
          <w:color w:val="auto"/>
        </w:rPr>
      </w:pPr>
      <w:r>
        <w:rPr>
          <w:rFonts w:ascii="Arial" w:cs="Arial" w:eastAsia="Arial" w:hAnsi="Arial"/>
          <w:sz w:val="18"/>
          <w:szCs w:val="18"/>
          <w:color w:val="auto"/>
        </w:rPr>
        <w:t>payments to other similarly situated officers of the Company, provided that Executive is an active employee of the Company, and has not given or received notice of termination of employment, as of the date on which such bonus is paid.</w:t>
      </w:r>
    </w:p>
    <w:p>
      <w:pPr>
        <w:spacing w:after="0" w:line="170" w:lineRule="exact"/>
        <w:rPr>
          <w:sz w:val="20"/>
          <w:szCs w:val="20"/>
          <w:color w:val="auto"/>
        </w:rPr>
      </w:pPr>
    </w:p>
    <w:p>
      <w:pPr>
        <w:ind w:left="1860" w:hanging="355"/>
        <w:spacing w:after="0"/>
        <w:tabs>
          <w:tab w:leader="none" w:pos="186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Equity-Based Awards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2254"/>
        <w:spacing w:after="0" w:line="279" w:lineRule="auto"/>
        <w:tabs>
          <w:tab w:leader="none" w:pos="2606" w:val="left"/>
        </w:tabs>
        <w:numPr>
          <w:ilvl w:val="2"/>
          <w:numId w:val="29"/>
        </w:numPr>
        <w:rPr>
          <w:rFonts w:ascii="Arial" w:cs="Arial" w:eastAsia="Arial" w:hAnsi="Arial"/>
          <w:sz w:val="18"/>
          <w:szCs w:val="18"/>
          <w:color w:val="auto"/>
        </w:rPr>
      </w:pPr>
      <w:r>
        <w:rPr>
          <w:rFonts w:ascii="Arial" w:cs="Arial" w:eastAsia="Arial" w:hAnsi="Arial"/>
          <w:sz w:val="18"/>
          <w:szCs w:val="18"/>
          <w:color w:val="auto"/>
        </w:rPr>
        <w:t>During the term, Executive will be eligible to participate in the Company’s equity-based incentive compensation programs as in effect from time to time and receive periodic grants of equity-based awards, subject to the terms and conditions set forth in the applicable equity incentive plan and Executive’s individual award agreements.</w:t>
      </w:r>
    </w:p>
    <w:p>
      <w:pPr>
        <w:spacing w:after="0" w:line="182" w:lineRule="exact"/>
        <w:rPr>
          <w:rFonts w:ascii="Arial" w:cs="Arial" w:eastAsia="Arial" w:hAnsi="Arial"/>
          <w:sz w:val="18"/>
          <w:szCs w:val="18"/>
          <w:color w:val="auto"/>
        </w:rPr>
      </w:pPr>
    </w:p>
    <w:p>
      <w:pPr>
        <w:jc w:val="both"/>
        <w:ind w:firstLine="2254"/>
        <w:spacing w:after="0" w:line="275" w:lineRule="auto"/>
        <w:tabs>
          <w:tab w:leader="none" w:pos="2606" w:val="left"/>
        </w:tabs>
        <w:numPr>
          <w:ilvl w:val="2"/>
          <w:numId w:val="29"/>
        </w:numPr>
        <w:rPr>
          <w:rFonts w:ascii="Arial" w:cs="Arial" w:eastAsia="Arial" w:hAnsi="Arial"/>
          <w:sz w:val="18"/>
          <w:szCs w:val="18"/>
          <w:color w:val="auto"/>
        </w:rPr>
      </w:pPr>
      <w:r>
        <w:rPr>
          <w:rFonts w:ascii="Arial" w:cs="Arial" w:eastAsia="Arial" w:hAnsi="Arial"/>
          <w:sz w:val="18"/>
          <w:szCs w:val="18"/>
          <w:color w:val="auto"/>
        </w:rPr>
        <w:t>As soon as practicable following the Effective Date, and subject to approval by the Compensation Committee, Executive will receive a one-time grant of 2,350,000 performance-based restricted stock units of the Company pursuant to the General Share Reserve, as defined in the Company’s 2021 Omnibus Incentive Plan (the “</w:t>
      </w:r>
      <w:r>
        <w:rPr>
          <w:rFonts w:ascii="Arial" w:cs="Arial" w:eastAsia="Arial" w:hAnsi="Arial"/>
          <w:sz w:val="18"/>
          <w:szCs w:val="18"/>
          <w:u w:val="single" w:color="auto"/>
          <w:color w:val="auto"/>
        </w:rPr>
        <w:t>2021 Plan</w:t>
      </w:r>
      <w:r>
        <w:rPr>
          <w:rFonts w:ascii="Arial" w:cs="Arial" w:eastAsia="Arial" w:hAnsi="Arial"/>
          <w:sz w:val="18"/>
          <w:szCs w:val="18"/>
          <w:color w:val="auto"/>
        </w:rPr>
        <w:t xml:space="preserve">”), subject to the terms and conditions of the 2021 Plan and an individual award agreement substantially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Management RSU Award</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120" w:hanging="363"/>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272" w:lineRule="auto"/>
        <w:tabs>
          <w:tab w:leader="none" w:pos="1857"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Retirement and Welfare Benefits</w:t>
      </w:r>
      <w:r>
        <w:rPr>
          <w:rFonts w:ascii="Arial" w:cs="Arial" w:eastAsia="Arial" w:hAnsi="Arial"/>
          <w:sz w:val="18"/>
          <w:szCs w:val="18"/>
          <w:color w:val="auto"/>
        </w:rPr>
        <w:t>. During the Term, Executive will be eligible to participate in all benefit plans made available by the Company to similarly-situated officers of the Company from time to time. Such benefits will be subject to the applicable limitations and requirements imposed by the terms of such benefit plans and will be governed in all respects in accordance with the terms of such plans as in effect from time to time. Nothing in this Section 4(a), however, will require the Company to maintain any benefit plan or provide any type or level of benefits to its current or former employees, including Executive.</w:t>
      </w:r>
    </w:p>
    <w:p>
      <w:pPr>
        <w:spacing w:after="0" w:line="190" w:lineRule="exact"/>
        <w:rPr>
          <w:rFonts w:ascii="Arial" w:cs="Arial" w:eastAsia="Arial" w:hAnsi="Arial"/>
          <w:sz w:val="18"/>
          <w:szCs w:val="18"/>
          <w:color w:val="auto"/>
        </w:rPr>
      </w:pPr>
    </w:p>
    <w:p>
      <w:pPr>
        <w:jc w:val="both"/>
        <w:ind w:firstLine="1505"/>
        <w:spacing w:after="0" w:line="279" w:lineRule="auto"/>
        <w:tabs>
          <w:tab w:leader="none" w:pos="1857"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will be entitled to paid vacation in accordance with the Company’s vacation policies as in effect from time to time and applicable to similarly-situated officers of the Company. Executive will take vacation at his and the Company’s reasonable and mutual convenience.</w:t>
      </w:r>
    </w:p>
    <w:p>
      <w:pPr>
        <w:spacing w:after="0" w:line="182" w:lineRule="exact"/>
        <w:rPr>
          <w:rFonts w:ascii="Arial" w:cs="Arial" w:eastAsia="Arial" w:hAnsi="Arial"/>
          <w:sz w:val="18"/>
          <w:szCs w:val="18"/>
          <w:color w:val="auto"/>
        </w:rPr>
      </w:pPr>
    </w:p>
    <w:p>
      <w:pPr>
        <w:jc w:val="both"/>
        <w:ind w:firstLine="1505"/>
        <w:spacing w:after="0" w:line="303" w:lineRule="auto"/>
        <w:tabs>
          <w:tab w:leader="none" w:pos="1884"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Reimbursement of Business Expenses</w:t>
      </w:r>
      <w:r>
        <w:rPr>
          <w:rFonts w:ascii="Arial" w:cs="Arial" w:eastAsia="Arial" w:hAnsi="Arial"/>
          <w:sz w:val="17"/>
          <w:szCs w:val="17"/>
          <w:color w:val="auto"/>
        </w:rPr>
        <w:t>. The Company will reimburse Executive for any expenses reasonably and necessarily incurred by Executive during the Term in furtherance of Executive’s duties hereunder, including travel, meals and accommodations, subject to Executive’s compliance with the Company’s policies with respect to reimbursement of business expenses as in effect from time to time.</w:t>
      </w:r>
    </w:p>
    <w:p>
      <w:pPr>
        <w:spacing w:after="0" w:line="164" w:lineRule="exact"/>
        <w:rPr>
          <w:rFonts w:ascii="Arial" w:cs="Arial" w:eastAsia="Arial" w:hAnsi="Arial"/>
          <w:sz w:val="17"/>
          <w:szCs w:val="17"/>
          <w:color w:val="auto"/>
        </w:rPr>
      </w:pPr>
    </w:p>
    <w:p>
      <w:pPr>
        <w:jc w:val="both"/>
        <w:ind w:firstLine="1505"/>
        <w:spacing w:after="0" w:line="275" w:lineRule="auto"/>
        <w:tabs>
          <w:tab w:leader="none" w:pos="1871"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D&amp;O Insurance; Indemnification</w:t>
      </w:r>
      <w:r>
        <w:rPr>
          <w:rFonts w:ascii="Arial" w:cs="Arial" w:eastAsia="Arial" w:hAnsi="Arial"/>
          <w:sz w:val="18"/>
          <w:szCs w:val="18"/>
          <w:color w:val="auto"/>
        </w:rPr>
        <w:t>. Executive will be covered by such directors’ and officers’ liability insurance on terms and conditions that are no less favorable than the terms that apply to other director or officer of the Company or any of its affiliates. Executive will also be entitled to indemnification rights, benefits and related expense advances and reimbursements to the same extent as any other director or officer of the Company or any of its affiliates.</w:t>
      </w:r>
    </w:p>
    <w:p>
      <w:pPr>
        <w:spacing w:after="0" w:line="185" w:lineRule="exact"/>
        <w:rPr>
          <w:sz w:val="20"/>
          <w:szCs w:val="20"/>
          <w:color w:val="auto"/>
        </w:rPr>
      </w:pPr>
    </w:p>
    <w:p>
      <w:pPr>
        <w:ind w:left="1860" w:hanging="355"/>
        <w:spacing w:after="0"/>
        <w:tabs>
          <w:tab w:leader="none" w:pos="18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Accrued Benefits</w:t>
      </w:r>
      <w:r>
        <w:rPr>
          <w:rFonts w:ascii="Arial" w:cs="Arial" w:eastAsia="Arial" w:hAnsi="Arial"/>
          <w:sz w:val="18"/>
          <w:szCs w:val="18"/>
          <w:color w:val="auto"/>
        </w:rPr>
        <w:t>.</w:t>
      </w:r>
    </w:p>
    <w:p>
      <w:pPr>
        <w:spacing w:after="0" w:line="239" w:lineRule="exact"/>
        <w:rPr>
          <w:sz w:val="20"/>
          <w:szCs w:val="20"/>
          <w:color w:val="auto"/>
        </w:rPr>
      </w:pPr>
    </w:p>
    <w:p>
      <w:pPr>
        <w:jc w:val="both"/>
        <w:ind w:firstLine="1505"/>
        <w:spacing w:after="0" w:line="271" w:lineRule="auto"/>
        <w:tabs>
          <w:tab w:leader="none" w:pos="18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Executive is an “at-will” employee of the Company. Executive’s employment will be terminated at the earliest to occur of the following during the Term: (i) the date of Executive’s death; (ii) the date on which the Company provides written notice to Executive of his termination of employment for “Cause” (as defined in the Fourth Amended and Restated Agreement of Limited Partnership of PWP Professional Partners LP (the “</w:t>
      </w:r>
      <w:r>
        <w:rPr>
          <w:rFonts w:ascii="Arial" w:cs="Arial" w:eastAsia="Arial" w:hAnsi="Arial"/>
          <w:sz w:val="18"/>
          <w:szCs w:val="18"/>
          <w:u w:val="single" w:color="auto"/>
          <w:color w:val="auto"/>
        </w:rPr>
        <w:t>Limited Partnership Agreement</w:t>
      </w:r>
      <w:r>
        <w:rPr>
          <w:rFonts w:ascii="Arial" w:cs="Arial" w:eastAsia="Arial" w:hAnsi="Arial"/>
          <w:sz w:val="18"/>
          <w:szCs w:val="18"/>
          <w:color w:val="auto"/>
        </w:rPr>
        <w:t>”); or (iii) the date which is ninety (90) days following the date on which either Executive or the Company provides written notice to the other party of his voluntary termination of employment or termination other than for Cause.</w:t>
      </w:r>
    </w:p>
    <w:p>
      <w:pPr>
        <w:spacing w:after="0" w:line="190" w:lineRule="exact"/>
        <w:rPr>
          <w:rFonts w:ascii="Arial" w:cs="Arial" w:eastAsia="Arial" w:hAnsi="Arial"/>
          <w:sz w:val="18"/>
          <w:szCs w:val="18"/>
          <w:color w:val="auto"/>
        </w:rPr>
      </w:pPr>
    </w:p>
    <w:p>
      <w:pPr>
        <w:jc w:val="both"/>
        <w:ind w:firstLine="1505"/>
        <w:spacing w:after="0" w:line="275" w:lineRule="auto"/>
        <w:tabs>
          <w:tab w:leader="none" w:pos="18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as of the date of his termination of employment, Executive will not be entitled to any further compensation or benefits pursuant to this Agreement other than, in each case if applicable as of the date of termination: (i) any accrued but unpaid Base Salary (payable as provided in Section 3(a) hereof); (ii) any amounts payable with respect to the Management RSU Award in accordance with the terms of the applicable individual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0" w:name="page71"/>
    <w:bookmarkEnd w:id="70"/>
    <w:p>
      <w:pPr>
        <w:jc w:val="both"/>
        <w:spacing w:after="0" w:line="270" w:lineRule="auto"/>
        <w:rPr>
          <w:sz w:val="20"/>
          <w:szCs w:val="20"/>
          <w:color w:val="auto"/>
        </w:rPr>
      </w:pPr>
      <w:r>
        <w:rPr>
          <w:rFonts w:ascii="Arial" w:cs="Arial" w:eastAsia="Arial" w:hAnsi="Arial"/>
          <w:sz w:val="18"/>
          <w:szCs w:val="18"/>
          <w:color w:val="auto"/>
        </w:rPr>
        <w:t>agreements; (iii) in the case of a termination of employment by the Company other than for Cause, an amount in cash equal to any annual discretionary performance bonus payable to Executive in respect of any previously completed fiscal year of the Company in accordance with Section 3(b) hereof but unpaid as of the date of termination, payable on the same date on which annual bonuses are paid to other similarly-situated officers of the Company in respect of such fiscal year; (iv) reimbursement for any expenses properly incurred and reported by Executive prior to the date of termination in accordance with Section 4(c) hereof, payable on the Company’s first regularly scheduled payroll date which occurs at least ten (10) business days after the date of termination; and (v) vested employee benefits, if any, to which Executive may be entitled under the Company’s employee benefit plans described in Sections 4(a) and 4(b) hereof as of the date of termination.</w:t>
      </w:r>
    </w:p>
    <w:p>
      <w:pPr>
        <w:spacing w:after="0" w:line="192" w:lineRule="exact"/>
        <w:rPr>
          <w:sz w:val="20"/>
          <w:szCs w:val="20"/>
          <w:color w:val="auto"/>
        </w:rPr>
      </w:pPr>
    </w:p>
    <w:p>
      <w:pPr>
        <w:ind w:right="20" w:firstLine="1505"/>
        <w:spacing w:after="0" w:line="293" w:lineRule="auto"/>
        <w:tabs>
          <w:tab w:leader="none" w:pos="1857" w:val="left"/>
        </w:tabs>
        <w:numPr>
          <w:ilvl w:val="2"/>
          <w:numId w:val="33"/>
        </w:numPr>
        <w:rPr>
          <w:rFonts w:ascii="Arial" w:cs="Arial" w:eastAsia="Arial" w:hAnsi="Arial"/>
          <w:sz w:val="18"/>
          <w:szCs w:val="18"/>
          <w:color w:val="auto"/>
        </w:rPr>
      </w:pPr>
      <w:r>
        <w:rPr>
          <w:rFonts w:ascii="Arial" w:cs="Arial" w:eastAsia="Arial" w:hAnsi="Arial"/>
          <w:sz w:val="18"/>
          <w:szCs w:val="18"/>
          <w:color w:val="auto"/>
        </w:rPr>
        <w:t>Upon a termination of employment for any reason, unless requested otherwise by the Company, Executive shall be deemed to have resigned from each position (if any) that Executive then holds as an officer or director of the Company or any of its affiliates.</w:t>
      </w:r>
    </w:p>
    <w:p>
      <w:pPr>
        <w:spacing w:after="0" w:line="169" w:lineRule="exact"/>
        <w:rPr>
          <w:rFonts w:ascii="Arial" w:cs="Arial" w:eastAsia="Arial" w:hAnsi="Arial"/>
          <w:sz w:val="18"/>
          <w:szCs w:val="18"/>
          <w:color w:val="auto"/>
        </w:rPr>
      </w:pPr>
    </w:p>
    <w:p>
      <w:pPr>
        <w:ind w:left="1120" w:hanging="363"/>
        <w:spacing w:after="0"/>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Restrictive Covenants; Permitted Disclosures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275" w:lineRule="auto"/>
        <w:tabs>
          <w:tab w:leader="none" w:pos="1857"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Executive acknowledges and agrees that Executive is bound by certain restrictive covenants in connection with Executive’s employment with the Company and its affiliates, including, without limitation, confidentiality, non-solicitation, non-competition and non-disparagement covenants (as applicable, the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 The Restrictive Covenants are incorporated by reference as if fully set forth herein and are hereby re-executed and reaffirmed.</w:t>
      </w:r>
    </w:p>
    <w:p>
      <w:pPr>
        <w:spacing w:after="0" w:line="185" w:lineRule="exact"/>
        <w:rPr>
          <w:rFonts w:ascii="Arial" w:cs="Arial" w:eastAsia="Arial" w:hAnsi="Arial"/>
          <w:sz w:val="18"/>
          <w:szCs w:val="18"/>
          <w:color w:val="auto"/>
        </w:rPr>
      </w:pPr>
    </w:p>
    <w:p>
      <w:pPr>
        <w:jc w:val="both"/>
        <w:ind w:firstLine="1505"/>
        <w:spacing w:after="0" w:line="299" w:lineRule="auto"/>
        <w:tabs>
          <w:tab w:leader="none" w:pos="1857" w:val="left"/>
        </w:tabs>
        <w:numPr>
          <w:ilvl w:val="2"/>
          <w:numId w:val="34"/>
        </w:numPr>
        <w:rPr>
          <w:rFonts w:ascii="Arial" w:cs="Arial" w:eastAsia="Arial" w:hAnsi="Arial"/>
          <w:sz w:val="16"/>
          <w:szCs w:val="16"/>
          <w:color w:val="auto"/>
        </w:rPr>
      </w:pPr>
      <w:r>
        <w:rPr>
          <w:rFonts w:ascii="Arial" w:cs="Arial" w:eastAsia="Arial" w:hAnsi="Arial"/>
          <w:sz w:val="16"/>
          <w:szCs w:val="16"/>
          <w:color w:val="auto"/>
        </w:rPr>
        <w:t>Pursuant to 18 U.S.C. §1833(b), Executive will not be held criminally or civilly liable under any federal or state trade secret law for the disclosure of a trade secret of the Company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his attorney and use the trade secret information in the court proceeding, if Executive</w:t>
      </w:r>
    </w:p>
    <w:p>
      <w:pPr>
        <w:spacing w:after="0" w:line="2" w:lineRule="exact"/>
        <w:rPr>
          <w:rFonts w:ascii="Arial" w:cs="Arial" w:eastAsia="Arial" w:hAnsi="Arial"/>
          <w:sz w:val="16"/>
          <w:szCs w:val="16"/>
          <w:color w:val="auto"/>
        </w:rPr>
      </w:pPr>
    </w:p>
    <w:p>
      <w:pPr>
        <w:jc w:val="both"/>
        <w:ind w:firstLine="8"/>
        <w:spacing w:after="0" w:line="292" w:lineRule="auto"/>
        <w:tabs>
          <w:tab w:leader="none" w:pos="273" w:val="left"/>
        </w:tabs>
        <w:numPr>
          <w:ilvl w:val="0"/>
          <w:numId w:val="35"/>
        </w:numPr>
        <w:rPr>
          <w:rFonts w:ascii="Arial" w:cs="Arial" w:eastAsia="Arial" w:hAnsi="Arial"/>
          <w:sz w:val="17"/>
          <w:szCs w:val="17"/>
          <w:color w:val="auto"/>
        </w:rPr>
      </w:pPr>
      <w:r>
        <w:rPr>
          <w:rFonts w:ascii="Arial" w:cs="Arial" w:eastAsia="Arial" w:hAnsi="Arial"/>
          <w:sz w:val="17"/>
          <w:szCs w:val="17"/>
          <w:color w:val="auto"/>
        </w:rPr>
        <w:t>files any document containing the trade secret under seal, and (2) does not disclose the trade secret, except pursuant to court order. Nothing in this Agreement is intended to conflict with 18 U.S.C. §1833(b) or create liability for disclosures of trade secrets that are expressly allowed by such section. Further, nothing in any agreement Executive has with the Company or any of its affiliates will prohibit or restrict Executive from making a protected disclosure or any other voluntary disclosure of information or documents related to any possible violation of law to any governmental agency or legislative body, or any self-regulatory organization, in each case, without advance notice to the Company or any of its affiliates.</w:t>
      </w:r>
    </w:p>
    <w:p>
      <w:pPr>
        <w:spacing w:after="0" w:line="173" w:lineRule="exact"/>
        <w:rPr>
          <w:rFonts w:ascii="Arial" w:cs="Arial" w:eastAsia="Arial" w:hAnsi="Arial"/>
          <w:sz w:val="17"/>
          <w:szCs w:val="17"/>
          <w:color w:val="auto"/>
        </w:rPr>
      </w:pPr>
    </w:p>
    <w:p>
      <w:pPr>
        <w:jc w:val="both"/>
        <w:ind w:firstLine="757"/>
        <w:spacing w:after="0" w:line="271" w:lineRule="auto"/>
        <w:tabs>
          <w:tab w:leader="none" w:pos="1136"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and all of the terms and conditions hereof, will bind the Company and its successors and assigns and will bind Executive and Executive’s heirs, executors and administrators. No transfer or assignment of this Agreement will release the Company from any obligation to Executive hereunder. Neither this Agreement, nor any of the Company’s rights or obligations hereunder, may be assigned or otherwise subject to hypothecation by Executive, and any such attempted assignment or hypothecation will be null and void. The Company may assign any of its rights hereunder, in whole or in part, to any successor or assign in connection with the sale of all or substantially all of the Company’s assets or equity interests or in connection with any merger, acquisition and/or reorganization.</w:t>
      </w:r>
    </w:p>
    <w:p>
      <w:pPr>
        <w:spacing w:after="0" w:line="190" w:lineRule="exact"/>
        <w:rPr>
          <w:rFonts w:ascii="Arial" w:cs="Arial" w:eastAsia="Arial" w:hAnsi="Arial"/>
          <w:sz w:val="18"/>
          <w:szCs w:val="18"/>
          <w:color w:val="auto"/>
        </w:rPr>
      </w:pPr>
    </w:p>
    <w:p>
      <w:pPr>
        <w:ind w:left="1120" w:hanging="363"/>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270" w:lineRule="auto"/>
        <w:tabs>
          <w:tab w:leader="none" w:pos="1857"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Company and Executive mutually consent to the resolution by final and binding arbitration of any and all disputes, controversies or claims between them including, without limitation, (i) any dispute, controversy or claim related in any way to Executive’s employment with the Company or any of its affiliates or any termination thereof, (ii) any dispute, controversy or claim of alleged discrimination, harassment or retaliation (including, but not limited to, claims based on race, sex, sexual preference, religion, national origin, age, marital or family status, medical condition, handicap or disability) and (iii) any claim arising out of or relating to this Agreement or the breach thereof (collectively, “</w:t>
      </w: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will require arbitration of any claim or charge which, by law, cannot be the subject of a compulsory arbitration agreement. All Disputes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1" w:name="page72"/>
    <w:bookmarkEnd w:id="71"/>
    <w:p>
      <w:pPr>
        <w:ind w:right="20"/>
        <w:spacing w:after="0" w:line="293" w:lineRule="auto"/>
        <w:rPr>
          <w:sz w:val="20"/>
          <w:szCs w:val="20"/>
          <w:color w:val="auto"/>
        </w:rPr>
      </w:pPr>
      <w:r>
        <w:rPr>
          <w:rFonts w:ascii="Arial" w:cs="Arial" w:eastAsia="Arial" w:hAnsi="Arial"/>
          <w:sz w:val="18"/>
          <w:szCs w:val="18"/>
          <w:color w:val="auto"/>
        </w:rPr>
        <w:t>resolved exclusively by arbitration administered by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under the AAA Employment Arbitration Rules and Mediation Procedures then in effect (the “</w:t>
      </w:r>
      <w:r>
        <w:rPr>
          <w:rFonts w:ascii="Arial" w:cs="Arial" w:eastAsia="Arial" w:hAnsi="Arial"/>
          <w:sz w:val="18"/>
          <w:szCs w:val="18"/>
          <w:u w:val="single" w:color="auto"/>
          <w:color w:val="auto"/>
        </w:rPr>
        <w:t>AAA Rules</w:t>
      </w:r>
      <w:r>
        <w:rPr>
          <w:rFonts w:ascii="Arial" w:cs="Arial" w:eastAsia="Arial" w:hAnsi="Arial"/>
          <w:sz w:val="18"/>
          <w:szCs w:val="18"/>
          <w:color w:val="auto"/>
        </w:rPr>
        <w:t>”).</w:t>
      </w:r>
    </w:p>
    <w:p>
      <w:pPr>
        <w:spacing w:after="0" w:line="170" w:lineRule="exact"/>
        <w:rPr>
          <w:sz w:val="20"/>
          <w:szCs w:val="20"/>
          <w:color w:val="auto"/>
        </w:rPr>
      </w:pPr>
    </w:p>
    <w:p>
      <w:pPr>
        <w:jc w:val="both"/>
        <w:ind w:firstLine="1505"/>
        <w:spacing w:after="0" w:line="311" w:lineRule="auto"/>
        <w:tabs>
          <w:tab w:leader="none" w:pos="1857"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Any arbitration proceeding brought under this Agreement will be conducted in New York, New York or another mutually agreed upon location before one arbitrator selected in accordance with the AAA Rules. Each party to any Dispute will pay its own expenses, including attorneys’ fees. The arbitrator will be empowered to award either party any remedy at law or in equity that the party would otherwise have been entitled to had the matter been litigated in a court of competent jurisdiction, including, but not limited to, general, special, and punitive damages, injunctive relief, costs and attorney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authority to award any remedy is subject to whatever limitations, if any, exist in the applicable law on such remedies. The arbitrator will issue a decision or award in writing, stating the essential findings of fact and conclusions of law.</w:t>
      </w:r>
    </w:p>
    <w:p>
      <w:pPr>
        <w:spacing w:after="0" w:line="162" w:lineRule="exact"/>
        <w:rPr>
          <w:rFonts w:ascii="Arial" w:cs="Arial" w:eastAsia="Arial" w:hAnsi="Arial"/>
          <w:sz w:val="16"/>
          <w:szCs w:val="16"/>
          <w:color w:val="auto"/>
        </w:rPr>
      </w:pPr>
    </w:p>
    <w:p>
      <w:pPr>
        <w:jc w:val="both"/>
        <w:ind w:firstLine="1505"/>
        <w:spacing w:after="0" w:line="329" w:lineRule="auto"/>
        <w:tabs>
          <w:tab w:leader="none" w:pos="185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judgment on or enforcement of any award, including an award providing for interim or permanent injunctive relief, rendered by the arbitrator may be entered, enforced or appealed in any court of competent jurisdiction. Any arbitration proceedings, decision or award rendered hereunder, and the validity, effect and interpretation of this arbitration provision, will be governed by the Federal Arbitration Act, 9 U.S.C. §1 et seq.</w:t>
      </w:r>
    </w:p>
    <w:p>
      <w:pPr>
        <w:spacing w:after="0" w:line="147" w:lineRule="exact"/>
        <w:rPr>
          <w:rFonts w:ascii="Arial" w:cs="Arial" w:eastAsia="Arial" w:hAnsi="Arial"/>
          <w:sz w:val="16"/>
          <w:szCs w:val="16"/>
          <w:color w:val="auto"/>
        </w:rPr>
      </w:pPr>
    </w:p>
    <w:p>
      <w:pPr>
        <w:jc w:val="both"/>
        <w:ind w:firstLine="1505"/>
        <w:spacing w:after="0" w:line="309" w:lineRule="auto"/>
        <w:tabs>
          <w:tab w:leader="none" w:pos="1857" w:val="left"/>
        </w:tabs>
        <w:numPr>
          <w:ilvl w:val="1"/>
          <w:numId w:val="36"/>
        </w:numPr>
        <w:rPr>
          <w:rFonts w:ascii="Arial" w:cs="Arial" w:eastAsia="Arial" w:hAnsi="Arial"/>
          <w:sz w:val="16"/>
          <w:szCs w:val="16"/>
          <w:color w:val="auto"/>
        </w:rPr>
      </w:pPr>
      <w:r>
        <w:rPr>
          <w:rFonts w:ascii="Arial" w:cs="Arial" w:eastAsia="Arial" w:hAnsi="Arial"/>
          <w:sz w:val="16"/>
          <w:szCs w:val="16"/>
          <w:color w:val="auto"/>
        </w:rPr>
        <w:t>It is part of the essence of this Agreement that any Disputes hereunder will be resolved expeditiously and as confidentially as possible. Accordingly, the Company and Executive agree that all proceedings in any arbitration will be conducted under seal and kept strictly confidential. In that regard, no party will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 Before making any disclosure permitted by the preceding sentence, the party intending to make such disclosure will give the other party reasonable written notice of the intended disclosure and afford such other party a reasonable opportunity to protect its interests.</w:t>
      </w:r>
    </w:p>
    <w:p>
      <w:pPr>
        <w:spacing w:after="0" w:line="164" w:lineRule="exact"/>
        <w:rPr>
          <w:rFonts w:ascii="Arial" w:cs="Arial" w:eastAsia="Arial" w:hAnsi="Arial"/>
          <w:sz w:val="16"/>
          <w:szCs w:val="16"/>
          <w:color w:val="auto"/>
        </w:rPr>
      </w:pPr>
    </w:p>
    <w:p>
      <w:pPr>
        <w:ind w:left="1120" w:hanging="363"/>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292" w:lineRule="auto"/>
        <w:tabs>
          <w:tab w:leader="none" w:pos="1871"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claims, demands, waivers and other communications hereunder shall be in writing and shall be deemed to have been given: (i) when delivered by hand (with written confirmation of receipt); (ii) when received by the addressee if sent by a nationally recognized overnight courier (receipt requested); (iii) on the date sent by facsimile or e-mail; or (iv)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9(a)):</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 the Company:</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Perella Weinberg Partners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767 Fifth Avenue</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10153</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(212) 287-3200</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vshendelman@pwpartners.com</w:t>
      </w:r>
    </w:p>
    <w:p>
      <w:pPr>
        <w:spacing w:after="0" w:line="2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 Executive:</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 the address shown in the Company’s personnel records</w:t>
      </w:r>
    </w:p>
    <w:p>
      <w:pPr>
        <w:spacing w:after="0" w:line="239" w:lineRule="exact"/>
        <w:rPr>
          <w:sz w:val="20"/>
          <w:szCs w:val="20"/>
          <w:color w:val="auto"/>
        </w:rPr>
      </w:pPr>
    </w:p>
    <w:p>
      <w:pPr>
        <w:jc w:val="both"/>
        <w:ind w:firstLine="1505"/>
        <w:spacing w:after="0" w:line="279" w:lineRule="auto"/>
        <w:tabs>
          <w:tab w:leader="none" w:pos="185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exhibits hereto) constitutes the sole and entire agreement of the parties to this Agreement with respect to the subject matter contained herein and therein, and, effective as of the Effective Date, supersedes all prior and contemporaneous representations,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2" w:name="page73"/>
    <w:bookmarkEnd w:id="72"/>
    <w:p>
      <w:pPr>
        <w:spacing w:after="0" w:line="293" w:lineRule="auto"/>
        <w:rPr>
          <w:sz w:val="20"/>
          <w:szCs w:val="20"/>
          <w:color w:val="auto"/>
        </w:rPr>
      </w:pPr>
      <w:r>
        <w:rPr>
          <w:rFonts w:ascii="Arial" w:cs="Arial" w:eastAsia="Arial" w:hAnsi="Arial"/>
          <w:sz w:val="18"/>
          <w:szCs w:val="18"/>
          <w:color w:val="auto"/>
        </w:rPr>
        <w:t>understandings and agreements, both written and oral, with respect to such subject matter, including any employment agreement term sheets or letters of intent previously exchanged by the parties.</w:t>
      </w:r>
    </w:p>
    <w:p>
      <w:pPr>
        <w:spacing w:after="0" w:line="170" w:lineRule="exact"/>
        <w:rPr>
          <w:sz w:val="20"/>
          <w:szCs w:val="20"/>
          <w:color w:val="auto"/>
        </w:rPr>
      </w:pPr>
    </w:p>
    <w:p>
      <w:pPr>
        <w:ind w:left="1860" w:hanging="355"/>
        <w:spacing w:after="0"/>
        <w:tabs>
          <w:tab w:leader="none" w:pos="186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reference only and shall not affect the interpretation of this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5" w:lineRule="exact"/>
        <w:rPr>
          <w:rFonts w:ascii="Arial" w:cs="Arial" w:eastAsia="Arial" w:hAnsi="Arial"/>
          <w:sz w:val="17"/>
          <w:szCs w:val="17"/>
          <w:color w:val="auto"/>
        </w:rPr>
      </w:pPr>
    </w:p>
    <w:p>
      <w:pPr>
        <w:jc w:val="both"/>
        <w:ind w:firstLine="1505"/>
        <w:spacing w:after="0" w:line="275" w:lineRule="auto"/>
        <w:tabs>
          <w:tab w:leader="none" w:pos="187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 Waiver</w:t>
      </w:r>
      <w:r>
        <w:rPr>
          <w:rFonts w:ascii="Arial" w:cs="Arial" w:eastAsia="Arial" w:hAnsi="Arial"/>
          <w:sz w:val="18"/>
          <w:szCs w:val="18"/>
          <w:color w:val="auto"/>
        </w:rPr>
        <w:t>. This Agreement may only be amended, modified or supplemented by an agreement in writing signed by all of the parties hereto.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5" w:lineRule="exact"/>
        <w:rPr>
          <w:rFonts w:ascii="Arial" w:cs="Arial" w:eastAsia="Arial" w:hAnsi="Arial"/>
          <w:sz w:val="18"/>
          <w:szCs w:val="18"/>
          <w:color w:val="auto"/>
        </w:rPr>
      </w:pPr>
    </w:p>
    <w:p>
      <w:pPr>
        <w:ind w:firstLine="1505"/>
        <w:spacing w:after="0" w:line="293" w:lineRule="auto"/>
        <w:tabs>
          <w:tab w:leader="none" w:pos="187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New York without giving effect to any choice or conflict of law provision or rule (whether of the State of New York or any other jurisdiction).</w:t>
      </w:r>
    </w:p>
    <w:p>
      <w:pPr>
        <w:spacing w:after="0" w:line="169" w:lineRule="exact"/>
        <w:rPr>
          <w:rFonts w:ascii="Arial" w:cs="Arial" w:eastAsia="Arial" w:hAnsi="Arial"/>
          <w:sz w:val="18"/>
          <w:szCs w:val="18"/>
          <w:color w:val="auto"/>
        </w:rPr>
      </w:pPr>
    </w:p>
    <w:p>
      <w:pPr>
        <w:ind w:firstLine="1505"/>
        <w:spacing w:after="0" w:line="293" w:lineRule="auto"/>
        <w:tabs>
          <w:tab w:leader="none" w:pos="185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Survivorship</w:t>
      </w:r>
      <w:r>
        <w:rPr>
          <w:rFonts w:ascii="Arial" w:cs="Arial" w:eastAsia="Arial" w:hAnsi="Arial"/>
          <w:sz w:val="18"/>
          <w:szCs w:val="18"/>
          <w:color w:val="auto"/>
        </w:rPr>
        <w:t>. The provisions of this Agreement necessary to carry out the intention of the parties as expressed herein will survive the termination or expiration of this Agreement.</w:t>
      </w:r>
    </w:p>
    <w:p>
      <w:pPr>
        <w:spacing w:after="0" w:line="169" w:lineRule="exact"/>
        <w:rPr>
          <w:rFonts w:ascii="Arial" w:cs="Arial" w:eastAsia="Arial" w:hAnsi="Arial"/>
          <w:sz w:val="18"/>
          <w:szCs w:val="18"/>
          <w:color w:val="auto"/>
        </w:rPr>
      </w:pPr>
    </w:p>
    <w:p>
      <w:pPr>
        <w:jc w:val="both"/>
        <w:ind w:firstLine="1505"/>
        <w:spacing w:after="0" w:line="275" w:lineRule="auto"/>
        <w:tabs>
          <w:tab w:leader="none" w:pos="188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acknowledge that this Agreement is the result of arm’s-length negotiations between sophisticated parties, each afforded representation by legal counsel. Each and every provision of this Agreement will be construed as though both parties participated equally in the drafting of the same, and any rule of construction that a document will be construed against the drafting party will not be applicable to this Agreement.</w:t>
      </w:r>
    </w:p>
    <w:p>
      <w:pPr>
        <w:spacing w:after="0" w:line="185" w:lineRule="exact"/>
        <w:rPr>
          <w:rFonts w:ascii="Arial" w:cs="Arial" w:eastAsia="Arial" w:hAnsi="Arial"/>
          <w:sz w:val="18"/>
          <w:szCs w:val="18"/>
          <w:color w:val="auto"/>
        </w:rPr>
      </w:pPr>
    </w:p>
    <w:p>
      <w:pPr>
        <w:jc w:val="both"/>
        <w:ind w:right="20" w:firstLine="1505"/>
        <w:spacing w:after="0" w:line="279" w:lineRule="auto"/>
        <w:tabs>
          <w:tab w:leader="none" w:pos="188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compensation payable to Executive pursuant to this Agreement will be subject to any applicable statutory withholding taxes and such other taxes as are required or permitted under applicable law and such other deductions or withholdings as authorized by Executive to be collected with respect to compensation paid to Executive.</w:t>
      </w:r>
    </w:p>
    <w:p>
      <w:pPr>
        <w:spacing w:after="0" w:line="182" w:lineRule="exact"/>
        <w:rPr>
          <w:rFonts w:ascii="Arial" w:cs="Arial" w:eastAsia="Arial" w:hAnsi="Arial"/>
          <w:sz w:val="18"/>
          <w:szCs w:val="18"/>
          <w:color w:val="auto"/>
        </w:rPr>
      </w:pPr>
    </w:p>
    <w:p>
      <w:pPr>
        <w:jc w:val="both"/>
        <w:ind w:firstLine="1505"/>
        <w:spacing w:after="0" w:line="279" w:lineRule="auto"/>
        <w:tabs>
          <w:tab w:leader="none" w:pos="187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82" w:lineRule="exact"/>
        <w:rPr>
          <w:rFonts w:ascii="Arial" w:cs="Arial" w:eastAsia="Arial" w:hAnsi="Arial"/>
          <w:sz w:val="18"/>
          <w:szCs w:val="18"/>
          <w:color w:val="auto"/>
        </w:rPr>
      </w:pPr>
    </w:p>
    <w:p>
      <w:pPr>
        <w:jc w:val="both"/>
        <w:ind w:firstLine="1505"/>
        <w:spacing w:after="0" w:line="304" w:lineRule="auto"/>
        <w:tabs>
          <w:tab w:leader="none" w:pos="187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intent of the parties is that payments and benefits under this Agreement comply with, or be exempt from, Section 409A of the U.S. Internal Revenue Code of 1986, as amended (“</w:t>
      </w:r>
      <w:r>
        <w:rPr>
          <w:rFonts w:ascii="Arial" w:cs="Arial" w:eastAsia="Arial" w:hAnsi="Arial"/>
          <w:sz w:val="16"/>
          <w:szCs w:val="16"/>
          <w:u w:val="single" w:color="auto"/>
          <w:color w:val="auto"/>
        </w:rPr>
        <w:t>Section 409A of the Code</w:t>
      </w:r>
      <w:r>
        <w:rPr>
          <w:rFonts w:ascii="Arial" w:cs="Arial" w:eastAsia="Arial" w:hAnsi="Arial"/>
          <w:sz w:val="16"/>
          <w:szCs w:val="16"/>
          <w:color w:val="auto"/>
        </w:rPr>
        <w:t>”), to the extent subject thereto, and accordingly, to the maximum extent permitted, this Agreement shall be interpreted to be in compliance therewith. Notwithstanding anything contained herein to the contrary, Executive will not be considered to have terminated employment with the Company for purposes of any payments under this Agreement which are subject to Section 409A of the Code until Executive would be considered to have incurred a “separation from service” from the Company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or any other arrangement between Executive and the Company and its affiliates during the six (6) month period immediately following Executive’s separation from service shall instead be paid on the first business day after the date that is six (6) months following Executive’s separation from service (or, if earlier, Executive’s date of death).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3" w:name="page74"/>
    <w:bookmarkEnd w:id="73"/>
    <w:p>
      <w:pPr>
        <w:jc w:val="both"/>
        <w:spacing w:after="0" w:line="279" w:lineRule="auto"/>
        <w:rPr>
          <w:sz w:val="20"/>
          <w:szCs w:val="20"/>
          <w:color w:val="auto"/>
        </w:rPr>
      </w:pPr>
      <w:r>
        <w:rPr>
          <w:rFonts w:ascii="Arial" w:cs="Arial" w:eastAsia="Arial" w:hAnsi="Arial"/>
          <w:sz w:val="18"/>
          <w:szCs w:val="18"/>
          <w:color w:val="auto"/>
        </w:rPr>
        <w:t>Company makes no representation that any or all of the payments described in this Agreement will be exempt from or comply with Section 409A of the Code and makes no undertaking to preclude Section 409A of the Code from applying to any such payment. Executive will be solely responsible for the payment of any taxes and penalties incurred under Section 409A of the Code.</w:t>
      </w:r>
    </w:p>
    <w:p>
      <w:pPr>
        <w:spacing w:after="0" w:line="183" w:lineRule="exact"/>
        <w:rPr>
          <w:sz w:val="20"/>
          <w:szCs w:val="20"/>
          <w:color w:val="auto"/>
        </w:rPr>
      </w:pPr>
    </w:p>
    <w:p>
      <w:pPr>
        <w:jc w:val="both"/>
        <w:ind w:firstLine="757"/>
        <w:spacing w:after="0" w:line="279" w:lineRule="auto"/>
        <w:tabs>
          <w:tab w:leader="none" w:pos="112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Executive Representation and Acceptance</w:t>
      </w:r>
      <w:r>
        <w:rPr>
          <w:rFonts w:ascii="Arial" w:cs="Arial" w:eastAsia="Arial" w:hAnsi="Arial"/>
          <w:sz w:val="18"/>
          <w:szCs w:val="18"/>
          <w:color w:val="auto"/>
        </w:rPr>
        <w:t>. By signing this Agreement, Executive hereby represents that Executive is not currently under any contractual obligation to work for another employer and that Executive is not restricted by any agreement or arrangement from entering into this Agreement and performing Executive’s duties hereunder.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is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4" w:name="page75"/>
    <w:bookmarkEnd w:id="74"/>
    <w:p>
      <w:pPr>
        <w:ind w:firstLine="749"/>
        <w:spacing w:after="0" w:line="29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and intending to be legally bound thereby, the parties hereto have executed and delivered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and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PERELLA WEINBERG PARTNERS</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Vladimir Shendelman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Vladimir Shendelman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Partner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PWP EMPLOYER LP</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Vladimir Shendelman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Vladimir Shendelman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Partner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Andrew Bednar</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Andrew Bednar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39"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11, 2021, is made by and between Perella Weinberg Partners,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u w:val="single" w:color="auto"/>
          <w:color w:val="auto"/>
        </w:rPr>
        <w:t>PWP</w:t>
      </w:r>
      <w:r>
        <w:rPr>
          <w:rFonts w:ascii="Arial" w:cs="Arial" w:eastAsia="Arial" w:hAnsi="Arial"/>
          <w:sz w:val="18"/>
          <w:szCs w:val="18"/>
          <w:color w:val="auto"/>
        </w:rPr>
        <w:t>”), Perella Weinberg UK Limited, a limited company formed under the laws of England and Wales (“</w:t>
      </w:r>
      <w:r>
        <w:rPr>
          <w:rFonts w:ascii="Arial" w:cs="Arial" w:eastAsia="Arial" w:hAnsi="Arial"/>
          <w:sz w:val="18"/>
          <w:szCs w:val="18"/>
          <w:u w:val="single" w:color="auto"/>
          <w:color w:val="auto"/>
        </w:rPr>
        <w:t>UK Limited</w:t>
      </w:r>
      <w:r>
        <w:rPr>
          <w:rFonts w:ascii="Arial" w:cs="Arial" w:eastAsia="Arial" w:hAnsi="Arial"/>
          <w:sz w:val="18"/>
          <w:szCs w:val="18"/>
          <w:color w:val="auto"/>
        </w:rPr>
        <w:t>,” and together with PWP, the “</w:t>
      </w:r>
      <w:r>
        <w:rPr>
          <w:rFonts w:ascii="Arial" w:cs="Arial" w:eastAsia="Arial" w:hAnsi="Arial"/>
          <w:sz w:val="18"/>
          <w:szCs w:val="18"/>
          <w:u w:val="single" w:color="auto"/>
          <w:color w:val="auto"/>
        </w:rPr>
        <w:t>Company</w:t>
      </w:r>
      <w:r>
        <w:rPr>
          <w:rFonts w:ascii="Arial" w:cs="Arial" w:eastAsia="Arial" w:hAnsi="Arial"/>
          <w:sz w:val="18"/>
          <w:szCs w:val="18"/>
          <w:color w:val="auto"/>
        </w:rPr>
        <w:t>”), and Dietrich Becker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7"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mutually desire to enter into this Agreement setting forth the terms and conditions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which will become effective as of, and subject to, the Closing (such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63"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hereinafter set forth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of which are hereby acknowledged, the parties hereto agree as follows:</w:t>
      </w:r>
    </w:p>
    <w:p>
      <w:pPr>
        <w:spacing w:after="0" w:line="167" w:lineRule="exact"/>
        <w:rPr>
          <w:sz w:val="20"/>
          <w:szCs w:val="20"/>
          <w:color w:val="auto"/>
        </w:rPr>
      </w:pPr>
    </w:p>
    <w:p>
      <w:pPr>
        <w:jc w:val="both"/>
        <w:ind w:firstLine="757"/>
        <w:spacing w:after="0" w:line="279" w:lineRule="auto"/>
        <w:tabs>
          <w:tab w:leader="none" w:pos="112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Executive’s employment with the Company pursuant to the terms and conditions set forth in this Agreement will commence on the Effective Date and will expire immediately upon the termination of Executive’s employment in accordance with the terms and conditions set forth in Section 5 hereof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1120" w:hanging="363"/>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Title; Services and Duties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860" w:hanging="355"/>
        <w:spacing w:after="0"/>
        <w:tabs>
          <w:tab w:leader="none" w:pos="18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During the Term, Executive will be employed by the Company in the position of Co-President pursuant to the terms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37" w:lineRule="exact"/>
        <w:rPr>
          <w:rFonts w:ascii="Arial" w:cs="Arial" w:eastAsia="Arial" w:hAnsi="Arial"/>
          <w:sz w:val="17"/>
          <w:szCs w:val="17"/>
          <w:color w:val="auto"/>
        </w:rPr>
      </w:pPr>
    </w:p>
    <w:p>
      <w:pPr>
        <w:jc w:val="both"/>
        <w:ind w:firstLine="1505"/>
        <w:spacing w:after="0" w:line="285" w:lineRule="auto"/>
        <w:tabs>
          <w:tab w:leader="none" w:pos="1857"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During the Term, Executive will be a full-time employee of the Company and report directly to the Company’s Chief Executive Officer, and have such duties, responsibilities and authority as are reasonably prescribed by the Company’s Chief Executive Officer from time to time and normally associated with the role of a Co-President at an entity of similar size and nature as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changes prescribed by the Company’s Chief Executive Officer to Executive’s position, role, duties, responsibilities or authority shall not be considered a breach of the contractual obligations of the Company set forth in this Section 2. Executive shall devote all of his business time and best efforts to the performance of his duties to the Company and will not engage in any other business, profession or occupation for compensation. Notwithstanding the foregoing, Executive may (i) continue to engage in any outside business activities previously disclosed to the Company as of the date of this Agreement, (ii) subject to prior approval of the Company’s Chief Executive Officer (which shall not be unreasonably withheld), serve as a director or advisor of non-profit organizations or for profit companies that are not competitive with the Company, (iii) perform and participate in charitable civic, educational, professional, community, industry affairs and other related activities and (iv) manage his personal and family investments;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activities do not result in a conflict of interest with the Company and do not unreasonably interfere, individually or in the aggregate, in any material respect with the performance of Executive’s duties hereunder.</w:t>
      </w:r>
    </w:p>
    <w:p>
      <w:pPr>
        <w:spacing w:after="0" w:line="184" w:lineRule="exact"/>
        <w:rPr>
          <w:rFonts w:ascii="Arial" w:cs="Arial" w:eastAsia="Arial" w:hAnsi="Arial"/>
          <w:sz w:val="17"/>
          <w:szCs w:val="17"/>
          <w:color w:val="auto"/>
        </w:rPr>
      </w:pPr>
    </w:p>
    <w:p>
      <w:pPr>
        <w:ind w:left="1860" w:hanging="355"/>
        <w:spacing w:after="0"/>
        <w:tabs>
          <w:tab w:leader="none" w:pos="1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The terms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apply to Executive’s employment pursuant to this Agreement.</w:t>
      </w:r>
    </w:p>
    <w:p>
      <w:pPr>
        <w:spacing w:after="0" w:line="238" w:lineRule="exact"/>
        <w:rPr>
          <w:rFonts w:ascii="Arial" w:cs="Arial" w:eastAsia="Arial" w:hAnsi="Arial"/>
          <w:sz w:val="18"/>
          <w:szCs w:val="18"/>
          <w:color w:val="auto"/>
        </w:rPr>
      </w:pPr>
    </w:p>
    <w:p>
      <w:pPr>
        <w:ind w:left="1120" w:hanging="363"/>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329" w:lineRule="auto"/>
        <w:tabs>
          <w:tab w:leader="none" w:pos="1857"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Term, the Company will pay Executive a base salary in the amount of £385,000 per annum (the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Salary</w:t>
      </w:r>
      <w:r>
        <w:rPr>
          <w:rFonts w:ascii="Arial" w:cs="Arial" w:eastAsia="Arial" w:hAnsi="Arial"/>
          <w:sz w:val="16"/>
          <w:szCs w:val="16"/>
          <w:color w:val="auto"/>
        </w:rPr>
        <w:t>”), payable in such installments as the Company pays other similarly situated individuals. The Base Salary will be annually reviewed for increase (but not decrease) by the Compensation Committee of the Board of Directors of the Company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during the Term.</w:t>
      </w:r>
    </w:p>
    <w:p>
      <w:pPr>
        <w:spacing w:after="0" w:line="147" w:lineRule="exact"/>
        <w:rPr>
          <w:rFonts w:ascii="Arial" w:cs="Arial" w:eastAsia="Arial" w:hAnsi="Arial"/>
          <w:sz w:val="16"/>
          <w:szCs w:val="16"/>
          <w:color w:val="auto"/>
        </w:rPr>
      </w:pPr>
    </w:p>
    <w:p>
      <w:pPr>
        <w:jc w:val="both"/>
        <w:ind w:firstLine="1505"/>
        <w:spacing w:after="0" w:line="275" w:lineRule="auto"/>
        <w:tabs>
          <w:tab w:leader="none" w:pos="1857"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Annual Performance Bonus</w:t>
      </w:r>
      <w:r>
        <w:rPr>
          <w:rFonts w:ascii="Arial" w:cs="Arial" w:eastAsia="Arial" w:hAnsi="Arial"/>
          <w:sz w:val="18"/>
          <w:szCs w:val="18"/>
          <w:color w:val="auto"/>
        </w:rPr>
        <w:t>. During the Term, Executive will be eligible to receive an annual discretionary performance bonus pursuant to the Company’s annual bonus program in respect of each fiscal year during the Term. The actual bonus payable to Executive will be determined by the Compensation Committee based on, among other things, individual performance for such year, the achievement of the applicable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6" w:name="page77"/>
    <w:bookmarkEnd w:id="76"/>
    <w:p>
      <w:pPr>
        <w:jc w:val="both"/>
        <w:spacing w:after="0" w:line="296" w:lineRule="auto"/>
        <w:rPr>
          <w:sz w:val="20"/>
          <w:szCs w:val="20"/>
          <w:color w:val="auto"/>
        </w:rPr>
      </w:pPr>
      <w:r>
        <w:rPr>
          <w:rFonts w:ascii="Arial" w:cs="Arial" w:eastAsia="Arial" w:hAnsi="Arial"/>
          <w:sz w:val="17"/>
          <w:szCs w:val="17"/>
          <w:color w:val="auto"/>
        </w:rPr>
        <w:t>established by the Compensation Committee for such year, and such other factors deemed to be relevant by the Compensation Committee. The Company will pay any such annual discretionary performance bonus at the same time or times, and subject to the same conditions (including any applicable repayment provisions) as annual bonus payments to other similarly situated officers of the Company, provided that Executive is an active employee of the Company, and has not given or received notice of termination of employment, as of the date on which such bonus is paid.</w:t>
      </w:r>
    </w:p>
    <w:p>
      <w:pPr>
        <w:spacing w:after="0" w:line="170" w:lineRule="exact"/>
        <w:rPr>
          <w:sz w:val="20"/>
          <w:szCs w:val="20"/>
          <w:color w:val="auto"/>
        </w:rPr>
      </w:pPr>
    </w:p>
    <w:p>
      <w:pPr>
        <w:ind w:left="1860" w:hanging="355"/>
        <w:spacing w:after="0"/>
        <w:tabs>
          <w:tab w:leader="none" w:pos="186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Equity-Based Awards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2254"/>
        <w:spacing w:after="0" w:line="279" w:lineRule="auto"/>
        <w:tabs>
          <w:tab w:leader="none" w:pos="2606" w:val="left"/>
        </w:tabs>
        <w:numPr>
          <w:ilvl w:val="2"/>
          <w:numId w:val="42"/>
        </w:numPr>
        <w:rPr>
          <w:rFonts w:ascii="Arial" w:cs="Arial" w:eastAsia="Arial" w:hAnsi="Arial"/>
          <w:sz w:val="18"/>
          <w:szCs w:val="18"/>
          <w:color w:val="auto"/>
        </w:rPr>
      </w:pPr>
      <w:r>
        <w:rPr>
          <w:rFonts w:ascii="Arial" w:cs="Arial" w:eastAsia="Arial" w:hAnsi="Arial"/>
          <w:sz w:val="18"/>
          <w:szCs w:val="18"/>
          <w:color w:val="auto"/>
        </w:rPr>
        <w:t>During the term, Executive will be eligible to participate in the Company’s equity-based incentive compensation programs as in effect from time to time and receive periodic grants of equity-based awards, subject to the terms and conditions set forth in the applicable equity incentive plan and Executive’s individual award agreements.</w:t>
      </w:r>
    </w:p>
    <w:p>
      <w:pPr>
        <w:spacing w:after="0" w:line="182" w:lineRule="exact"/>
        <w:rPr>
          <w:rFonts w:ascii="Arial" w:cs="Arial" w:eastAsia="Arial" w:hAnsi="Arial"/>
          <w:sz w:val="18"/>
          <w:szCs w:val="18"/>
          <w:color w:val="auto"/>
        </w:rPr>
      </w:pPr>
    </w:p>
    <w:p>
      <w:pPr>
        <w:jc w:val="both"/>
        <w:ind w:firstLine="2254"/>
        <w:spacing w:after="0" w:line="275" w:lineRule="auto"/>
        <w:tabs>
          <w:tab w:leader="none" w:pos="2606" w:val="left"/>
        </w:tabs>
        <w:numPr>
          <w:ilvl w:val="2"/>
          <w:numId w:val="42"/>
        </w:numPr>
        <w:rPr>
          <w:rFonts w:ascii="Arial" w:cs="Arial" w:eastAsia="Arial" w:hAnsi="Arial"/>
          <w:sz w:val="18"/>
          <w:szCs w:val="18"/>
          <w:color w:val="auto"/>
        </w:rPr>
      </w:pPr>
      <w:r>
        <w:rPr>
          <w:rFonts w:ascii="Arial" w:cs="Arial" w:eastAsia="Arial" w:hAnsi="Arial"/>
          <w:sz w:val="18"/>
          <w:szCs w:val="18"/>
          <w:color w:val="auto"/>
        </w:rPr>
        <w:t>As soon as practicable following the Effective Date, and subject to approval by the Compensation Committee, Executive will receive a one-time grant of 2,350,000 performance-based restricted stock units of the Company pursuant to the General Share Reserve, as defined in the Company’s 2021 Omnibus Incentive Plan (the “</w:t>
      </w:r>
      <w:r>
        <w:rPr>
          <w:rFonts w:ascii="Arial" w:cs="Arial" w:eastAsia="Arial" w:hAnsi="Arial"/>
          <w:sz w:val="18"/>
          <w:szCs w:val="18"/>
          <w:u w:val="single" w:color="auto"/>
          <w:color w:val="auto"/>
        </w:rPr>
        <w:t>2021 Plan</w:t>
      </w:r>
      <w:r>
        <w:rPr>
          <w:rFonts w:ascii="Arial" w:cs="Arial" w:eastAsia="Arial" w:hAnsi="Arial"/>
          <w:sz w:val="18"/>
          <w:szCs w:val="18"/>
          <w:color w:val="auto"/>
        </w:rPr>
        <w:t xml:space="preserve">”), subject to the terms and conditions of the 2021 Plan and an individual award agreement substantially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Management RSU Award</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right="20" w:firstLine="2254"/>
        <w:spacing w:after="0" w:line="275" w:lineRule="auto"/>
        <w:tabs>
          <w:tab w:leader="none" w:pos="2606"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2021 Plan and any award agreement thereunder do not form part of this Agreement. If Executive ceases to be employed by the Company for any reason (including as a result of a repudiatory breach of contract by the Company), Executive shall not be entitled, by way of compensation for loss of employment, breach of contract or otherwise to any sum or other benefit (unless provided for in the 2021 Plan or any award agreement) to compensate Executive for any rights or prospective rights under the 2021 Plan.</w:t>
      </w:r>
    </w:p>
    <w:p>
      <w:pPr>
        <w:spacing w:after="0" w:line="185" w:lineRule="exact"/>
        <w:rPr>
          <w:rFonts w:ascii="Arial" w:cs="Arial" w:eastAsia="Arial" w:hAnsi="Arial"/>
          <w:sz w:val="18"/>
          <w:szCs w:val="18"/>
          <w:color w:val="auto"/>
        </w:rPr>
      </w:pPr>
    </w:p>
    <w:p>
      <w:pPr>
        <w:ind w:left="1120" w:hanging="363"/>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272" w:lineRule="auto"/>
        <w:tabs>
          <w:tab w:leader="none" w:pos="1857"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Retirement and Welfare Benefits</w:t>
      </w:r>
      <w:r>
        <w:rPr>
          <w:rFonts w:ascii="Arial" w:cs="Arial" w:eastAsia="Arial" w:hAnsi="Arial"/>
          <w:sz w:val="18"/>
          <w:szCs w:val="18"/>
          <w:color w:val="auto"/>
        </w:rPr>
        <w:t>. During the Term, Executive will be eligible to participate in all benefit plans made available by the Company to similarly-situated officers of the Company from time to time. Such benefits will be subject to the applicable limitations and requirements imposed by the terms of such benefit plans and will be governed in all respects in accordance with the terms of such plans as in effect from time to time. Nothing in this Section 4(a), however, will require the Company to maintain any benefit plan or provide any type or level of benefits to its current or former employees, including Executive.</w:t>
      </w:r>
    </w:p>
    <w:p>
      <w:pPr>
        <w:spacing w:after="0" w:line="190" w:lineRule="exact"/>
        <w:rPr>
          <w:rFonts w:ascii="Arial" w:cs="Arial" w:eastAsia="Arial" w:hAnsi="Arial"/>
          <w:sz w:val="18"/>
          <w:szCs w:val="18"/>
          <w:color w:val="auto"/>
        </w:rPr>
      </w:pPr>
    </w:p>
    <w:p>
      <w:pPr>
        <w:jc w:val="both"/>
        <w:ind w:firstLine="1505"/>
        <w:spacing w:after="0" w:line="279" w:lineRule="auto"/>
        <w:tabs>
          <w:tab w:leader="none" w:pos="1857"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will be entitled to paid vacation in accordance with the Company’s vacation policies as in effect from time to time and applicable to similarly-situated officers of the Company. Executive will take vacation at his and the Company’s reasonable and mutual convenience.</w:t>
      </w:r>
    </w:p>
    <w:p>
      <w:pPr>
        <w:spacing w:after="0" w:line="182" w:lineRule="exact"/>
        <w:rPr>
          <w:rFonts w:ascii="Arial" w:cs="Arial" w:eastAsia="Arial" w:hAnsi="Arial"/>
          <w:sz w:val="18"/>
          <w:szCs w:val="18"/>
          <w:color w:val="auto"/>
        </w:rPr>
      </w:pPr>
    </w:p>
    <w:p>
      <w:pPr>
        <w:jc w:val="both"/>
        <w:ind w:firstLine="1505"/>
        <w:spacing w:after="0" w:line="303" w:lineRule="auto"/>
        <w:tabs>
          <w:tab w:leader="none" w:pos="1884"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Reimbursement of Business Expenses</w:t>
      </w:r>
      <w:r>
        <w:rPr>
          <w:rFonts w:ascii="Arial" w:cs="Arial" w:eastAsia="Arial" w:hAnsi="Arial"/>
          <w:sz w:val="17"/>
          <w:szCs w:val="17"/>
          <w:color w:val="auto"/>
        </w:rPr>
        <w:t>. The Company will reimburse Executive for any expenses reasonably and necessarily incurred by Executive during the Term in furtherance of Executive’s duties hereunder, including travel, meals and accommodations, subject to Executive’s compliance with the Company’s policies with respect to reimbursement of business expenses as in effect from time to time.</w:t>
      </w:r>
    </w:p>
    <w:p>
      <w:pPr>
        <w:spacing w:after="0" w:line="164" w:lineRule="exact"/>
        <w:rPr>
          <w:rFonts w:ascii="Arial" w:cs="Arial" w:eastAsia="Arial" w:hAnsi="Arial"/>
          <w:sz w:val="17"/>
          <w:szCs w:val="17"/>
          <w:color w:val="auto"/>
        </w:rPr>
      </w:pPr>
    </w:p>
    <w:p>
      <w:pPr>
        <w:jc w:val="both"/>
        <w:ind w:firstLine="1505"/>
        <w:spacing w:after="0" w:line="275" w:lineRule="auto"/>
        <w:tabs>
          <w:tab w:leader="none" w:pos="1871"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D&amp;O Insurance; Indemnification</w:t>
      </w:r>
      <w:r>
        <w:rPr>
          <w:rFonts w:ascii="Arial" w:cs="Arial" w:eastAsia="Arial" w:hAnsi="Arial"/>
          <w:sz w:val="18"/>
          <w:szCs w:val="18"/>
          <w:color w:val="auto"/>
        </w:rPr>
        <w:t>. Executive will be covered by such directors’ and officers’ liability insurance on terms and conditions that are no less favorable than the terms that apply to other director or officer of the Company or any of its affiliates. Executive will also be entitled to indemnification rights, benefits and related expense advances and reimbursements to the same extent as any other director or officer of the Company or any of its affiliates.</w:t>
      </w:r>
    </w:p>
    <w:p>
      <w:pPr>
        <w:spacing w:after="0" w:line="185" w:lineRule="exact"/>
        <w:rPr>
          <w:sz w:val="20"/>
          <w:szCs w:val="20"/>
          <w:color w:val="auto"/>
        </w:rPr>
      </w:pPr>
    </w:p>
    <w:p>
      <w:pPr>
        <w:ind w:left="1860" w:hanging="355"/>
        <w:spacing w:after="0"/>
        <w:tabs>
          <w:tab w:leader="none" w:pos="18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Accrued Benefits</w:t>
      </w:r>
      <w:r>
        <w:rPr>
          <w:rFonts w:ascii="Arial" w:cs="Arial" w:eastAsia="Arial" w:hAnsi="Arial"/>
          <w:sz w:val="18"/>
          <w:szCs w:val="18"/>
          <w:color w:val="auto"/>
        </w:rPr>
        <w:t>.</w:t>
      </w:r>
    </w:p>
    <w:p>
      <w:pPr>
        <w:spacing w:after="0" w:line="239" w:lineRule="exact"/>
        <w:rPr>
          <w:sz w:val="20"/>
          <w:szCs w:val="20"/>
          <w:color w:val="auto"/>
        </w:rPr>
      </w:pPr>
    </w:p>
    <w:p>
      <w:pPr>
        <w:jc w:val="both"/>
        <w:ind w:firstLine="1505"/>
        <w:spacing w:after="0" w:line="279" w:lineRule="auto"/>
        <w:tabs>
          <w:tab w:leader="none" w:pos="1857"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Executive’s employment will be terminated at the earliest to occur of the following during the Term: (i) the date of Executive’s death; (ii) the date on which the Company provides written notice to Executive of his termination of employment for “Cause” (as defined in the Fourth Amended and Restated Agreement of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7" w:name="page78"/>
    <w:bookmarkEnd w:id="77"/>
    <w:p>
      <w:pPr>
        <w:jc w:val="both"/>
        <w:spacing w:after="0" w:line="359" w:lineRule="auto"/>
        <w:rPr>
          <w:sz w:val="20"/>
          <w:szCs w:val="20"/>
          <w:color w:val="auto"/>
        </w:rPr>
      </w:pPr>
      <w:r>
        <w:rPr>
          <w:rFonts w:ascii="Arial" w:cs="Arial" w:eastAsia="Arial" w:hAnsi="Arial"/>
          <w:sz w:val="16"/>
          <w:szCs w:val="16"/>
          <w:color w:val="auto"/>
        </w:rPr>
        <w:t>Partnership of PWP Professional Partners LP (the “</w:t>
      </w:r>
      <w:r>
        <w:rPr>
          <w:rFonts w:ascii="Arial" w:cs="Arial" w:eastAsia="Arial" w:hAnsi="Arial"/>
          <w:sz w:val="16"/>
          <w:szCs w:val="16"/>
          <w:u w:val="single" w:color="auto"/>
          <w:color w:val="auto"/>
        </w:rPr>
        <w:t>Limited Partnership Agreement</w:t>
      </w:r>
      <w:r>
        <w:rPr>
          <w:rFonts w:ascii="Arial" w:cs="Arial" w:eastAsia="Arial" w:hAnsi="Arial"/>
          <w:sz w:val="16"/>
          <w:szCs w:val="16"/>
          <w:color w:val="auto"/>
        </w:rPr>
        <w:t>”); or (iii) the date which is ninety (90) days following the date on which either Executive or the Company provides written notice to the other party of his voluntary termination of employment or termination other than for Cause.</w:t>
      </w:r>
    </w:p>
    <w:p>
      <w:pPr>
        <w:spacing w:after="0" w:line="125" w:lineRule="exact"/>
        <w:rPr>
          <w:sz w:val="20"/>
          <w:szCs w:val="20"/>
          <w:color w:val="auto"/>
        </w:rPr>
      </w:pPr>
    </w:p>
    <w:p>
      <w:pPr>
        <w:jc w:val="both"/>
        <w:ind w:firstLine="1505"/>
        <w:spacing w:after="0" w:line="286" w:lineRule="auto"/>
        <w:tabs>
          <w:tab w:leader="none" w:pos="1857" w:val="left"/>
        </w:tabs>
        <w:numPr>
          <w:ilvl w:val="2"/>
          <w:numId w:val="46"/>
        </w:numPr>
        <w:rPr>
          <w:rFonts w:ascii="Arial" w:cs="Arial" w:eastAsia="Arial" w:hAnsi="Arial"/>
          <w:sz w:val="17"/>
          <w:szCs w:val="17"/>
          <w:color w:val="auto"/>
        </w:rPr>
      </w:pPr>
      <w:r>
        <w:rPr>
          <w:rFonts w:ascii="Arial" w:cs="Arial" w:eastAsia="Arial" w:hAnsi="Arial"/>
          <w:sz w:val="17"/>
          <w:szCs w:val="17"/>
          <w:color w:val="auto"/>
        </w:rPr>
        <w:t>Effective as of the date of his termination of employment, Executive will not be entitled to any further compensation or benefits pursuant to this Agreement other than, in each case if applicable as of the date of termination: (i) any accrued but unpaid Base Salary (payable as provided in Section 3(a) hereof); (ii) any amounts payable with respect to the Management RSU Award in accordance with the terms of the applicable individual award agreements; (iii) in the case of a termination of employment by the Company other than for Cause, an amount in cash equal to any annual discretionary performance bonus payable to Executive in respect of any previously completed fiscal year of the Company in accordance with Section 3(b) hereof but unpaid as of the date of termination, payable on the same date on which annual bonuses are paid to other similarly-situated officers of the Company in respect of such fiscal year; (iv) reimbursement for any expenses properly incurred and reported by Executive prior to the date of termination in accordance with Section 4(c) hereof, payable on the Company’s first regularly scheduled payroll date which occurs at least ten (10) business days after the date of termination; and (v) vested employee benefits, if any, to which Executive may be entitled under the Company’s employee benefit plans described in Sections 4(a) and 4(b) hereof as of the date of termination.</w:t>
      </w:r>
    </w:p>
    <w:p>
      <w:pPr>
        <w:spacing w:after="0" w:line="181" w:lineRule="exact"/>
        <w:rPr>
          <w:rFonts w:ascii="Arial" w:cs="Arial" w:eastAsia="Arial" w:hAnsi="Arial"/>
          <w:sz w:val="17"/>
          <w:szCs w:val="17"/>
          <w:color w:val="auto"/>
        </w:rPr>
      </w:pPr>
    </w:p>
    <w:p>
      <w:pPr>
        <w:ind w:right="20" w:firstLine="1505"/>
        <w:spacing w:after="0" w:line="293" w:lineRule="auto"/>
        <w:tabs>
          <w:tab w:leader="none" w:pos="1857" w:val="left"/>
        </w:tabs>
        <w:numPr>
          <w:ilvl w:val="2"/>
          <w:numId w:val="46"/>
        </w:numPr>
        <w:rPr>
          <w:rFonts w:ascii="Arial" w:cs="Arial" w:eastAsia="Arial" w:hAnsi="Arial"/>
          <w:sz w:val="18"/>
          <w:szCs w:val="18"/>
          <w:color w:val="auto"/>
        </w:rPr>
      </w:pPr>
      <w:r>
        <w:rPr>
          <w:rFonts w:ascii="Arial" w:cs="Arial" w:eastAsia="Arial" w:hAnsi="Arial"/>
          <w:sz w:val="18"/>
          <w:szCs w:val="18"/>
          <w:color w:val="auto"/>
        </w:rPr>
        <w:t>Upon a termination of employment for any reason, unless requested otherwise by the Company, Executive shall be deemed to have resigned from each position (if any) that Executive then holds as an officer or director of the Company or any of its affiliates.</w:t>
      </w:r>
    </w:p>
    <w:p>
      <w:pPr>
        <w:spacing w:after="0" w:line="169" w:lineRule="exact"/>
        <w:rPr>
          <w:rFonts w:ascii="Arial" w:cs="Arial" w:eastAsia="Arial" w:hAnsi="Arial"/>
          <w:sz w:val="18"/>
          <w:szCs w:val="18"/>
          <w:color w:val="auto"/>
        </w:rPr>
      </w:pPr>
    </w:p>
    <w:p>
      <w:pPr>
        <w:ind w:left="1120" w:hanging="363"/>
        <w:spacing w:after="0"/>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Restrictive Covenants; Permitted Disclosures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505"/>
        <w:spacing w:after="0" w:line="275" w:lineRule="auto"/>
        <w:tabs>
          <w:tab w:leader="none" w:pos="1857" w:val="left"/>
        </w:tabs>
        <w:numPr>
          <w:ilvl w:val="2"/>
          <w:numId w:val="47"/>
        </w:numPr>
        <w:rPr>
          <w:rFonts w:ascii="Arial" w:cs="Arial" w:eastAsia="Arial" w:hAnsi="Arial"/>
          <w:sz w:val="18"/>
          <w:szCs w:val="18"/>
          <w:color w:val="auto"/>
        </w:rPr>
      </w:pPr>
      <w:r>
        <w:rPr>
          <w:rFonts w:ascii="Arial" w:cs="Arial" w:eastAsia="Arial" w:hAnsi="Arial"/>
          <w:sz w:val="18"/>
          <w:szCs w:val="18"/>
          <w:color w:val="auto"/>
        </w:rPr>
        <w:t>Executive acknowledges and agrees that Executive is bound by certain restrictive covenants in connection with Executive’s employment with the Company and its affiliates, including, without limitation, confidentiality, non-solicitation, non-competition and non-disparagement covenants (as applicable, the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 The Restrictive Covenants are incorporated by reference as if fully set forth herein and are hereby re-executed and reaffirmed.</w:t>
      </w:r>
    </w:p>
    <w:p>
      <w:pPr>
        <w:spacing w:after="0" w:line="185" w:lineRule="exact"/>
        <w:rPr>
          <w:rFonts w:ascii="Arial" w:cs="Arial" w:eastAsia="Arial" w:hAnsi="Arial"/>
          <w:sz w:val="18"/>
          <w:szCs w:val="18"/>
          <w:color w:val="auto"/>
        </w:rPr>
      </w:pPr>
    </w:p>
    <w:p>
      <w:pPr>
        <w:jc w:val="both"/>
        <w:ind w:firstLine="1505"/>
        <w:spacing w:after="0" w:line="299" w:lineRule="auto"/>
        <w:tabs>
          <w:tab w:leader="none" w:pos="1857" w:val="left"/>
        </w:tabs>
        <w:numPr>
          <w:ilvl w:val="2"/>
          <w:numId w:val="47"/>
        </w:numPr>
        <w:rPr>
          <w:rFonts w:ascii="Arial" w:cs="Arial" w:eastAsia="Arial" w:hAnsi="Arial"/>
          <w:sz w:val="16"/>
          <w:szCs w:val="16"/>
          <w:color w:val="auto"/>
        </w:rPr>
      </w:pPr>
      <w:r>
        <w:rPr>
          <w:rFonts w:ascii="Arial" w:cs="Arial" w:eastAsia="Arial" w:hAnsi="Arial"/>
          <w:sz w:val="16"/>
          <w:szCs w:val="16"/>
          <w:color w:val="auto"/>
        </w:rPr>
        <w:t>Pursuant to 18 U.S.C. §1833(b), Executive will not be held criminally or civilly liable under any federal or state trade secret law for the disclosure of a trade secret of the Company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his attorney and use the trade secret information in the court proceeding, if Executive</w:t>
      </w:r>
    </w:p>
    <w:p>
      <w:pPr>
        <w:spacing w:after="0" w:line="2" w:lineRule="exact"/>
        <w:rPr>
          <w:rFonts w:ascii="Arial" w:cs="Arial" w:eastAsia="Arial" w:hAnsi="Arial"/>
          <w:sz w:val="16"/>
          <w:szCs w:val="16"/>
          <w:color w:val="auto"/>
        </w:rPr>
      </w:pPr>
    </w:p>
    <w:p>
      <w:pPr>
        <w:jc w:val="both"/>
        <w:ind w:firstLine="8"/>
        <w:spacing w:after="0" w:line="292" w:lineRule="auto"/>
        <w:tabs>
          <w:tab w:leader="none" w:pos="273" w:val="left"/>
        </w:tabs>
        <w:numPr>
          <w:ilvl w:val="0"/>
          <w:numId w:val="48"/>
        </w:numPr>
        <w:rPr>
          <w:rFonts w:ascii="Arial" w:cs="Arial" w:eastAsia="Arial" w:hAnsi="Arial"/>
          <w:sz w:val="17"/>
          <w:szCs w:val="17"/>
          <w:color w:val="auto"/>
        </w:rPr>
      </w:pPr>
      <w:r>
        <w:rPr>
          <w:rFonts w:ascii="Arial" w:cs="Arial" w:eastAsia="Arial" w:hAnsi="Arial"/>
          <w:sz w:val="17"/>
          <w:szCs w:val="17"/>
          <w:color w:val="auto"/>
        </w:rPr>
        <w:t>files any document containing the trade secret under seal, and (2) does not disclose the trade secret, except pursuant to court order. Nothing in this Agreement is intended to conflict with 18 U.S.C. §1833(b) or create liability for disclosures of trade secrets that are expressly allowed by such section. Further, nothing in any agreement Executive has with the Company or any of its affiliates will prohibit or restrict Executive from making a protected disclosure or any other voluntary disclosure of information or documents related to any possible violation of law to any governmental agency or legislative body, or any self-regulatory organization, in each case, without advance notice to the Company or any of its affiliates.</w:t>
      </w:r>
    </w:p>
    <w:p>
      <w:pPr>
        <w:spacing w:after="0" w:line="174" w:lineRule="exact"/>
        <w:rPr>
          <w:sz w:val="20"/>
          <w:szCs w:val="20"/>
          <w:color w:val="auto"/>
        </w:rPr>
      </w:pPr>
    </w:p>
    <w:p>
      <w:pPr>
        <w:ind w:firstLine="757"/>
        <w:spacing w:after="0" w:line="293" w:lineRule="auto"/>
        <w:tabs>
          <w:tab w:leader="none" w:pos="1109"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Nothing in this Agreement or the Limited Partnership Agreement shall prevent Executive from holding as an investment by way of shares or other securities not more than 1% of the total issued share capital of any company listed on a recognized stock exchange.</w:t>
      </w:r>
    </w:p>
    <w:p>
      <w:pPr>
        <w:spacing w:after="0" w:line="170" w:lineRule="exact"/>
        <w:rPr>
          <w:sz w:val="20"/>
          <w:szCs w:val="20"/>
          <w:color w:val="auto"/>
        </w:rPr>
      </w:pPr>
    </w:p>
    <w:p>
      <w:pPr>
        <w:jc w:val="both"/>
        <w:ind w:firstLine="757"/>
        <w:spacing w:after="0" w:line="271" w:lineRule="auto"/>
        <w:tabs>
          <w:tab w:leader="none" w:pos="113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and all of the terms and conditions hereof, will bind the Company and its successors and assigns and will bind Executive and Executive’s heirs, executors and administrators. No transfer or assignment of this Agreement will release the Company from any obligation to Executive hereunder. Neither this Agreement, nor any of the Company’s rights or obligations hereunder, may be assigned or otherwise subject to hypothecation by Executive, and any such attempted assignment or hypothecation will be null and void. The Company may assign any of its rights hereunder, in whole or in part, to any successor or assign in connection with the sale of all or substantially all of the Company’s assets or equity interests or in connection with any merger, acquisition and/or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8" w:name="page79"/>
    <w:bookmarkEnd w:id="78"/>
    <w:p>
      <w:pPr>
        <w:ind w:left="363" w:hanging="363"/>
        <w:spacing w:after="0"/>
        <w:tabs>
          <w:tab w:leader="none" w:pos="36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757" w:firstLine="1505"/>
        <w:spacing w:after="0" w:line="287" w:lineRule="auto"/>
        <w:tabs>
          <w:tab w:leader="none" w:pos="1101"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Company and Executive mutually consent to the resolution by final and binding arbitration of any and all disputes, controversies or claims between them including, without limitation, (i) any dispute, controversy or claim related in any way to Executive’s employment with the Company or any of its affiliates or any termination thereof, (ii) any dispute, controversy or claim of alleged discrimination, harassment or retaliation (including, but not limited to, claims based on race, sex, sexual preference, religion, national origin, age, marital or family status, medical condition, handicap or disability) and (iii) any claim arising out of or relating to this Agreement or the breach thereof (collectively, “</w:t>
      </w:r>
      <w:r>
        <w:rPr>
          <w:rFonts w:ascii="Arial" w:cs="Arial" w:eastAsia="Arial" w:hAnsi="Arial"/>
          <w:sz w:val="17"/>
          <w:szCs w:val="17"/>
          <w:u w:val="single" w:color="auto"/>
          <w:color w:val="auto"/>
        </w:rPr>
        <w:t>Disputes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herein will require arbitration of any claim or charge which, by law, cannot be the subject of a compulsory arbitration agreement. All Disputes will be resolved exclusively by arbitration administered by the American Arbitration Association (“</w:t>
      </w:r>
      <w:r>
        <w:rPr>
          <w:rFonts w:ascii="Arial" w:cs="Arial" w:eastAsia="Arial" w:hAnsi="Arial"/>
          <w:sz w:val="17"/>
          <w:szCs w:val="17"/>
          <w:u w:val="single" w:color="auto"/>
          <w:color w:val="auto"/>
        </w:rPr>
        <w:t>AAA</w:t>
      </w:r>
      <w:r>
        <w:rPr>
          <w:rFonts w:ascii="Arial" w:cs="Arial" w:eastAsia="Arial" w:hAnsi="Arial"/>
          <w:sz w:val="17"/>
          <w:szCs w:val="17"/>
          <w:color w:val="auto"/>
        </w:rPr>
        <w:t>”) under the AAA Employment Arbitration Rules and Mediation Procedures then in effect (the “</w:t>
      </w:r>
      <w:r>
        <w:rPr>
          <w:rFonts w:ascii="Arial" w:cs="Arial" w:eastAsia="Arial" w:hAnsi="Arial"/>
          <w:sz w:val="17"/>
          <w:szCs w:val="17"/>
          <w:u w:val="single" w:color="auto"/>
          <w:color w:val="auto"/>
        </w:rPr>
        <w:t>AAA Rules</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left="-757" w:firstLine="1505"/>
        <w:spacing w:after="0" w:line="311" w:lineRule="auto"/>
        <w:tabs>
          <w:tab w:leader="none" w:pos="1101"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Any arbitration proceeding brought under this Agreement will be conducted in New York, New York or another mutually agreed upon location before one arbitrator selected in accordance with the AAA Rules. Each party to any Dispute will pay its own expenses, including attorneys’ fees. The arbitrator will be empowered to award either party any remedy at law or in equity that the party would otherwise have been entitled to had the matter been litigated in a court of competent jurisdiction, including, but not limited to, general, special, and punitive damages, injunctive relief, costs and attorney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authority to award any remedy is subject to whatever limitations, if any, exist in the applicable law on such remedies. The arbitrator will issue a decision or award in writing, stating the essential findings of fact and conclusions of law.</w:t>
      </w:r>
    </w:p>
    <w:p>
      <w:pPr>
        <w:spacing w:after="0" w:line="162" w:lineRule="exact"/>
        <w:rPr>
          <w:rFonts w:ascii="Arial" w:cs="Arial" w:eastAsia="Arial" w:hAnsi="Arial"/>
          <w:sz w:val="16"/>
          <w:szCs w:val="16"/>
          <w:color w:val="auto"/>
        </w:rPr>
      </w:pPr>
    </w:p>
    <w:p>
      <w:pPr>
        <w:jc w:val="both"/>
        <w:ind w:left="-757" w:firstLine="1505"/>
        <w:spacing w:after="0" w:line="329" w:lineRule="auto"/>
        <w:tabs>
          <w:tab w:leader="none" w:pos="1101"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judgment on or enforcement of any award, including an award providing for interim or permanent injunctive relief, rendered by the arbitrator may be entered, enforced or appealed in any court of competent jurisdiction. Any arbitration proceedings, decision or award rendered hereunder, and the validity, effect and interpretation of this arbitration provision, will be governed by the Federal Arbitration Act, 9 U.S.C. §1 et seq.</w:t>
      </w:r>
    </w:p>
    <w:p>
      <w:pPr>
        <w:spacing w:after="0" w:line="147" w:lineRule="exact"/>
        <w:rPr>
          <w:rFonts w:ascii="Arial" w:cs="Arial" w:eastAsia="Arial" w:hAnsi="Arial"/>
          <w:sz w:val="16"/>
          <w:szCs w:val="16"/>
          <w:color w:val="auto"/>
        </w:rPr>
      </w:pPr>
    </w:p>
    <w:p>
      <w:pPr>
        <w:jc w:val="both"/>
        <w:ind w:left="-757" w:firstLine="1505"/>
        <w:spacing w:after="0" w:line="309" w:lineRule="auto"/>
        <w:tabs>
          <w:tab w:leader="none" w:pos="1101" w:val="left"/>
        </w:tabs>
        <w:numPr>
          <w:ilvl w:val="1"/>
          <w:numId w:val="51"/>
        </w:numPr>
        <w:rPr>
          <w:rFonts w:ascii="Arial" w:cs="Arial" w:eastAsia="Arial" w:hAnsi="Arial"/>
          <w:sz w:val="16"/>
          <w:szCs w:val="16"/>
          <w:color w:val="auto"/>
        </w:rPr>
      </w:pPr>
      <w:r>
        <w:rPr>
          <w:rFonts w:ascii="Arial" w:cs="Arial" w:eastAsia="Arial" w:hAnsi="Arial"/>
          <w:sz w:val="16"/>
          <w:szCs w:val="16"/>
          <w:color w:val="auto"/>
        </w:rPr>
        <w:t>It is part of the essence of this Agreement that any Disputes hereunder will be resolved expeditiously and as confidentially as possible. Accordingly, the Company and Executive agree that all proceedings in any arbitration will be conducted under seal and kept strictly confidential. In that regard, no party will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 Before making any disclosure permitted by the preceding sentence, the party intending to make such disclosure will give the other party reasonable written notice of the intended disclosure and afford such other party a reasonable opportunity to protect its interests.</w:t>
      </w:r>
    </w:p>
    <w:p>
      <w:pPr>
        <w:spacing w:after="0" w:line="164" w:lineRule="exact"/>
        <w:rPr>
          <w:rFonts w:ascii="Arial" w:cs="Arial" w:eastAsia="Arial" w:hAnsi="Arial"/>
          <w:sz w:val="16"/>
          <w:szCs w:val="16"/>
          <w:color w:val="auto"/>
        </w:rPr>
      </w:pPr>
    </w:p>
    <w:p>
      <w:pPr>
        <w:ind w:left="363" w:hanging="363"/>
        <w:spacing w:after="0"/>
        <w:tabs>
          <w:tab w:leader="none" w:pos="36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757" w:firstLine="1505"/>
        <w:spacing w:after="0" w:line="292" w:lineRule="auto"/>
        <w:tabs>
          <w:tab w:leader="none" w:pos="1114"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claims, demands, waivers and other communications hereunder shall be in writing and shall be deemed to have been given: (i) when delivered by hand (with written confirmation of receipt); (ii) when received by the addressee if sent by a nationally recognized overnight courier (receipt requested); (iii) on the date sent by facsimile or e-mail; or (iv)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313055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79" w:name="page80"/>
    <w:bookmarkEnd w:id="79"/>
    <w:p>
      <w:pPr>
        <w:ind w:left="380"/>
        <w:spacing w:after="0"/>
        <w:rPr>
          <w:sz w:val="20"/>
          <w:szCs w:val="20"/>
          <w:color w:val="auto"/>
        </w:rPr>
      </w:pPr>
      <w:r>
        <w:rPr>
          <w:rFonts w:ascii="Arial" w:cs="Arial" w:eastAsia="Arial" w:hAnsi="Arial"/>
          <w:sz w:val="18"/>
          <w:szCs w:val="18"/>
          <w:color w:val="auto"/>
        </w:rPr>
        <w:t>To the Company:</w:t>
      </w:r>
    </w:p>
    <w:p>
      <w:pPr>
        <w:spacing w:after="0" w:line="2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Perella Weinberg Partners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767 Fifth Avenue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New York, NY 10153</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Telephone: (212) 287-3200</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Email: vshendelman@pwpartners.com</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Executive:</w:t>
      </w:r>
    </w:p>
    <w:p>
      <w:pPr>
        <w:spacing w:after="0" w:line="2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the address shown in the Company’s personnel records</w:t>
      </w:r>
    </w:p>
    <w:p>
      <w:pPr>
        <w:spacing w:after="0" w:line="239" w:lineRule="exact"/>
        <w:rPr>
          <w:sz w:val="20"/>
          <w:szCs w:val="20"/>
          <w:color w:val="auto"/>
        </w:rPr>
      </w:pPr>
    </w:p>
    <w:p>
      <w:pPr>
        <w:jc w:val="both"/>
        <w:ind w:left="-1120" w:firstLine="1505"/>
        <w:spacing w:after="0" w:line="275" w:lineRule="auto"/>
        <w:tabs>
          <w:tab w:leader="none" w:pos="73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exhibits hereto) constitutes the sole and entire agreement of the parties to this Agreement with respect to the subject matter contained herein and therein, and, effective as of the Effective Date, supersedes all prior and contemporaneous representations, warranties, understandings and agreements, both written and oral, with respect to such subject matter, including any employment agreement term sheets or letters of intent previously exchanged by the parties.</w:t>
      </w:r>
    </w:p>
    <w:p>
      <w:pPr>
        <w:spacing w:after="0" w:line="185" w:lineRule="exact"/>
        <w:rPr>
          <w:rFonts w:ascii="Arial" w:cs="Arial" w:eastAsia="Arial" w:hAnsi="Arial"/>
          <w:sz w:val="18"/>
          <w:szCs w:val="18"/>
          <w:color w:val="auto"/>
        </w:rPr>
      </w:pPr>
    </w:p>
    <w:p>
      <w:pPr>
        <w:ind w:left="740" w:hanging="355"/>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2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The headings in this Agreement are for reference only and shall not affect the interpretation of this Agreement.</w:t>
      </w:r>
    </w:p>
    <w:p>
      <w:pPr>
        <w:spacing w:after="0" w:line="239" w:lineRule="exact"/>
        <w:rPr>
          <w:sz w:val="20"/>
          <w:szCs w:val="20"/>
          <w:color w:val="auto"/>
        </w:rPr>
      </w:pPr>
    </w:p>
    <w:p>
      <w:pPr>
        <w:jc w:val="both"/>
        <w:ind w:left="-1120" w:firstLine="1505"/>
        <w:spacing w:after="0" w:line="275" w:lineRule="auto"/>
        <w:tabs>
          <w:tab w:leader="none" w:pos="75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 Waiver</w:t>
      </w:r>
      <w:r>
        <w:rPr>
          <w:rFonts w:ascii="Arial" w:cs="Arial" w:eastAsia="Arial" w:hAnsi="Arial"/>
          <w:sz w:val="18"/>
          <w:szCs w:val="18"/>
          <w:color w:val="auto"/>
        </w:rPr>
        <w:t>. This Agreement may only be amended, modified or supplemented by an agreement in writing signed by all of the parties hereto.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5" w:lineRule="exact"/>
        <w:rPr>
          <w:rFonts w:ascii="Arial" w:cs="Arial" w:eastAsia="Arial" w:hAnsi="Arial"/>
          <w:sz w:val="18"/>
          <w:szCs w:val="18"/>
          <w:color w:val="auto"/>
        </w:rPr>
      </w:pPr>
    </w:p>
    <w:p>
      <w:pPr>
        <w:ind w:left="-1120" w:firstLine="1505"/>
        <w:spacing w:after="0" w:line="293" w:lineRule="auto"/>
        <w:tabs>
          <w:tab w:leader="none" w:pos="73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England and Wales, without giving effect to any choice or conflict of law provision or rule (whether of England or Wales or any other jurisdiction).</w:t>
      </w:r>
    </w:p>
    <w:p>
      <w:pPr>
        <w:spacing w:after="0" w:line="169" w:lineRule="exact"/>
        <w:rPr>
          <w:rFonts w:ascii="Arial" w:cs="Arial" w:eastAsia="Arial" w:hAnsi="Arial"/>
          <w:sz w:val="18"/>
          <w:szCs w:val="18"/>
          <w:color w:val="auto"/>
        </w:rPr>
      </w:pPr>
    </w:p>
    <w:p>
      <w:pPr>
        <w:ind w:left="-1120" w:firstLine="1505"/>
        <w:spacing w:after="0" w:line="293" w:lineRule="auto"/>
        <w:tabs>
          <w:tab w:leader="none" w:pos="73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Survivorship</w:t>
      </w:r>
      <w:r>
        <w:rPr>
          <w:rFonts w:ascii="Arial" w:cs="Arial" w:eastAsia="Arial" w:hAnsi="Arial"/>
          <w:sz w:val="18"/>
          <w:szCs w:val="18"/>
          <w:color w:val="auto"/>
        </w:rPr>
        <w:t>. The provisions of this Agreement necessary to carry out the intention of the parties as expressed herein will survive the termination or expiration of this Agreement.</w:t>
      </w:r>
    </w:p>
    <w:p>
      <w:pPr>
        <w:spacing w:after="0" w:line="169" w:lineRule="exact"/>
        <w:rPr>
          <w:rFonts w:ascii="Arial" w:cs="Arial" w:eastAsia="Arial" w:hAnsi="Arial"/>
          <w:sz w:val="18"/>
          <w:szCs w:val="18"/>
          <w:color w:val="auto"/>
        </w:rPr>
      </w:pPr>
    </w:p>
    <w:p>
      <w:pPr>
        <w:jc w:val="both"/>
        <w:ind w:left="-1120" w:firstLine="1505"/>
        <w:spacing w:after="0" w:line="275" w:lineRule="auto"/>
        <w:tabs>
          <w:tab w:leader="none" w:pos="76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acknowledge that this Agreement is the result of arm’s-length negotiations between sophisticated parties, each afforded representation by legal counsel. Each and every provision of this Agreement will be construed as though both parties participated equally in the drafting of the same, and any rule of construction that a document will be construed against the drafting party will not be applicable to this Agreement.</w:t>
      </w:r>
    </w:p>
    <w:p>
      <w:pPr>
        <w:spacing w:after="0" w:line="185" w:lineRule="exact"/>
        <w:rPr>
          <w:rFonts w:ascii="Arial" w:cs="Arial" w:eastAsia="Arial" w:hAnsi="Arial"/>
          <w:sz w:val="18"/>
          <w:szCs w:val="18"/>
          <w:color w:val="auto"/>
        </w:rPr>
      </w:pPr>
    </w:p>
    <w:p>
      <w:pPr>
        <w:jc w:val="both"/>
        <w:ind w:left="-1120" w:right="20" w:firstLine="1505"/>
        <w:spacing w:after="0" w:line="279" w:lineRule="auto"/>
        <w:tabs>
          <w:tab w:leader="none" w:pos="76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compensation payable to Executive pursuant to this Agreement will be subject to any applicable statutory withholding taxes and such other taxes as are required or permitted under applicable law and such other deductions or withholdings as authorized by Executive to be collected with respect to compensation paid to Executive.</w:t>
      </w:r>
    </w:p>
    <w:p>
      <w:pPr>
        <w:spacing w:after="0" w:line="182" w:lineRule="exact"/>
        <w:rPr>
          <w:rFonts w:ascii="Arial" w:cs="Arial" w:eastAsia="Arial" w:hAnsi="Arial"/>
          <w:sz w:val="18"/>
          <w:szCs w:val="18"/>
          <w:color w:val="auto"/>
        </w:rPr>
      </w:pPr>
    </w:p>
    <w:p>
      <w:pPr>
        <w:jc w:val="both"/>
        <w:ind w:left="-1120" w:firstLine="1505"/>
        <w:spacing w:after="0" w:line="279" w:lineRule="auto"/>
        <w:tabs>
          <w:tab w:leader="none" w:pos="75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82" w:lineRule="exact"/>
        <w:rPr>
          <w:rFonts w:ascii="Arial" w:cs="Arial" w:eastAsia="Arial" w:hAnsi="Arial"/>
          <w:sz w:val="18"/>
          <w:szCs w:val="18"/>
          <w:color w:val="auto"/>
        </w:rPr>
      </w:pPr>
    </w:p>
    <w:p>
      <w:pPr>
        <w:ind w:left="-1120" w:firstLine="1505"/>
        <w:spacing w:after="0" w:line="293" w:lineRule="auto"/>
        <w:tabs>
          <w:tab w:leader="none" w:pos="75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intent of the parties is that payments and benefits under this Agreement comply with, or be exempt from, Section 409A of the U.S. Internal Revenue Code of 1986, as amended (“</w:t>
      </w:r>
      <w:r>
        <w:rPr>
          <w:rFonts w:ascii="Arial" w:cs="Arial" w:eastAsia="Arial" w:hAnsi="Arial"/>
          <w:sz w:val="18"/>
          <w:szCs w:val="18"/>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309880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80" w:name="page81"/>
    <w:bookmarkEnd w:id="80"/>
    <w:p>
      <w:pPr>
        <w:jc w:val="both"/>
        <w:spacing w:after="0" w:line="303" w:lineRule="auto"/>
        <w:rPr>
          <w:sz w:val="20"/>
          <w:szCs w:val="20"/>
          <w:color w:val="auto"/>
        </w:rPr>
      </w:pPr>
      <w:r>
        <w:rPr>
          <w:rFonts w:ascii="Arial" w:cs="Arial" w:eastAsia="Arial" w:hAnsi="Arial"/>
          <w:sz w:val="16"/>
          <w:szCs w:val="16"/>
          <w:u w:val="single" w:color="auto"/>
          <w:color w:val="auto"/>
        </w:rPr>
        <w:t>409A of the Code</w:t>
      </w:r>
      <w:r>
        <w:rPr>
          <w:rFonts w:ascii="Arial" w:cs="Arial" w:eastAsia="Arial" w:hAnsi="Arial"/>
          <w:sz w:val="16"/>
          <w:szCs w:val="16"/>
          <w:color w:val="auto"/>
        </w:rPr>
        <w:t>”), to the extent subject thereto, and accordingly, to the maximum extent permitted, this Agreement shall be interpreted to be in compliance therewith. Notwithstanding anything contained herein to the contrary, Executive will not be considered to have terminated employment with the Company for purposes of any payments under this Agreement which are subject to Section 409A of the Code until Executive would be considered to have incurred a “separation from service” from the Company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or any other arrangement between Executive and the Company and its affiliates during the six (6) month period immediately following Executive’s separation from service shall instead be paid on the first business day after the date that is six (6) months following Executive’s separation from service (or, if earlier, Executive’s date of death).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of the Code and makes no undertaking to preclude Section 409A of the Code from applying to any such payment. Executive will be solely responsible for the payment of any taxes and penalties incurred under Section 409A of the Code.</w:t>
      </w:r>
    </w:p>
    <w:p>
      <w:pPr>
        <w:spacing w:after="0" w:line="174" w:lineRule="exact"/>
        <w:rPr>
          <w:sz w:val="20"/>
          <w:szCs w:val="20"/>
          <w:color w:val="auto"/>
        </w:rPr>
      </w:pPr>
    </w:p>
    <w:p>
      <w:pPr>
        <w:jc w:val="both"/>
        <w:ind w:firstLine="757"/>
        <w:spacing w:after="0" w:line="279" w:lineRule="auto"/>
        <w:tabs>
          <w:tab w:leader="none" w:pos="112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Executive Representation and Acceptance</w:t>
      </w:r>
      <w:r>
        <w:rPr>
          <w:rFonts w:ascii="Arial" w:cs="Arial" w:eastAsia="Arial" w:hAnsi="Arial"/>
          <w:sz w:val="18"/>
          <w:szCs w:val="18"/>
          <w:color w:val="auto"/>
        </w:rPr>
        <w:t>. By signing this Agreement, Executive hereby represents that Executive is not currently under any contractual obligation to work for another employer and that Executive is not restricted by any agreement or arrangement from entering into this Agreement and performing Executive’s duties hereunder.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is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1" w:name="page82"/>
    <w:bookmarkEnd w:id="81"/>
    <w:p>
      <w:pPr>
        <w:ind w:firstLine="749"/>
        <w:spacing w:after="0" w:line="29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and intending to be legally bound thereby, the parties hereto have executed and delivered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and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PERELLA WEINBERG PARTNERS</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Vladimir Shendelman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Vladimir Shendelman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Partner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PERELLA WEINBERG UK LIMITED</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Vladimir Shendelman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Vladimir Shendelman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Partner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Dietrich Becker</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Dietrich Becker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10.4</w:t>
      </w:r>
    </w:p>
    <w:p>
      <w:pPr>
        <w:spacing w:after="0" w:line="25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2021 OMNIBUS INCENTIVE PLAN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DIRECTOR 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(ONE-TIME AWARD)</w:t>
      </w:r>
    </w:p>
    <w:p>
      <w:pPr>
        <w:spacing w:after="0" w:line="251" w:lineRule="exact"/>
        <w:rPr>
          <w:sz w:val="20"/>
          <w:szCs w:val="20"/>
          <w:color w:val="auto"/>
        </w:rPr>
      </w:pPr>
    </w:p>
    <w:p>
      <w:pPr>
        <w:ind w:right="160" w:firstLine="1497"/>
        <w:spacing w:after="0" w:line="319" w:lineRule="auto"/>
        <w:rPr>
          <w:sz w:val="20"/>
          <w:szCs w:val="20"/>
          <w:color w:val="auto"/>
        </w:rPr>
      </w:pPr>
      <w:r>
        <w:rPr>
          <w:rFonts w:ascii="Arial" w:cs="Arial" w:eastAsia="Arial" w:hAnsi="Arial"/>
          <w:sz w:val="16"/>
          <w:szCs w:val="16"/>
          <w:color w:val="auto"/>
        </w:rPr>
        <w:t>This Director Restricted Stock Unit Award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###GRANT_DATE### (the “</w:t>
      </w:r>
      <w:r>
        <w:rPr>
          <w:rFonts w:ascii="Arial" w:cs="Arial" w:eastAsia="Arial" w:hAnsi="Arial"/>
          <w:sz w:val="16"/>
          <w:szCs w:val="16"/>
          <w:u w:val="single" w:color="auto"/>
          <w:color w:val="auto"/>
        </w:rPr>
        <w:t>Grant Date</w:t>
      </w:r>
      <w:r>
        <w:rPr>
          <w:rFonts w:ascii="Arial" w:cs="Arial" w:eastAsia="Arial" w:hAnsi="Arial"/>
          <w:sz w:val="16"/>
          <w:szCs w:val="16"/>
          <w:color w:val="auto"/>
        </w:rPr>
        <w:t>”), is made by and between Perella Weinberg Partners (the “</w:t>
      </w:r>
      <w:r>
        <w:rPr>
          <w:rFonts w:ascii="Arial" w:cs="Arial" w:eastAsia="Arial" w:hAnsi="Arial"/>
          <w:sz w:val="16"/>
          <w:szCs w:val="16"/>
          <w:u w:val="single" w:color="auto"/>
          <w:color w:val="auto"/>
        </w:rPr>
        <w:t>Company</w:t>
      </w:r>
      <w:r>
        <w:rPr>
          <w:rFonts w:ascii="Arial" w:cs="Arial" w:eastAsia="Arial" w:hAnsi="Arial"/>
          <w:sz w:val="16"/>
          <w:szCs w:val="16"/>
          <w:color w:val="auto"/>
        </w:rPr>
        <w:t>”) and ###PARTICIPANT_NAME### (the “</w:t>
      </w:r>
      <w:r>
        <w:rPr>
          <w:rFonts w:ascii="Arial" w:cs="Arial" w:eastAsia="Arial" w:hAnsi="Arial"/>
          <w:sz w:val="16"/>
          <w:szCs w:val="16"/>
          <w:u w:val="single" w:color="auto"/>
          <w:color w:val="auto"/>
        </w:rPr>
        <w:t>Grantee</w:t>
      </w:r>
      <w:r>
        <w:rPr>
          <w:rFonts w:ascii="Arial" w:cs="Arial" w:eastAsia="Arial" w:hAnsi="Arial"/>
          <w:sz w:val="16"/>
          <w:szCs w:val="16"/>
          <w:color w:val="auto"/>
        </w:rPr>
        <w:t>”). Capitalized terms used but not defined herein shall have the respective meanings ascribed to them in the Perella Weinberg Partners 2021 Omnibus Incentive Plan (as may be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Where the context permits, references to “the Company” shall include the Company and any successor to the Company.</w:t>
      </w:r>
    </w:p>
    <w:p>
      <w:pPr>
        <w:spacing w:after="0" w:line="183" w:lineRule="exact"/>
        <w:rPr>
          <w:sz w:val="20"/>
          <w:szCs w:val="20"/>
          <w:color w:val="auto"/>
        </w:rPr>
      </w:pPr>
    </w:p>
    <w:p>
      <w:pPr>
        <w:ind w:right="320" w:firstLine="1678"/>
        <w:spacing w:after="0" w:line="258" w:lineRule="auto"/>
        <w:tabs>
          <w:tab w:leader="none" w:pos="2793" w:val="left"/>
        </w:tabs>
        <w:numPr>
          <w:ilvl w:val="0"/>
          <w:numId w:val="55"/>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Grant of RSUs</w:t>
      </w:r>
      <w:r>
        <w:rPr>
          <w:rFonts w:ascii="Arial" w:cs="Arial" w:eastAsia="Arial" w:hAnsi="Arial"/>
          <w:sz w:val="18"/>
          <w:szCs w:val="18"/>
          <w:color w:val="auto"/>
        </w:rPr>
        <w:t>. The Company hereby grants to the Grantee a total of ###TOTAL_AWARDS###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as of the Grant Date, subject to all of the terms and conditions of this Agreement and the Plan. Each RSU granted hereunder shall represent the right to receive one (1) share of Common Stock (a “</w:t>
      </w:r>
      <w:r>
        <w:rPr>
          <w:rFonts w:ascii="Arial" w:cs="Arial" w:eastAsia="Arial" w:hAnsi="Arial"/>
          <w:sz w:val="18"/>
          <w:szCs w:val="18"/>
          <w:u w:val="single" w:color="auto"/>
          <w:color w:val="auto"/>
        </w:rPr>
        <w:t>Share</w:t>
      </w:r>
      <w:r>
        <w:rPr>
          <w:rFonts w:ascii="Arial" w:cs="Arial" w:eastAsia="Arial" w:hAnsi="Arial"/>
          <w:sz w:val="18"/>
          <w:szCs w:val="18"/>
          <w:color w:val="auto"/>
        </w:rPr>
        <w:t>”).</w:t>
      </w:r>
    </w:p>
    <w:p>
      <w:pPr>
        <w:spacing w:after="0" w:line="228" w:lineRule="exact"/>
        <w:rPr>
          <w:rFonts w:ascii="Arial" w:cs="Arial" w:eastAsia="Arial" w:hAnsi="Arial"/>
          <w:sz w:val="22"/>
          <w:szCs w:val="22"/>
          <w:u w:val="single" w:color="auto"/>
          <w:color w:val="auto"/>
        </w:rPr>
      </w:pPr>
    </w:p>
    <w:p>
      <w:pPr>
        <w:ind w:right="80" w:firstLine="1678"/>
        <w:spacing w:after="0" w:line="258" w:lineRule="auto"/>
        <w:tabs>
          <w:tab w:leader="none" w:pos="2793" w:val="left"/>
        </w:tabs>
        <w:numPr>
          <w:ilvl w:val="0"/>
          <w:numId w:val="55"/>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provided in Section 3 hereof, the RSUs shall vest on the following dates (each a “</w:t>
      </w:r>
      <w:r>
        <w:rPr>
          <w:rFonts w:ascii="Arial" w:cs="Arial" w:eastAsia="Arial" w:hAnsi="Arial"/>
          <w:sz w:val="18"/>
          <w:szCs w:val="18"/>
          <w:u w:val="single" w:color="auto"/>
          <w:color w:val="auto"/>
        </w:rPr>
        <w:t>Vesting Date</w:t>
      </w:r>
      <w:r>
        <w:rPr>
          <w:rFonts w:ascii="Arial" w:cs="Arial" w:eastAsia="Arial" w:hAnsi="Arial"/>
          <w:sz w:val="18"/>
          <w:szCs w:val="18"/>
          <w:color w:val="auto"/>
        </w:rPr>
        <w:t>”) so long as the Grantee remains in continuous service as a member of the Board through, and has not given or received a notice of termination of such service as of,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134620</wp:posOffset>
            </wp:positionV>
            <wp:extent cx="6562090" cy="2012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562090" cy="201295"/>
                    </a:xfrm>
                    <a:prstGeom prst="rect">
                      <a:avLst/>
                    </a:prstGeom>
                    <a:noFill/>
                  </pic:spPr>
                </pic:pic>
              </a:graphicData>
            </a:graphic>
          </wp:anchor>
        </w:drawing>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Vest Schedule – Director Restricted Stock Units</w:t>
      </w:r>
    </w:p>
    <w:p>
      <w:pPr>
        <w:spacing w:after="0" w:line="31" w:lineRule="exact"/>
        <w:rPr>
          <w:sz w:val="20"/>
          <w:szCs w:val="20"/>
          <w:color w:val="auto"/>
        </w:rPr>
      </w:pPr>
    </w:p>
    <w:tbl>
      <w:tblPr>
        <w:tblLayout w:type="fixed"/>
        <w:tblInd w:w="470" w:type="dxa"/>
        <w:tblCellMar>
          <w:top w:w="0" w:type="dxa"/>
          <w:left w:w="0" w:type="dxa"/>
          <w:bottom w:w="0" w:type="dxa"/>
          <w:right w:w="0" w:type="dxa"/>
        </w:tblCellMar>
      </w:tblPr>
      <w:tr>
        <w:trPr>
          <w:trHeight w:val="280"/>
        </w:trPr>
        <w:tc>
          <w:tcPr>
            <w:tcW w:w="2320" w:type="dxa"/>
            <w:vAlign w:val="bottom"/>
            <w:tcBorders>
              <w:top w:val="single" w:sz="8" w:color="C9CAC8"/>
              <w:left w:val="single" w:sz="8" w:color="C9CAC8"/>
              <w:bottom w:val="single" w:sz="8" w:color="C9CAC8"/>
            </w:tcBorders>
            <w:gridSpan w:val="3"/>
            <w:shd w:val="clear" w:color="auto" w:fill="F3F3F3"/>
          </w:tcPr>
          <w:p>
            <w:pPr>
              <w:ind w:left="40"/>
              <w:spacing w:after="0"/>
              <w:rPr>
                <w:sz w:val="20"/>
                <w:szCs w:val="20"/>
                <w:color w:val="auto"/>
              </w:rPr>
            </w:pPr>
            <w:r>
              <w:rPr>
                <w:rFonts w:ascii="Arial" w:cs="Arial" w:eastAsia="Arial" w:hAnsi="Arial"/>
                <w:sz w:val="18"/>
                <w:szCs w:val="18"/>
                <w:b w:val="1"/>
                <w:bCs w:val="1"/>
                <w:color w:val="auto"/>
              </w:rPr>
              <w:t>Vesting Date</w:t>
            </w:r>
          </w:p>
        </w:tc>
        <w:tc>
          <w:tcPr>
            <w:tcW w:w="20" w:type="dxa"/>
            <w:vAlign w:val="bottom"/>
            <w:tcBorders>
              <w:top w:val="single" w:sz="8" w:color="C9CAC8"/>
              <w:bottom w:val="single" w:sz="8" w:color="C9CAC8"/>
            </w:tcBorders>
            <w:shd w:val="clear" w:color="auto" w:fill="F3F3F3"/>
          </w:tcPr>
          <w:p>
            <w:pPr>
              <w:spacing w:after="0"/>
              <w:rPr>
                <w:sz w:val="24"/>
                <w:szCs w:val="24"/>
                <w:color w:val="auto"/>
              </w:rPr>
            </w:pPr>
          </w:p>
        </w:tc>
        <w:tc>
          <w:tcPr>
            <w:tcW w:w="880" w:type="dxa"/>
            <w:vAlign w:val="bottom"/>
            <w:tcBorders>
              <w:top w:val="single" w:sz="8" w:color="C9CAC8"/>
              <w:bottom w:val="single" w:sz="8" w:color="C9CAC8"/>
            </w:tcBorders>
            <w:shd w:val="clear" w:color="auto" w:fill="F3F3F3"/>
          </w:tcPr>
          <w:p>
            <w:pPr>
              <w:spacing w:after="0"/>
              <w:rPr>
                <w:sz w:val="24"/>
                <w:szCs w:val="24"/>
                <w:color w:val="auto"/>
              </w:rPr>
            </w:pPr>
          </w:p>
        </w:tc>
        <w:tc>
          <w:tcPr>
            <w:tcW w:w="1620" w:type="dxa"/>
            <w:vAlign w:val="bottom"/>
            <w:tcBorders>
              <w:top w:val="single" w:sz="8" w:color="C9CAC8"/>
              <w:bottom w:val="single" w:sz="8" w:color="C9CAC8"/>
              <w:right w:val="single" w:sz="8" w:color="C9CAC8"/>
            </w:tcBorders>
            <w:shd w:val="clear" w:color="auto" w:fill="F3F3F3"/>
          </w:tcPr>
          <w:p>
            <w:pPr>
              <w:spacing w:after="0"/>
              <w:rPr>
                <w:sz w:val="24"/>
                <w:szCs w:val="24"/>
                <w:color w:val="auto"/>
              </w:rPr>
            </w:pPr>
          </w:p>
        </w:tc>
        <w:tc>
          <w:tcPr>
            <w:tcW w:w="5500" w:type="dxa"/>
            <w:vAlign w:val="bottom"/>
            <w:tcBorders>
              <w:top w:val="single" w:sz="8" w:color="C9CAC8"/>
              <w:bottom w:val="single" w:sz="8" w:color="C9CAC8"/>
              <w:right w:val="single" w:sz="8" w:color="C9CAC8"/>
            </w:tcBorders>
            <w:shd w:val="clear" w:color="auto" w:fill="F3F3F3"/>
          </w:tcPr>
          <w:p>
            <w:pPr>
              <w:ind w:left="1440"/>
              <w:spacing w:after="0"/>
              <w:rPr>
                <w:sz w:val="20"/>
                <w:szCs w:val="20"/>
                <w:color w:val="auto"/>
              </w:rPr>
            </w:pPr>
            <w:r>
              <w:rPr>
                <w:rFonts w:ascii="Arial" w:cs="Arial" w:eastAsia="Arial" w:hAnsi="Arial"/>
                <w:sz w:val="18"/>
                <w:szCs w:val="18"/>
                <w:b w:val="1"/>
                <w:bCs w:val="1"/>
                <w:color w:val="auto"/>
              </w:rPr>
              <w:t>Vest Quantity</w:t>
            </w:r>
          </w:p>
        </w:tc>
      </w:tr>
      <w:tr>
        <w:trPr>
          <w:trHeight w:val="263"/>
        </w:trPr>
        <w:tc>
          <w:tcPr>
            <w:tcW w:w="2320" w:type="dxa"/>
            <w:vAlign w:val="bottom"/>
            <w:tcBorders>
              <w:left w:val="single" w:sz="8" w:color="E6E6E6"/>
              <w:bottom w:val="single" w:sz="8" w:color="E6E6E6"/>
            </w:tcBorders>
            <w:gridSpan w:val="3"/>
          </w:tcPr>
          <w:p>
            <w:pPr>
              <w:ind w:left="1220"/>
              <w:spacing w:after="0"/>
              <w:rPr>
                <w:sz w:val="20"/>
                <w:szCs w:val="20"/>
                <w:color w:val="auto"/>
              </w:rPr>
            </w:pPr>
            <w:r>
              <w:rPr>
                <w:rFonts w:ascii="Arial" w:cs="Arial" w:eastAsia="Arial" w:hAnsi="Arial"/>
                <w:sz w:val="18"/>
                <w:szCs w:val="18"/>
                <w:color w:val="auto"/>
              </w:rPr>
              <w:t>[●]-Aug-2022</w:t>
            </w:r>
          </w:p>
        </w:tc>
        <w:tc>
          <w:tcPr>
            <w:tcW w:w="20" w:type="dxa"/>
            <w:vAlign w:val="bottom"/>
            <w:tcBorders>
              <w:bottom w:val="single" w:sz="8" w:color="E6E6E6"/>
            </w:tcBorders>
          </w:tcPr>
          <w:p>
            <w:pPr>
              <w:spacing w:after="0"/>
              <w:rPr>
                <w:sz w:val="22"/>
                <w:szCs w:val="22"/>
                <w:color w:val="auto"/>
              </w:rPr>
            </w:pPr>
          </w:p>
        </w:tc>
        <w:tc>
          <w:tcPr>
            <w:tcW w:w="880" w:type="dxa"/>
            <w:vAlign w:val="bottom"/>
            <w:tcBorders>
              <w:bottom w:val="single" w:sz="8" w:color="E6E6E6"/>
            </w:tcBorders>
          </w:tcPr>
          <w:p>
            <w:pPr>
              <w:spacing w:after="0"/>
              <w:rPr>
                <w:sz w:val="22"/>
                <w:szCs w:val="22"/>
                <w:color w:val="auto"/>
              </w:rPr>
            </w:pPr>
          </w:p>
        </w:tc>
        <w:tc>
          <w:tcPr>
            <w:tcW w:w="1620" w:type="dxa"/>
            <w:vAlign w:val="bottom"/>
            <w:tcBorders>
              <w:bottom w:val="single" w:sz="8" w:color="E6E6E6"/>
              <w:right w:val="single" w:sz="8" w:color="E6E6E6"/>
            </w:tcBorders>
          </w:tcPr>
          <w:p>
            <w:pPr>
              <w:spacing w:after="0"/>
              <w:rPr>
                <w:sz w:val="22"/>
                <w:szCs w:val="22"/>
                <w:color w:val="auto"/>
              </w:rPr>
            </w:pPr>
          </w:p>
        </w:tc>
        <w:tc>
          <w:tcPr>
            <w:tcW w:w="5500" w:type="dxa"/>
            <w:vAlign w:val="bottom"/>
            <w:tcBorders>
              <w:bottom w:val="single" w:sz="8" w:color="E6E6E6"/>
              <w:right w:val="single" w:sz="8" w:color="E6E6E6"/>
            </w:tcBorders>
          </w:tcPr>
          <w:p>
            <w:pPr>
              <w:ind w:left="1440"/>
              <w:spacing w:after="0"/>
              <w:rPr>
                <w:sz w:val="20"/>
                <w:szCs w:val="20"/>
                <w:color w:val="auto"/>
              </w:rPr>
            </w:pPr>
            <w:r>
              <w:rPr>
                <w:rFonts w:ascii="Arial" w:cs="Arial" w:eastAsia="Arial" w:hAnsi="Arial"/>
                <w:sz w:val="18"/>
                <w:szCs w:val="18"/>
                <w:color w:val="auto"/>
              </w:rPr>
              <w:t>[●]</w:t>
            </w:r>
          </w:p>
        </w:tc>
      </w:tr>
      <w:tr>
        <w:trPr>
          <w:trHeight w:val="263"/>
        </w:trPr>
        <w:tc>
          <w:tcPr>
            <w:tcW w:w="1220" w:type="dxa"/>
            <w:vAlign w:val="bottom"/>
            <w:tcBorders>
              <w:left w:val="single" w:sz="8" w:color="E6E6E6"/>
              <w:bottom w:val="single" w:sz="8" w:color="E6E6E6"/>
            </w:tcBorders>
          </w:tcPr>
          <w:p>
            <w:pPr>
              <w:spacing w:after="0"/>
              <w:rPr>
                <w:sz w:val="22"/>
                <w:szCs w:val="22"/>
                <w:color w:val="auto"/>
              </w:rPr>
            </w:pPr>
          </w:p>
        </w:tc>
        <w:tc>
          <w:tcPr>
            <w:tcW w:w="1100" w:type="dxa"/>
            <w:vAlign w:val="bottom"/>
            <w:tcBorders>
              <w:bottom w:val="single" w:sz="8" w:color="E6E6E6"/>
            </w:tcBorders>
            <w:gridSpan w:val="2"/>
          </w:tcPr>
          <w:p>
            <w:pPr>
              <w:ind w:left="80"/>
              <w:spacing w:after="0"/>
              <w:rPr>
                <w:sz w:val="20"/>
                <w:szCs w:val="20"/>
                <w:color w:val="auto"/>
              </w:rPr>
            </w:pPr>
            <w:r>
              <w:rPr>
                <w:rFonts w:ascii="Arial" w:cs="Arial" w:eastAsia="Arial" w:hAnsi="Arial"/>
                <w:sz w:val="18"/>
                <w:szCs w:val="18"/>
                <w:color w:val="auto"/>
                <w:w w:val="95"/>
              </w:rPr>
              <w:t>[●]-Aug-2023</w:t>
            </w:r>
          </w:p>
        </w:tc>
        <w:tc>
          <w:tcPr>
            <w:tcW w:w="20" w:type="dxa"/>
            <w:vAlign w:val="bottom"/>
            <w:tcBorders>
              <w:bottom w:val="single" w:sz="8" w:color="E6E6E6"/>
            </w:tcBorders>
          </w:tcPr>
          <w:p>
            <w:pPr>
              <w:spacing w:after="0"/>
              <w:rPr>
                <w:sz w:val="22"/>
                <w:szCs w:val="22"/>
                <w:color w:val="auto"/>
              </w:rPr>
            </w:pPr>
          </w:p>
        </w:tc>
        <w:tc>
          <w:tcPr>
            <w:tcW w:w="880" w:type="dxa"/>
            <w:vAlign w:val="bottom"/>
            <w:tcBorders>
              <w:bottom w:val="single" w:sz="8" w:color="E6E6E6"/>
            </w:tcBorders>
          </w:tcPr>
          <w:p>
            <w:pPr>
              <w:spacing w:after="0"/>
              <w:rPr>
                <w:sz w:val="22"/>
                <w:szCs w:val="22"/>
                <w:color w:val="auto"/>
              </w:rPr>
            </w:pPr>
          </w:p>
        </w:tc>
        <w:tc>
          <w:tcPr>
            <w:tcW w:w="1620" w:type="dxa"/>
            <w:vAlign w:val="bottom"/>
            <w:tcBorders>
              <w:bottom w:val="single" w:sz="8" w:color="E6E6E6"/>
              <w:right w:val="single" w:sz="8" w:color="E6E6E6"/>
            </w:tcBorders>
          </w:tcPr>
          <w:p>
            <w:pPr>
              <w:spacing w:after="0"/>
              <w:rPr>
                <w:sz w:val="22"/>
                <w:szCs w:val="22"/>
                <w:color w:val="auto"/>
              </w:rPr>
            </w:pPr>
          </w:p>
        </w:tc>
        <w:tc>
          <w:tcPr>
            <w:tcW w:w="5500" w:type="dxa"/>
            <w:vAlign w:val="bottom"/>
            <w:tcBorders>
              <w:bottom w:val="single" w:sz="8" w:color="E6E6E6"/>
              <w:right w:val="single" w:sz="8" w:color="E6E6E6"/>
            </w:tcBorders>
          </w:tcPr>
          <w:p>
            <w:pPr>
              <w:ind w:left="1440"/>
              <w:spacing w:after="0"/>
              <w:rPr>
                <w:sz w:val="20"/>
                <w:szCs w:val="20"/>
                <w:color w:val="auto"/>
              </w:rPr>
            </w:pPr>
            <w:r>
              <w:rPr>
                <w:rFonts w:ascii="Arial" w:cs="Arial" w:eastAsia="Arial" w:hAnsi="Arial"/>
                <w:sz w:val="18"/>
                <w:szCs w:val="18"/>
                <w:color w:val="auto"/>
              </w:rPr>
              <w:t>[●]</w:t>
            </w:r>
          </w:p>
        </w:tc>
      </w:tr>
      <w:tr>
        <w:trPr>
          <w:trHeight w:val="264"/>
        </w:trPr>
        <w:tc>
          <w:tcPr>
            <w:tcW w:w="1220" w:type="dxa"/>
            <w:vAlign w:val="bottom"/>
            <w:tcBorders>
              <w:left w:val="single" w:sz="8" w:color="E6E6E6"/>
              <w:bottom w:val="single" w:sz="8" w:color="E6E6E6"/>
            </w:tcBorders>
          </w:tcPr>
          <w:p>
            <w:pPr>
              <w:spacing w:after="0"/>
              <w:rPr>
                <w:sz w:val="22"/>
                <w:szCs w:val="22"/>
                <w:color w:val="auto"/>
              </w:rPr>
            </w:pPr>
          </w:p>
        </w:tc>
        <w:tc>
          <w:tcPr>
            <w:tcW w:w="1100" w:type="dxa"/>
            <w:vAlign w:val="bottom"/>
            <w:tcBorders>
              <w:bottom w:val="single" w:sz="8" w:color="E6E6E6"/>
            </w:tcBorders>
            <w:gridSpan w:val="2"/>
          </w:tcPr>
          <w:p>
            <w:pPr>
              <w:ind w:left="80"/>
              <w:spacing w:after="0"/>
              <w:rPr>
                <w:sz w:val="20"/>
                <w:szCs w:val="20"/>
                <w:color w:val="auto"/>
              </w:rPr>
            </w:pPr>
            <w:r>
              <w:rPr>
                <w:rFonts w:ascii="Arial" w:cs="Arial" w:eastAsia="Arial" w:hAnsi="Arial"/>
                <w:sz w:val="18"/>
                <w:szCs w:val="18"/>
                <w:color w:val="auto"/>
                <w:w w:val="95"/>
              </w:rPr>
              <w:t>[●]-Aug-2024</w:t>
            </w:r>
          </w:p>
        </w:tc>
        <w:tc>
          <w:tcPr>
            <w:tcW w:w="20" w:type="dxa"/>
            <w:vAlign w:val="bottom"/>
            <w:tcBorders>
              <w:bottom w:val="single" w:sz="8" w:color="E6E6E6"/>
            </w:tcBorders>
          </w:tcPr>
          <w:p>
            <w:pPr>
              <w:spacing w:after="0"/>
              <w:rPr>
                <w:sz w:val="22"/>
                <w:szCs w:val="22"/>
                <w:color w:val="auto"/>
              </w:rPr>
            </w:pPr>
          </w:p>
        </w:tc>
        <w:tc>
          <w:tcPr>
            <w:tcW w:w="880" w:type="dxa"/>
            <w:vAlign w:val="bottom"/>
            <w:tcBorders>
              <w:bottom w:val="single" w:sz="8" w:color="E6E6E6"/>
            </w:tcBorders>
          </w:tcPr>
          <w:p>
            <w:pPr>
              <w:spacing w:after="0"/>
              <w:rPr>
                <w:sz w:val="22"/>
                <w:szCs w:val="22"/>
                <w:color w:val="auto"/>
              </w:rPr>
            </w:pPr>
          </w:p>
        </w:tc>
        <w:tc>
          <w:tcPr>
            <w:tcW w:w="1620" w:type="dxa"/>
            <w:vAlign w:val="bottom"/>
            <w:tcBorders>
              <w:bottom w:val="single" w:sz="8" w:color="E6E6E6"/>
              <w:right w:val="single" w:sz="8" w:color="E6E6E6"/>
            </w:tcBorders>
          </w:tcPr>
          <w:p>
            <w:pPr>
              <w:spacing w:after="0"/>
              <w:rPr>
                <w:sz w:val="22"/>
                <w:szCs w:val="22"/>
                <w:color w:val="auto"/>
              </w:rPr>
            </w:pPr>
          </w:p>
        </w:tc>
        <w:tc>
          <w:tcPr>
            <w:tcW w:w="5500" w:type="dxa"/>
            <w:vAlign w:val="bottom"/>
            <w:tcBorders>
              <w:bottom w:val="single" w:sz="8" w:color="E6E6E6"/>
              <w:right w:val="single" w:sz="8" w:color="E6E6E6"/>
            </w:tcBorders>
          </w:tcPr>
          <w:p>
            <w:pPr>
              <w:ind w:left="1440"/>
              <w:spacing w:after="0"/>
              <w:rPr>
                <w:sz w:val="20"/>
                <w:szCs w:val="20"/>
                <w:color w:val="auto"/>
              </w:rPr>
            </w:pPr>
            <w:r>
              <w:rPr>
                <w:rFonts w:ascii="Arial" w:cs="Arial" w:eastAsia="Arial" w:hAnsi="Arial"/>
                <w:sz w:val="18"/>
                <w:szCs w:val="18"/>
                <w:color w:val="auto"/>
              </w:rPr>
              <w:t>[●]</w:t>
            </w:r>
          </w:p>
        </w:tc>
      </w:tr>
      <w:tr>
        <w:trPr>
          <w:trHeight w:val="445"/>
        </w:trPr>
        <w:tc>
          <w:tcPr>
            <w:tcW w:w="1380" w:type="dxa"/>
            <w:vAlign w:val="bottom"/>
            <w:gridSpan w:val="2"/>
          </w:tcPr>
          <w:p>
            <w:pPr>
              <w:ind w:left="1220"/>
              <w:spacing w:after="0"/>
              <w:rPr>
                <w:sz w:val="20"/>
                <w:szCs w:val="20"/>
                <w:color w:val="auto"/>
              </w:rPr>
            </w:pPr>
            <w:r>
              <w:rPr>
                <w:rFonts w:ascii="Arial" w:cs="Arial" w:eastAsia="Arial" w:hAnsi="Arial"/>
                <w:sz w:val="22"/>
                <w:szCs w:val="22"/>
                <w:color w:val="auto"/>
                <w:w w:val="76"/>
              </w:rPr>
              <w:t>3.</w:t>
            </w:r>
          </w:p>
        </w:tc>
        <w:tc>
          <w:tcPr>
            <w:tcW w:w="940" w:type="dxa"/>
            <w:vAlign w:val="bottom"/>
          </w:tcPr>
          <w:p>
            <w:pPr>
              <w:spacing w:after="0"/>
              <w:rPr>
                <w:sz w:val="24"/>
                <w:szCs w:val="24"/>
                <w:color w:val="auto"/>
              </w:rPr>
            </w:pPr>
          </w:p>
        </w:tc>
        <w:tc>
          <w:tcPr>
            <w:tcW w:w="8020" w:type="dxa"/>
            <w:vAlign w:val="bottom"/>
            <w:gridSpan w:val="4"/>
          </w:tcPr>
          <w:p>
            <w:pPr>
              <w:ind w:left="20"/>
              <w:spacing w:after="0"/>
              <w:rPr>
                <w:sz w:val="20"/>
                <w:szCs w:val="20"/>
                <w:color w:val="auto"/>
              </w:rPr>
            </w:pPr>
            <w:r>
              <w:rPr>
                <w:rFonts w:ascii="Arial" w:cs="Arial" w:eastAsia="Arial" w:hAnsi="Arial"/>
                <w:sz w:val="18"/>
                <w:szCs w:val="18"/>
                <w:color w:val="auto"/>
              </w:rPr>
              <w:t>Termination.</w:t>
            </w:r>
          </w:p>
        </w:tc>
      </w:tr>
      <w:tr>
        <w:trPr>
          <w:trHeight w:val="20"/>
        </w:trPr>
        <w:tc>
          <w:tcPr>
            <w:tcW w:w="1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60" w:firstLine="2635"/>
        <w:spacing w:after="0" w:line="279" w:lineRule="auto"/>
        <w:rPr>
          <w:sz w:val="20"/>
          <w:szCs w:val="20"/>
          <w:color w:val="auto"/>
        </w:rPr>
      </w:pPr>
      <w:r>
        <w:rPr>
          <w:rFonts w:ascii="Arial" w:cs="Arial" w:eastAsia="Arial" w:hAnsi="Arial"/>
          <w:sz w:val="18"/>
          <w:szCs w:val="18"/>
          <w:color w:val="auto"/>
        </w:rPr>
        <w:t>(a) Except as provided in this Section 3, if the Grantee’s service is terminated for any reason prior to the final Vesting Date, any outstanding RSUs that have not vested in accordance with Section 2 hereof as of the date of such termination shall immediately terminate without the payment of any consideration.</w:t>
      </w:r>
    </w:p>
    <w:p>
      <w:pPr>
        <w:spacing w:after="0" w:line="183" w:lineRule="exact"/>
        <w:rPr>
          <w:sz w:val="20"/>
          <w:szCs w:val="20"/>
          <w:color w:val="auto"/>
        </w:rPr>
      </w:pPr>
    </w:p>
    <w:p>
      <w:pPr>
        <w:ind w:right="720" w:firstLine="2635"/>
        <w:spacing w:after="0" w:line="293" w:lineRule="auto"/>
        <w:rPr>
          <w:sz w:val="20"/>
          <w:szCs w:val="20"/>
          <w:color w:val="auto"/>
        </w:rPr>
      </w:pPr>
      <w:r>
        <w:rPr>
          <w:rFonts w:ascii="Arial" w:cs="Arial" w:eastAsia="Arial" w:hAnsi="Arial"/>
          <w:sz w:val="18"/>
          <w:szCs w:val="18"/>
          <w:color w:val="auto"/>
        </w:rPr>
        <w:t>(b) If the Grantee’s service is terminated prior to the final Vesting Date due to the Grantee’s Incapacity, then all of the RSUs granted hereunder shall immediately vest as of the Grantee’s date of termination.</w:t>
      </w:r>
    </w:p>
    <w:p>
      <w:pPr>
        <w:spacing w:after="0" w:line="197" w:lineRule="exact"/>
        <w:rPr>
          <w:sz w:val="20"/>
          <w:szCs w:val="20"/>
          <w:color w:val="auto"/>
        </w:rPr>
      </w:pPr>
    </w:p>
    <w:p>
      <w:pPr>
        <w:ind w:right="40" w:firstLine="1678"/>
        <w:spacing w:after="0" w:line="258" w:lineRule="auto"/>
        <w:tabs>
          <w:tab w:leader="none" w:pos="2793" w:val="left"/>
        </w:tabs>
        <w:numPr>
          <w:ilvl w:val="0"/>
          <w:numId w:val="56"/>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 Any Shares issuable in respect of RSUs that have vested in accordance with the terms of Sections 2 and 3 hereof shall be delivered to the Grantee as soon as practicable following vesting, and in no event later than March 15 of the year following the year in which such vesting occurs.</w:t>
      </w:r>
    </w:p>
    <w:p>
      <w:pPr>
        <w:spacing w:after="0" w:line="228" w:lineRule="exact"/>
        <w:rPr>
          <w:rFonts w:ascii="Arial" w:cs="Arial" w:eastAsia="Arial" w:hAnsi="Arial"/>
          <w:sz w:val="22"/>
          <w:szCs w:val="22"/>
          <w:u w:val="single" w:color="auto"/>
          <w:color w:val="auto"/>
        </w:rPr>
      </w:pPr>
    </w:p>
    <w:p>
      <w:pPr>
        <w:ind w:right="80" w:firstLine="1678"/>
        <w:spacing w:after="0" w:line="262" w:lineRule="auto"/>
        <w:tabs>
          <w:tab w:leader="none" w:pos="2793" w:val="left"/>
        </w:tabs>
        <w:numPr>
          <w:ilvl w:val="0"/>
          <w:numId w:val="56"/>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Voting and Dividend Equivalent Rights</w:t>
      </w:r>
      <w:r>
        <w:rPr>
          <w:rFonts w:ascii="Arial" w:cs="Arial" w:eastAsia="Arial" w:hAnsi="Arial"/>
          <w:sz w:val="18"/>
          <w:szCs w:val="18"/>
          <w:color w:val="auto"/>
        </w:rPr>
        <w:t xml:space="preserve">. The Grantee shall have no rights as a stockholder with respect to the RSUs (including the right to vote and the right to receive dividends) prior to the date that the underlying Shares are issued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during the period commencing on the Grant Date and ending on the date the underlying Shares are issued pursuant to this Agreement, the Company declares a dividend on its Shares, then the Grantee shall be eligible to receive an amount of cash equal to the product of (i) the number of Shares, if any, delivered to the Grantee following the vesting of the RSUs and (ii) the amount of cash distributed with respect to an outstanding Share during such period, which amount of cash shall be paid to the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IF 1= 1 "" "1" 4</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if 1= 8 "935567-NYCSR05A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color w:val="auto"/>
        </w:rPr>
        <w:t>Grantee on or about the date such Shares are delivered to the Grantee. No interest or other earnings will be credited with respect to such payment.</w:t>
      </w:r>
    </w:p>
    <w:p>
      <w:pPr>
        <w:spacing w:after="0" w:line="277" w:lineRule="exact"/>
        <w:rPr>
          <w:sz w:val="20"/>
          <w:szCs w:val="20"/>
          <w:color w:val="auto"/>
        </w:rPr>
      </w:pPr>
    </w:p>
    <w:p>
      <w:pPr>
        <w:ind w:right="220" w:firstLine="1678"/>
        <w:spacing w:after="0" w:line="258" w:lineRule="auto"/>
        <w:tabs>
          <w:tab w:leader="none" w:pos="2793" w:val="left"/>
        </w:tabs>
        <w:numPr>
          <w:ilvl w:val="0"/>
          <w:numId w:val="57"/>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Agreement Subject to Plan</w:t>
      </w:r>
      <w:r>
        <w:rPr>
          <w:rFonts w:ascii="Arial" w:cs="Arial" w:eastAsia="Arial" w:hAnsi="Arial"/>
          <w:sz w:val="18"/>
          <w:szCs w:val="18"/>
          <w:color w:val="auto"/>
        </w:rPr>
        <w:t>. This Agreement is made pursuant to all of the provisions of the Plan, which is incorporated herein by this reference, and is intended, and shall be interpreted in a manner, to comply therewith. In the event of any conflict between the provisions of this Agreement and the provisions of the Plan, the provisions of the Plan shall govern.</w:t>
      </w:r>
    </w:p>
    <w:p>
      <w:pPr>
        <w:spacing w:after="0" w:line="228" w:lineRule="exact"/>
        <w:rPr>
          <w:rFonts w:ascii="Arial" w:cs="Arial" w:eastAsia="Arial" w:hAnsi="Arial"/>
          <w:sz w:val="22"/>
          <w:szCs w:val="22"/>
          <w:u w:val="single" w:color="auto"/>
          <w:color w:val="auto"/>
        </w:rPr>
      </w:pPr>
    </w:p>
    <w:p>
      <w:pPr>
        <w:jc w:val="both"/>
        <w:ind w:firstLine="1678"/>
        <w:spacing w:after="0" w:line="258" w:lineRule="auto"/>
        <w:tabs>
          <w:tab w:leader="none" w:pos="2793" w:val="left"/>
        </w:tabs>
        <w:numPr>
          <w:ilvl w:val="0"/>
          <w:numId w:val="57"/>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No Rights to Continuation of Service</w:t>
      </w:r>
      <w:r>
        <w:rPr>
          <w:rFonts w:ascii="Arial" w:cs="Arial" w:eastAsia="Arial" w:hAnsi="Arial"/>
          <w:sz w:val="18"/>
          <w:szCs w:val="18"/>
          <w:color w:val="auto"/>
        </w:rPr>
        <w:t>. Nothing in the Plan or this Agreement shall confer upon the Grantee any right to continue in the service of the Company or any Affiliate thereof or shall interfere with or restrict the right of the Company or its Affiliates to terminate the Grantee’s service any time for any reason whatsoever, with or without Cause.</w:t>
      </w:r>
    </w:p>
    <w:p>
      <w:pPr>
        <w:spacing w:after="0" w:line="228" w:lineRule="exact"/>
        <w:rPr>
          <w:rFonts w:ascii="Arial" w:cs="Arial" w:eastAsia="Arial" w:hAnsi="Arial"/>
          <w:sz w:val="22"/>
          <w:szCs w:val="22"/>
          <w:u w:val="single" w:color="auto"/>
          <w:color w:val="auto"/>
        </w:rPr>
      </w:pPr>
    </w:p>
    <w:p>
      <w:pPr>
        <w:ind w:right="60" w:firstLine="1678"/>
        <w:spacing w:after="0" w:line="280" w:lineRule="auto"/>
        <w:tabs>
          <w:tab w:leader="none" w:pos="2793" w:val="left"/>
        </w:tabs>
        <w:numPr>
          <w:ilvl w:val="0"/>
          <w:numId w:val="57"/>
        </w:numPr>
        <w:rPr>
          <w:rFonts w:ascii="Arial" w:cs="Arial" w:eastAsia="Arial" w:hAnsi="Arial"/>
          <w:sz w:val="21"/>
          <w:szCs w:val="21"/>
          <w:u w:val="single" w:color="auto"/>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Grantee understands that the Grantee (and not the Company) shall be responsible for any tax liability that may arise as a result of the transactions contemplated by this Agreement. Notwithstanding the foregoing, the Company shall be entitled to require payment by or on behalf of the Grantee in respect of any sums required or permitted by federal, state, local or foreign tax law to be withheld with respect to the settlement of any RSUs, in each case, equal to the minimum amount of tax required to be withheld (or such other rate that will not cause adverse accounting consequences for the Company). The Company shall be entitled to take such action as the Company deems necessary or appropriate to satisfy all such obligations for the payment of the applicable tax obligations with respect to any RSUs.</w:t>
      </w:r>
    </w:p>
    <w:p>
      <w:pPr>
        <w:spacing w:after="0" w:line="211" w:lineRule="exact"/>
        <w:rPr>
          <w:rFonts w:ascii="Arial" w:cs="Arial" w:eastAsia="Arial" w:hAnsi="Arial"/>
          <w:sz w:val="21"/>
          <w:szCs w:val="21"/>
          <w:u w:val="single" w:color="auto"/>
          <w:color w:val="auto"/>
        </w:rPr>
      </w:pPr>
    </w:p>
    <w:p>
      <w:pPr>
        <w:ind w:right="60" w:firstLine="1678"/>
        <w:spacing w:after="0" w:line="280" w:lineRule="auto"/>
        <w:tabs>
          <w:tab w:leader="none" w:pos="2793" w:val="left"/>
        </w:tabs>
        <w:numPr>
          <w:ilvl w:val="0"/>
          <w:numId w:val="57"/>
        </w:numPr>
        <w:rPr>
          <w:rFonts w:ascii="Arial" w:cs="Arial" w:eastAsia="Arial" w:hAnsi="Arial"/>
          <w:sz w:val="21"/>
          <w:szCs w:val="21"/>
          <w:u w:val="single" w:color="auto"/>
          <w:color w:val="auto"/>
        </w:rPr>
      </w:pPr>
      <w:r>
        <w:rPr>
          <w:rFonts w:ascii="Arial" w:cs="Arial" w:eastAsia="Arial" w:hAnsi="Arial"/>
          <w:sz w:val="17"/>
          <w:szCs w:val="17"/>
          <w:u w:val="single" w:color="auto"/>
          <w:color w:val="auto"/>
        </w:rPr>
        <w:t>Section 409A Compliance</w:t>
      </w:r>
      <w:r>
        <w:rPr>
          <w:rFonts w:ascii="Arial" w:cs="Arial" w:eastAsia="Arial" w:hAnsi="Arial"/>
          <w:sz w:val="17"/>
          <w:szCs w:val="17"/>
          <w:color w:val="auto"/>
        </w:rPr>
        <w:t>. The intent of the parties is that payments and benefits under this Agreement comply with Section 409A of the Code, to the extent subject thereto, and accordingly, to the maximum extent permitted, this Agreement shall be interpreted and administered to be in compliance therewith. Notwithstanding anything contained herein to the contrary, the Grantee shall not be considered to have terminated service with the Company for purposes of any payments under this Agreement which are subject to Section 409A of the Code until the Grantee would be considered to have incurred a “separation from service” from the Company within the meaning of Section 409A of the Code. Each amount to be paid or benefit to be provided under this Agreement shall be construed as a separate identified payment for purposes of Section 409A of the Code. The Company makes no representation that any or all of the payments described in this Agreement will be exempt from or comply with Section 409A of the Code and makes no undertaking to preclude Section 409A of the Code from applying to any such payment. The Grantee shall be solely responsible for the payment of any taxes and penalties incurred under Section 409A of the Code.</w:t>
      </w:r>
    </w:p>
    <w:p>
      <w:pPr>
        <w:spacing w:after="0" w:line="215" w:lineRule="exact"/>
        <w:rPr>
          <w:rFonts w:ascii="Arial" w:cs="Arial" w:eastAsia="Arial" w:hAnsi="Arial"/>
          <w:sz w:val="21"/>
          <w:szCs w:val="21"/>
          <w:u w:val="single" w:color="auto"/>
          <w:color w:val="auto"/>
        </w:rPr>
      </w:pPr>
    </w:p>
    <w:p>
      <w:pPr>
        <w:ind w:right="100" w:firstLine="1678"/>
        <w:spacing w:after="0" w:line="258" w:lineRule="auto"/>
        <w:tabs>
          <w:tab w:leader="none" w:pos="2793" w:val="left"/>
        </w:tabs>
        <w:numPr>
          <w:ilvl w:val="0"/>
          <w:numId w:val="57"/>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and enforced in accordance with the internal laws, and not the laws pertaining to conflicts or choices of laws, of the State of Delaware applicable to agreements made and to be performed wholly within the State of Delaware.</w:t>
      </w:r>
    </w:p>
    <w:p>
      <w:pPr>
        <w:spacing w:after="0" w:line="228" w:lineRule="exact"/>
        <w:rPr>
          <w:rFonts w:ascii="Arial" w:cs="Arial" w:eastAsia="Arial" w:hAnsi="Arial"/>
          <w:sz w:val="22"/>
          <w:szCs w:val="22"/>
          <w:u w:val="single" w:color="auto"/>
          <w:color w:val="auto"/>
        </w:rPr>
      </w:pPr>
    </w:p>
    <w:p>
      <w:pPr>
        <w:ind w:right="300" w:firstLine="1678"/>
        <w:spacing w:after="0" w:line="258" w:lineRule="auto"/>
        <w:tabs>
          <w:tab w:leader="none" w:pos="2793" w:val="left"/>
        </w:tabs>
        <w:numPr>
          <w:ilvl w:val="0"/>
          <w:numId w:val="57"/>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Agreement Binding on Successors</w:t>
      </w:r>
      <w:r>
        <w:rPr>
          <w:rFonts w:ascii="Arial" w:cs="Arial" w:eastAsia="Arial" w:hAnsi="Arial"/>
          <w:sz w:val="18"/>
          <w:szCs w:val="18"/>
          <w:color w:val="auto"/>
        </w:rPr>
        <w:t>. The terms of this Agreement shall be binding upon the Grantee and upon the Grantee’s heirs, executors, administrators, personal representatives, transferees, assignees and successors in interest, and upon the Company and its successors and assignees, subject to the terms of the Plan.</w:t>
      </w:r>
    </w:p>
    <w:p>
      <w:pPr>
        <w:spacing w:after="0" w:line="228" w:lineRule="exact"/>
        <w:rPr>
          <w:rFonts w:ascii="Arial" w:cs="Arial" w:eastAsia="Arial" w:hAnsi="Arial"/>
          <w:sz w:val="22"/>
          <w:szCs w:val="22"/>
          <w:u w:val="single" w:color="auto"/>
          <w:color w:val="auto"/>
        </w:rPr>
      </w:pPr>
    </w:p>
    <w:p>
      <w:pPr>
        <w:ind w:right="40" w:firstLine="1678"/>
        <w:spacing w:after="0" w:line="255" w:lineRule="auto"/>
        <w:tabs>
          <w:tab w:leader="none" w:pos="2793" w:val="left"/>
        </w:tabs>
        <w:numPr>
          <w:ilvl w:val="0"/>
          <w:numId w:val="57"/>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Notwithstanding anything to the contrary in this Agreement, neither this Agreement nor any rights granted herein shall be assignable by the Grantee.</w:t>
      </w:r>
    </w:p>
    <w:p>
      <w:pPr>
        <w:spacing w:after="0" w:line="226" w:lineRule="exact"/>
        <w:rPr>
          <w:rFonts w:ascii="Arial" w:cs="Arial" w:eastAsia="Arial" w:hAnsi="Arial"/>
          <w:sz w:val="22"/>
          <w:szCs w:val="22"/>
          <w:u w:val="single" w:color="auto"/>
          <w:color w:val="auto"/>
        </w:rPr>
      </w:pPr>
    </w:p>
    <w:p>
      <w:pPr>
        <w:ind w:right="120" w:firstLine="1678"/>
        <w:spacing w:after="0" w:line="258" w:lineRule="auto"/>
        <w:tabs>
          <w:tab w:leader="none" w:pos="2793" w:val="left"/>
        </w:tabs>
        <w:numPr>
          <w:ilvl w:val="0"/>
          <w:numId w:val="57"/>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Necessary Acts</w:t>
      </w:r>
      <w:r>
        <w:rPr>
          <w:rFonts w:ascii="Arial" w:cs="Arial" w:eastAsia="Arial" w:hAnsi="Arial"/>
          <w:sz w:val="18"/>
          <w:szCs w:val="18"/>
          <w:color w:val="auto"/>
        </w:rPr>
        <w:t>. The Grantee hereby agrees to perform all acts, and to execute and deliver any documents that may be reasonably necessary to carry out the provisions of this Agreement, including but not limited to all acts and documents related to compliance with federal and/or state securities and/or tax laws.</w:t>
      </w:r>
    </w:p>
    <w:p>
      <w:pPr>
        <w:spacing w:after="0" w:line="228" w:lineRule="exact"/>
        <w:rPr>
          <w:rFonts w:ascii="Arial" w:cs="Arial" w:eastAsia="Arial" w:hAnsi="Arial"/>
          <w:sz w:val="22"/>
          <w:szCs w:val="22"/>
          <w:u w:val="single" w:color="auto"/>
          <w:color w:val="auto"/>
        </w:rPr>
      </w:pPr>
    </w:p>
    <w:p>
      <w:pPr>
        <w:ind w:right="180" w:firstLine="1678"/>
        <w:spacing w:after="0" w:line="261" w:lineRule="auto"/>
        <w:tabs>
          <w:tab w:leader="none" w:pos="2793" w:val="left"/>
        </w:tabs>
        <w:numPr>
          <w:ilvl w:val="0"/>
          <w:numId w:val="57"/>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held by a court of competent jurisdiction to be unenforceable, or enforceable only if modified, such holding shall not affect the validity of the remainder of this Agreement, the balance of which shall continue to be binding upon the parties hereto with any such modification (if any) to become a part hereof and treated as though contained in this original Agreement.</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IF 2= 1 "" "2" 4</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if 2= 8 "935567-NYCSR05A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4" w:name="page85"/>
    <w:bookmarkEnd w:id="84"/>
    <w:p>
      <w:pPr>
        <w:ind w:right="20"/>
        <w:spacing w:after="0" w:line="319" w:lineRule="auto"/>
        <w:rPr>
          <w:sz w:val="20"/>
          <w:szCs w:val="20"/>
          <w:color w:val="auto"/>
        </w:rPr>
      </w:pPr>
      <w:r>
        <w:rPr>
          <w:rFonts w:ascii="Arial" w:cs="Arial" w:eastAsia="Arial" w:hAnsi="Arial"/>
          <w:sz w:val="16"/>
          <w:szCs w:val="16"/>
          <w:color w:val="auto"/>
        </w:rPr>
        <w:t>Moreover, if one or more of the provisions contained in this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spacing w:after="0" w:line="183" w:lineRule="exact"/>
        <w:rPr>
          <w:sz w:val="20"/>
          <w:szCs w:val="20"/>
          <w:color w:val="auto"/>
        </w:rPr>
      </w:pPr>
    </w:p>
    <w:p>
      <w:pPr>
        <w:jc w:val="both"/>
        <w:ind w:right="60" w:firstLine="1678"/>
        <w:spacing w:after="0" w:line="258" w:lineRule="auto"/>
        <w:tabs>
          <w:tab w:leader="none" w:pos="2793" w:val="left"/>
        </w:tabs>
        <w:numPr>
          <w:ilvl w:val="0"/>
          <w:numId w:val="58"/>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including the Restrictive Covenants, contain the entire agreement and understanding among the parties as to the subject matter hereof, and supersede, and shall be deemed to be in full satisfaction of, any other agreements or representations, oral or otherwise, express or implied, with respect to the subject matter hereof.</w:t>
      </w:r>
    </w:p>
    <w:p>
      <w:pPr>
        <w:spacing w:after="0" w:line="228" w:lineRule="exact"/>
        <w:rPr>
          <w:rFonts w:ascii="Arial" w:cs="Arial" w:eastAsia="Arial" w:hAnsi="Arial"/>
          <w:sz w:val="22"/>
          <w:szCs w:val="22"/>
          <w:u w:val="single" w:color="auto"/>
          <w:color w:val="auto"/>
        </w:rPr>
      </w:pPr>
    </w:p>
    <w:p>
      <w:pPr>
        <w:ind w:right="260" w:firstLine="1678"/>
        <w:spacing w:after="0" w:line="255" w:lineRule="auto"/>
        <w:tabs>
          <w:tab w:leader="none" w:pos="2793" w:val="left"/>
        </w:tabs>
        <w:numPr>
          <w:ilvl w:val="0"/>
          <w:numId w:val="58"/>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are used solely for the convenience of the parties and shall not be deemed to be a limitation upon or descriptive of the contents of any such Section.</w:t>
      </w:r>
    </w:p>
    <w:p>
      <w:pPr>
        <w:spacing w:after="0" w:line="226" w:lineRule="exact"/>
        <w:rPr>
          <w:rFonts w:ascii="Arial" w:cs="Arial" w:eastAsia="Arial" w:hAnsi="Arial"/>
          <w:sz w:val="22"/>
          <w:szCs w:val="22"/>
          <w:u w:val="single" w:color="auto"/>
          <w:color w:val="auto"/>
        </w:rPr>
      </w:pPr>
    </w:p>
    <w:p>
      <w:pPr>
        <w:ind w:right="20" w:firstLine="1678"/>
        <w:spacing w:after="0" w:line="258" w:lineRule="auto"/>
        <w:tabs>
          <w:tab w:leader="none" w:pos="2793" w:val="left"/>
        </w:tabs>
        <w:numPr>
          <w:ilvl w:val="0"/>
          <w:numId w:val="58"/>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Counterparts; Electronic Signature</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 The Grantee’s electronic signature of this Agreement shall have the same validity and effect as a signature affixed by the Grantee’s hand.</w:t>
      </w:r>
    </w:p>
    <w:p>
      <w:pPr>
        <w:spacing w:after="0" w:line="216" w:lineRule="exact"/>
        <w:rPr>
          <w:rFonts w:ascii="Arial" w:cs="Arial" w:eastAsia="Arial" w:hAnsi="Arial"/>
          <w:sz w:val="22"/>
          <w:szCs w:val="22"/>
          <w:u w:val="single" w:color="auto"/>
          <w:color w:val="auto"/>
        </w:rPr>
      </w:pPr>
    </w:p>
    <w:p>
      <w:pPr>
        <w:ind w:left="2800" w:hanging="1122"/>
        <w:spacing w:after="0"/>
        <w:tabs>
          <w:tab w:leader="none" w:pos="2800" w:val="left"/>
        </w:tabs>
        <w:numPr>
          <w:ilvl w:val="0"/>
          <w:numId w:val="58"/>
        </w:numPr>
        <w:rPr>
          <w:rFonts w:ascii="Arial" w:cs="Arial" w:eastAsia="Arial" w:hAnsi="Arial"/>
          <w:sz w:val="21"/>
          <w:szCs w:val="21"/>
          <w:u w:val="single" w:color="auto"/>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No amendment or modification hereof shall be valid unless it shall be in writing and signed by all</w:t>
      </w:r>
    </w:p>
    <w:p>
      <w:pPr>
        <w:spacing w:after="0" w:line="12" w:lineRule="exact"/>
        <w:rPr>
          <w:rFonts w:ascii="Arial" w:cs="Arial" w:eastAsia="Arial" w:hAnsi="Arial"/>
          <w:sz w:val="21"/>
          <w:szCs w:val="21"/>
          <w:u w:val="single" w:color="auto"/>
          <w:color w:val="auto"/>
        </w:rPr>
      </w:pPr>
    </w:p>
    <w:p>
      <w:pPr>
        <w:spacing w:after="0"/>
        <w:rPr>
          <w:rFonts w:ascii="Arial" w:cs="Arial" w:eastAsia="Arial" w:hAnsi="Arial"/>
          <w:sz w:val="21"/>
          <w:szCs w:val="21"/>
          <w:u w:val="single" w:color="auto"/>
          <w:color w:val="auto"/>
        </w:rPr>
      </w:pPr>
      <w:r>
        <w:rPr>
          <w:rFonts w:ascii="Arial" w:cs="Arial" w:eastAsia="Arial" w:hAnsi="Arial"/>
          <w:sz w:val="18"/>
          <w:szCs w:val="18"/>
          <w:color w:val="auto"/>
        </w:rPr>
        <w:t>parties hereto.</w:t>
      </w:r>
    </w:p>
    <w:p>
      <w:pPr>
        <w:spacing w:after="0" w:line="265" w:lineRule="exact"/>
        <w:rPr>
          <w:rFonts w:ascii="Arial" w:cs="Arial" w:eastAsia="Arial" w:hAnsi="Arial"/>
          <w:sz w:val="21"/>
          <w:szCs w:val="21"/>
          <w:u w:val="single" w:color="auto"/>
          <w:color w:val="auto"/>
        </w:rPr>
      </w:pPr>
    </w:p>
    <w:p>
      <w:pPr>
        <w:ind w:right="80" w:firstLine="1678"/>
        <w:spacing w:after="0" w:line="262" w:lineRule="auto"/>
        <w:tabs>
          <w:tab w:leader="none" w:pos="2793" w:val="left"/>
        </w:tabs>
        <w:numPr>
          <w:ilvl w:val="0"/>
          <w:numId w:val="58"/>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Set-Off</w:t>
      </w:r>
      <w:r>
        <w:rPr>
          <w:rFonts w:ascii="Arial" w:cs="Arial" w:eastAsia="Arial" w:hAnsi="Arial"/>
          <w:sz w:val="18"/>
          <w:szCs w:val="18"/>
          <w:color w:val="auto"/>
        </w:rPr>
        <w:t xml:space="preserve">. The Grantee hereby acknowledges and agrees, without limiting the rights of the Company or any Affiliate thereof otherwise available at law or in equity, that, to the extent permitted by law, the number of Shares due to the Grantee under this Agreement may be reduced by, and set-off against, any or all amounts or other consideration payable by the Grantee to the Company or any of its Affiliates under any other agreement or arrangement between the Grantee and the Company or any of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set-off does not result in a penalty under Section 409A of the Code or applicable law.</w:t>
      </w:r>
    </w:p>
    <w:p>
      <w:pPr>
        <w:spacing w:after="0" w:line="200" w:lineRule="exact"/>
        <w:rPr>
          <w:sz w:val="20"/>
          <w:szCs w:val="20"/>
          <w:color w:val="auto"/>
        </w:rPr>
      </w:pPr>
    </w:p>
    <w:p>
      <w:pPr>
        <w:spacing w:after="0" w:line="227" w:lineRule="exact"/>
        <w:rPr>
          <w:sz w:val="20"/>
          <w:szCs w:val="20"/>
          <w:color w:val="auto"/>
        </w:rPr>
      </w:pPr>
    </w:p>
    <w:p>
      <w:pPr>
        <w:jc w:val="center"/>
        <w:ind w:right="-59"/>
        <w:spacing w:after="0"/>
        <w:tabs>
          <w:tab w:leader="none" w:pos="260" w:val="left"/>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9" w:lineRule="exact"/>
        <w:rPr>
          <w:sz w:val="20"/>
          <w:szCs w:val="20"/>
          <w:color w:val="auto"/>
        </w:rPr>
      </w:pPr>
    </w:p>
    <w:p>
      <w:pPr>
        <w:ind w:firstLine="749"/>
        <w:spacing w:after="0" w:line="288" w:lineRule="auto"/>
        <w:rPr>
          <w:sz w:val="20"/>
          <w:szCs w:val="20"/>
          <w:color w:val="auto"/>
        </w:rPr>
      </w:pPr>
      <w:r>
        <w:rPr>
          <w:rFonts w:ascii="Arial" w:cs="Arial" w:eastAsia="Arial" w:hAnsi="Arial"/>
          <w:sz w:val="17"/>
          <w:szCs w:val="17"/>
          <w:color w:val="auto"/>
        </w:rPr>
        <w:t>By the Grantee’s acceptance hereof (whether written, electronic, or otherwise), the Grantee agrees, to the fullest extent permitted by law, that in lieu of receiving documents in paper format, the Grantee accepts the electronic delivery of any documents that the Company, or any third party involved in administering the Plan which the Company may designate, may deliver in connection with the RSUs granted hereunder (including the Plan, this Agreement, any account statements, or other communications or information) whether via the Company’s intranet or the internet site of such third party administrator or via email or such other means of electronic delivery specified by the Company. The Grantee hereby consents to receive such documents by electronic delivery and agrees to participate in the Plan through an on-line or electronic system established and maintained by the Company or any third party involved in administering the Plan which the Company may designate.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###ACCEPTANCE_DATE### by ###PARTICIPANT_NAME###</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IF 3= 1 "" "3" 4</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if 3= 8 "935567-NYCSR05A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9" w:right="3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10.5</w:t>
      </w:r>
    </w:p>
    <w:p>
      <w:pPr>
        <w:spacing w:after="0" w:line="25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2021 OMNIBUS INCENTIVE PLAN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DIRECTOR 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BASE RETAINER AWARD)</w:t>
      </w:r>
    </w:p>
    <w:p>
      <w:pPr>
        <w:spacing w:after="0" w:line="251" w:lineRule="exact"/>
        <w:rPr>
          <w:sz w:val="20"/>
          <w:szCs w:val="20"/>
          <w:color w:val="auto"/>
        </w:rPr>
      </w:pPr>
    </w:p>
    <w:p>
      <w:pPr>
        <w:ind w:right="160" w:firstLine="1497"/>
        <w:spacing w:after="0" w:line="319" w:lineRule="auto"/>
        <w:rPr>
          <w:sz w:val="20"/>
          <w:szCs w:val="20"/>
          <w:color w:val="auto"/>
        </w:rPr>
      </w:pPr>
      <w:r>
        <w:rPr>
          <w:rFonts w:ascii="Arial" w:cs="Arial" w:eastAsia="Arial" w:hAnsi="Arial"/>
          <w:sz w:val="16"/>
          <w:szCs w:val="16"/>
          <w:color w:val="auto"/>
        </w:rPr>
        <w:t>This Director Restricted Stock Unit Award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###GRANT_DATE### (the “</w:t>
      </w:r>
      <w:r>
        <w:rPr>
          <w:rFonts w:ascii="Arial" w:cs="Arial" w:eastAsia="Arial" w:hAnsi="Arial"/>
          <w:sz w:val="16"/>
          <w:szCs w:val="16"/>
          <w:u w:val="single" w:color="auto"/>
          <w:color w:val="auto"/>
        </w:rPr>
        <w:t>Grant Date</w:t>
      </w:r>
      <w:r>
        <w:rPr>
          <w:rFonts w:ascii="Arial" w:cs="Arial" w:eastAsia="Arial" w:hAnsi="Arial"/>
          <w:sz w:val="16"/>
          <w:szCs w:val="16"/>
          <w:color w:val="auto"/>
        </w:rPr>
        <w:t>”), is made by and between Perella Weinberg Partners (the “</w:t>
      </w:r>
      <w:r>
        <w:rPr>
          <w:rFonts w:ascii="Arial" w:cs="Arial" w:eastAsia="Arial" w:hAnsi="Arial"/>
          <w:sz w:val="16"/>
          <w:szCs w:val="16"/>
          <w:u w:val="single" w:color="auto"/>
          <w:color w:val="auto"/>
        </w:rPr>
        <w:t>Company</w:t>
      </w:r>
      <w:r>
        <w:rPr>
          <w:rFonts w:ascii="Arial" w:cs="Arial" w:eastAsia="Arial" w:hAnsi="Arial"/>
          <w:sz w:val="16"/>
          <w:szCs w:val="16"/>
          <w:color w:val="auto"/>
        </w:rPr>
        <w:t>”) and ###PARTICIPANT_NAME### (the “</w:t>
      </w:r>
      <w:r>
        <w:rPr>
          <w:rFonts w:ascii="Arial" w:cs="Arial" w:eastAsia="Arial" w:hAnsi="Arial"/>
          <w:sz w:val="16"/>
          <w:szCs w:val="16"/>
          <w:u w:val="single" w:color="auto"/>
          <w:color w:val="auto"/>
        </w:rPr>
        <w:t>Grantee</w:t>
      </w:r>
      <w:r>
        <w:rPr>
          <w:rFonts w:ascii="Arial" w:cs="Arial" w:eastAsia="Arial" w:hAnsi="Arial"/>
          <w:sz w:val="16"/>
          <w:szCs w:val="16"/>
          <w:color w:val="auto"/>
        </w:rPr>
        <w:t>”). Capitalized terms used but not defined herein shall have the respective meanings ascribed to them in the Perella Weinberg Partners 2021 Omnibus Incentive Plan (as may be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Where the context permits, references to “the Company” shall include the Company and any successor to the Company.</w:t>
      </w:r>
    </w:p>
    <w:p>
      <w:pPr>
        <w:spacing w:after="0" w:line="183" w:lineRule="exact"/>
        <w:rPr>
          <w:sz w:val="20"/>
          <w:szCs w:val="20"/>
          <w:color w:val="auto"/>
        </w:rPr>
      </w:pPr>
    </w:p>
    <w:p>
      <w:pPr>
        <w:ind w:right="320" w:firstLine="1678"/>
        <w:spacing w:after="0" w:line="258" w:lineRule="auto"/>
        <w:tabs>
          <w:tab w:leader="none" w:pos="2793" w:val="left"/>
        </w:tabs>
        <w:numPr>
          <w:ilvl w:val="0"/>
          <w:numId w:val="59"/>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Grant of RSUs</w:t>
      </w:r>
      <w:r>
        <w:rPr>
          <w:rFonts w:ascii="Arial" w:cs="Arial" w:eastAsia="Arial" w:hAnsi="Arial"/>
          <w:sz w:val="18"/>
          <w:szCs w:val="18"/>
          <w:color w:val="auto"/>
        </w:rPr>
        <w:t>. The Company hereby grants to the Grantee a total of ###TOTAL_AWARDS###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as of the Grant Date, subject to all of the terms and conditions of this Agreement and the Plan. Each RSU granted hereunder shall represent the right to receive one (1) share of Common Stock (a “</w:t>
      </w:r>
      <w:r>
        <w:rPr>
          <w:rFonts w:ascii="Arial" w:cs="Arial" w:eastAsia="Arial" w:hAnsi="Arial"/>
          <w:sz w:val="18"/>
          <w:szCs w:val="18"/>
          <w:u w:val="single" w:color="auto"/>
          <w:color w:val="auto"/>
        </w:rPr>
        <w:t>Share</w:t>
      </w:r>
      <w:r>
        <w:rPr>
          <w:rFonts w:ascii="Arial" w:cs="Arial" w:eastAsia="Arial" w:hAnsi="Arial"/>
          <w:sz w:val="18"/>
          <w:szCs w:val="18"/>
          <w:color w:val="auto"/>
        </w:rPr>
        <w:t>”).</w:t>
      </w:r>
    </w:p>
    <w:p>
      <w:pPr>
        <w:spacing w:after="0" w:line="228" w:lineRule="exact"/>
        <w:rPr>
          <w:rFonts w:ascii="Arial" w:cs="Arial" w:eastAsia="Arial" w:hAnsi="Arial"/>
          <w:sz w:val="22"/>
          <w:szCs w:val="22"/>
          <w:u w:val="single" w:color="auto"/>
          <w:color w:val="auto"/>
        </w:rPr>
      </w:pPr>
    </w:p>
    <w:p>
      <w:pPr>
        <w:ind w:right="140" w:firstLine="1678"/>
        <w:spacing w:after="0" w:line="258" w:lineRule="auto"/>
        <w:tabs>
          <w:tab w:leader="none" w:pos="2793" w:val="left"/>
        </w:tabs>
        <w:numPr>
          <w:ilvl w:val="0"/>
          <w:numId w:val="59"/>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provided in Section 3 hereof, the RSUs shall vest on the date of the Company’s next general annual stockholder meeting following the Grant Date (the “</w:t>
      </w:r>
      <w:r>
        <w:rPr>
          <w:rFonts w:ascii="Arial" w:cs="Arial" w:eastAsia="Arial" w:hAnsi="Arial"/>
          <w:sz w:val="18"/>
          <w:szCs w:val="18"/>
          <w:u w:val="single" w:color="auto"/>
          <w:color w:val="auto"/>
        </w:rPr>
        <w:t>Vesting Date</w:t>
      </w:r>
      <w:r>
        <w:rPr>
          <w:rFonts w:ascii="Arial" w:cs="Arial" w:eastAsia="Arial" w:hAnsi="Arial"/>
          <w:sz w:val="18"/>
          <w:szCs w:val="18"/>
          <w:color w:val="auto"/>
        </w:rPr>
        <w:t>”) so long as the Grantee remains in continuous service as a member of the Board through, and has not given or received a notice of termination of such service as of, the applicable Vesting Date.</w:t>
      </w:r>
    </w:p>
    <w:p>
      <w:pPr>
        <w:spacing w:after="0" w:line="218" w:lineRule="exact"/>
        <w:rPr>
          <w:rFonts w:ascii="Arial" w:cs="Arial" w:eastAsia="Arial" w:hAnsi="Arial"/>
          <w:sz w:val="22"/>
          <w:szCs w:val="22"/>
          <w:u w:val="single" w:color="auto"/>
          <w:color w:val="auto"/>
        </w:rPr>
      </w:pPr>
    </w:p>
    <w:p>
      <w:pPr>
        <w:ind w:left="2800" w:hanging="1122"/>
        <w:spacing w:after="0"/>
        <w:tabs>
          <w:tab w:leader="none" w:pos="2800" w:val="left"/>
        </w:tabs>
        <w:numPr>
          <w:ilvl w:val="0"/>
          <w:numId w:val="59"/>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9" w:lineRule="exact"/>
        <w:rPr>
          <w:sz w:val="20"/>
          <w:szCs w:val="20"/>
          <w:color w:val="auto"/>
        </w:rPr>
      </w:pPr>
    </w:p>
    <w:p>
      <w:pPr>
        <w:ind w:right="60" w:firstLine="2635"/>
        <w:spacing w:after="0" w:line="279" w:lineRule="auto"/>
        <w:rPr>
          <w:sz w:val="20"/>
          <w:szCs w:val="20"/>
          <w:color w:val="auto"/>
        </w:rPr>
      </w:pPr>
      <w:r>
        <w:rPr>
          <w:rFonts w:ascii="Arial" w:cs="Arial" w:eastAsia="Arial" w:hAnsi="Arial"/>
          <w:sz w:val="18"/>
          <w:szCs w:val="18"/>
          <w:color w:val="auto"/>
        </w:rPr>
        <w:t>(a) Except as provided in this Section 3, if the Grantee’s service is terminated for any reason prior to the Vesting Date, any outstanding RSUs that have not vested in accordance with Section 2 hereof as of the date of such termination shall immediately terminate without the payment of any consideration.</w:t>
      </w:r>
    </w:p>
    <w:p>
      <w:pPr>
        <w:spacing w:after="0" w:line="183" w:lineRule="exact"/>
        <w:rPr>
          <w:sz w:val="20"/>
          <w:szCs w:val="20"/>
          <w:color w:val="auto"/>
        </w:rPr>
      </w:pPr>
    </w:p>
    <w:p>
      <w:pPr>
        <w:ind w:right="260" w:firstLine="2635"/>
        <w:spacing w:after="0" w:line="293" w:lineRule="auto"/>
        <w:rPr>
          <w:sz w:val="20"/>
          <w:szCs w:val="20"/>
          <w:color w:val="auto"/>
        </w:rPr>
      </w:pPr>
      <w:r>
        <w:rPr>
          <w:rFonts w:ascii="Arial" w:cs="Arial" w:eastAsia="Arial" w:hAnsi="Arial"/>
          <w:sz w:val="18"/>
          <w:szCs w:val="18"/>
          <w:color w:val="auto"/>
        </w:rPr>
        <w:t>(b) If the Grantee’s service is terminated prior to the Vesting Date due to the Grantee’s Incapacity, then all of the RSUs granted hereunder shall immediately vest as of the Grantee’s date of termination.</w:t>
      </w:r>
    </w:p>
    <w:p>
      <w:pPr>
        <w:spacing w:after="0" w:line="197" w:lineRule="exact"/>
        <w:rPr>
          <w:sz w:val="20"/>
          <w:szCs w:val="20"/>
          <w:color w:val="auto"/>
        </w:rPr>
      </w:pPr>
    </w:p>
    <w:p>
      <w:pPr>
        <w:ind w:right="40" w:firstLine="1678"/>
        <w:spacing w:after="0" w:line="258" w:lineRule="auto"/>
        <w:tabs>
          <w:tab w:leader="none" w:pos="2793" w:val="left"/>
        </w:tabs>
        <w:numPr>
          <w:ilvl w:val="0"/>
          <w:numId w:val="60"/>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 Any Shares issuable in respect of RSUs that have vested in accordance with the terms of Sections 2 and 3 hereof shall be delivered to the Grantee as soon as practicable following vesting, and in no event later than March 15 of the year following the year in which such vesting occurs.</w:t>
      </w:r>
    </w:p>
    <w:p>
      <w:pPr>
        <w:spacing w:after="0" w:line="228" w:lineRule="exact"/>
        <w:rPr>
          <w:rFonts w:ascii="Arial" w:cs="Arial" w:eastAsia="Arial" w:hAnsi="Arial"/>
          <w:sz w:val="22"/>
          <w:szCs w:val="22"/>
          <w:u w:val="single" w:color="auto"/>
          <w:color w:val="auto"/>
        </w:rPr>
      </w:pPr>
    </w:p>
    <w:p>
      <w:pPr>
        <w:ind w:right="80" w:firstLine="1678"/>
        <w:spacing w:after="0" w:line="263" w:lineRule="auto"/>
        <w:tabs>
          <w:tab w:leader="none" w:pos="2793" w:val="left"/>
        </w:tabs>
        <w:numPr>
          <w:ilvl w:val="0"/>
          <w:numId w:val="60"/>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Voting and Dividend Equivalent Rights</w:t>
      </w:r>
      <w:r>
        <w:rPr>
          <w:rFonts w:ascii="Arial" w:cs="Arial" w:eastAsia="Arial" w:hAnsi="Arial"/>
          <w:sz w:val="18"/>
          <w:szCs w:val="18"/>
          <w:color w:val="auto"/>
        </w:rPr>
        <w:t xml:space="preserve">. The Grantee shall have no rights as a stockholder with respect to the RSUs (including the right to vote and the right to receive dividends) prior to the date that the underlying Shares are issued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during the period commencing on the Grant Date and ending on the date the underlying Shares are issued pursuant to this Agreement, the Company declares a dividend on its Shares, then the Grantee shall be eligible to receive an amount of cash equal to the product of (i) the number of Shares, if any, delivered to the Grantee following the vesting of the RSUs and (ii) the amount of cash distributed with respect to an outstanding Share during such period, which amount of cash shall be paid to the Grantee on or about the date such Shares are delivered to the Grantee. No interest or other earnings will be credited with respect to such payment.</w:t>
      </w:r>
    </w:p>
    <w:p>
      <w:pPr>
        <w:spacing w:after="0" w:line="224" w:lineRule="exact"/>
        <w:rPr>
          <w:rFonts w:ascii="Arial" w:cs="Arial" w:eastAsia="Arial" w:hAnsi="Arial"/>
          <w:sz w:val="22"/>
          <w:szCs w:val="22"/>
          <w:u w:val="single" w:color="auto"/>
          <w:color w:val="auto"/>
        </w:rPr>
      </w:pPr>
    </w:p>
    <w:p>
      <w:pPr>
        <w:ind w:right="220" w:firstLine="1678"/>
        <w:spacing w:after="0" w:line="258" w:lineRule="auto"/>
        <w:tabs>
          <w:tab w:leader="none" w:pos="2793" w:val="left"/>
        </w:tabs>
        <w:numPr>
          <w:ilvl w:val="0"/>
          <w:numId w:val="60"/>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Agreement Subject to Plan</w:t>
      </w:r>
      <w:r>
        <w:rPr>
          <w:rFonts w:ascii="Arial" w:cs="Arial" w:eastAsia="Arial" w:hAnsi="Arial"/>
          <w:sz w:val="18"/>
          <w:szCs w:val="18"/>
          <w:color w:val="auto"/>
        </w:rPr>
        <w:t>. This Agreement is made pursuant to all of the provisions of the Plan, which is incorporated herein by this reference, and is intended, and shall be interpreted in a manner, to comply therewith. In the event of any conflict between the provisions of this Agreement and the provisions of the Plan, the provisions of the Plan shall govern.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IF 1= 1 "" "1" 4</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if 1= 8 "935567-NYCSR05A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6" w:name="page87"/>
    <w:bookmarkEnd w:id="86"/>
    <w:p>
      <w:pPr>
        <w:jc w:val="both"/>
        <w:ind w:left="-40" w:firstLine="1678"/>
        <w:spacing w:after="0" w:line="258" w:lineRule="auto"/>
        <w:tabs>
          <w:tab w:leader="none" w:pos="2753" w:val="left"/>
        </w:tabs>
        <w:numPr>
          <w:ilvl w:val="0"/>
          <w:numId w:val="61"/>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No Rights to Continuation of Service</w:t>
      </w:r>
      <w:r>
        <w:rPr>
          <w:rFonts w:ascii="Arial" w:cs="Arial" w:eastAsia="Arial" w:hAnsi="Arial"/>
          <w:sz w:val="18"/>
          <w:szCs w:val="18"/>
          <w:color w:val="auto"/>
        </w:rPr>
        <w:t>. Nothing in the Plan or this Agreement shall confer upon the Grantee any right to continue in the service of the Company or any Affiliate thereof or shall interfere with or restrict the right of the Company or its Affiliates to terminate the Grantee’s service any time for any reason whatsoever, with or without Cause.</w:t>
      </w:r>
    </w:p>
    <w:p>
      <w:pPr>
        <w:spacing w:after="0" w:line="228" w:lineRule="exact"/>
        <w:rPr>
          <w:rFonts w:ascii="Arial" w:cs="Arial" w:eastAsia="Arial" w:hAnsi="Arial"/>
          <w:sz w:val="22"/>
          <w:szCs w:val="22"/>
          <w:u w:val="single" w:color="auto"/>
          <w:color w:val="auto"/>
        </w:rPr>
      </w:pPr>
    </w:p>
    <w:p>
      <w:pPr>
        <w:ind w:left="-40" w:right="60" w:firstLine="1678"/>
        <w:spacing w:after="0" w:line="280" w:lineRule="auto"/>
        <w:tabs>
          <w:tab w:leader="none" w:pos="2753" w:val="left"/>
        </w:tabs>
        <w:numPr>
          <w:ilvl w:val="0"/>
          <w:numId w:val="61"/>
        </w:numPr>
        <w:rPr>
          <w:rFonts w:ascii="Arial" w:cs="Arial" w:eastAsia="Arial" w:hAnsi="Arial"/>
          <w:sz w:val="21"/>
          <w:szCs w:val="21"/>
          <w:u w:val="single" w:color="auto"/>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Grantee understands that the Grantee (and not the Company) shall be responsible for any tax liability that may arise as a result of the transactions contemplated by this Agreement. Notwithstanding the foregoing, the Company shall be entitled to require payment by or on behalf of the Grantee in respect of any sums required or permitted by federal, state, local or foreign tax law to be withheld with respect to the settlement of any RSUs, in each case, equal to the minimum amount of tax required to be withheld (or such other rate that will not cause adverse accounting consequences for the Company). The Company shall be entitled to take such action as the Company deems necessary or appropriate to satisfy all such obligations for the payment of the applicable tax obligations with respect to any RSUs.</w:t>
      </w:r>
    </w:p>
    <w:p>
      <w:pPr>
        <w:spacing w:after="0" w:line="211" w:lineRule="exact"/>
        <w:rPr>
          <w:rFonts w:ascii="Arial" w:cs="Arial" w:eastAsia="Arial" w:hAnsi="Arial"/>
          <w:sz w:val="21"/>
          <w:szCs w:val="21"/>
          <w:u w:val="single" w:color="auto"/>
          <w:color w:val="auto"/>
        </w:rPr>
      </w:pPr>
    </w:p>
    <w:p>
      <w:pPr>
        <w:ind w:left="-40" w:right="60" w:firstLine="1678"/>
        <w:spacing w:after="0" w:line="280" w:lineRule="auto"/>
        <w:tabs>
          <w:tab w:leader="none" w:pos="2753" w:val="left"/>
        </w:tabs>
        <w:numPr>
          <w:ilvl w:val="0"/>
          <w:numId w:val="61"/>
        </w:numPr>
        <w:rPr>
          <w:rFonts w:ascii="Arial" w:cs="Arial" w:eastAsia="Arial" w:hAnsi="Arial"/>
          <w:sz w:val="21"/>
          <w:szCs w:val="21"/>
          <w:u w:val="single" w:color="auto"/>
          <w:color w:val="auto"/>
        </w:rPr>
      </w:pPr>
      <w:r>
        <w:rPr>
          <w:rFonts w:ascii="Arial" w:cs="Arial" w:eastAsia="Arial" w:hAnsi="Arial"/>
          <w:sz w:val="17"/>
          <w:szCs w:val="17"/>
          <w:u w:val="single" w:color="auto"/>
          <w:color w:val="auto"/>
        </w:rPr>
        <w:t>Section 409A Compliance</w:t>
      </w:r>
      <w:r>
        <w:rPr>
          <w:rFonts w:ascii="Arial" w:cs="Arial" w:eastAsia="Arial" w:hAnsi="Arial"/>
          <w:sz w:val="17"/>
          <w:szCs w:val="17"/>
          <w:color w:val="auto"/>
        </w:rPr>
        <w:t>. The intent of the parties is that payments and benefits under this Agreement comply with Section 409A of the Code, to the extent subject thereto, and accordingly, to the maximum extent permitted, this Agreement shall be interpreted and administered to be in compliance therewith. Notwithstanding anything contained herein to the contrary, the Grantee shall not be considered to have terminated service with the Company for purposes of any payments under this Agreement which are subject to Section 409A of the Code until the Grantee would be considered to have incurred a “separation from service” from the Company within the meaning of Section 409A of the Code. Each amount to be paid or benefit to be provided under this Agreement shall be construed as a separate identified payment for purposes of Section 409A of the Code. The Company makes no representation that any or all of the payments described in this Agreement will be exempt from or comply with Section 409A of the Code and makes no undertaking to preclude Section 409A of the Code from applying to any such payment. The Grantee shall be solely responsible for the payment of any taxes and penalties incurred under Section 409A of the Code.</w:t>
      </w:r>
    </w:p>
    <w:p>
      <w:pPr>
        <w:spacing w:after="0" w:line="215" w:lineRule="exact"/>
        <w:rPr>
          <w:rFonts w:ascii="Arial" w:cs="Arial" w:eastAsia="Arial" w:hAnsi="Arial"/>
          <w:sz w:val="21"/>
          <w:szCs w:val="21"/>
          <w:u w:val="single" w:color="auto"/>
          <w:color w:val="auto"/>
        </w:rPr>
      </w:pPr>
    </w:p>
    <w:p>
      <w:pPr>
        <w:ind w:left="-40" w:right="100" w:firstLine="1678"/>
        <w:spacing w:after="0" w:line="258" w:lineRule="auto"/>
        <w:tabs>
          <w:tab w:leader="none" w:pos="2753" w:val="left"/>
        </w:tabs>
        <w:numPr>
          <w:ilvl w:val="0"/>
          <w:numId w:val="61"/>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and enforced in accordance with the internal laws, and not the laws pertaining to conflicts or choices of laws, of the State of Delaware applicable to agreements made and to be performed wholly within the State of Delaware.</w:t>
      </w:r>
    </w:p>
    <w:p>
      <w:pPr>
        <w:spacing w:after="0" w:line="228" w:lineRule="exact"/>
        <w:rPr>
          <w:rFonts w:ascii="Arial" w:cs="Arial" w:eastAsia="Arial" w:hAnsi="Arial"/>
          <w:sz w:val="22"/>
          <w:szCs w:val="22"/>
          <w:u w:val="single" w:color="auto"/>
          <w:color w:val="auto"/>
        </w:rPr>
      </w:pPr>
    </w:p>
    <w:p>
      <w:pPr>
        <w:ind w:left="-40" w:right="300" w:firstLine="1678"/>
        <w:spacing w:after="0" w:line="258" w:lineRule="auto"/>
        <w:tabs>
          <w:tab w:leader="none" w:pos="2753" w:val="left"/>
        </w:tabs>
        <w:numPr>
          <w:ilvl w:val="0"/>
          <w:numId w:val="61"/>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Agreement Binding on Successors</w:t>
      </w:r>
      <w:r>
        <w:rPr>
          <w:rFonts w:ascii="Arial" w:cs="Arial" w:eastAsia="Arial" w:hAnsi="Arial"/>
          <w:sz w:val="18"/>
          <w:szCs w:val="18"/>
          <w:color w:val="auto"/>
        </w:rPr>
        <w:t>. The terms of this Agreement shall be binding upon the Grantee and upon the Grantee’s heirs, executors, administrators, personal representatives, transferees, assignees and successors in interest, and upon the Company and its successors and assignees, subject to the terms of the Plan.</w:t>
      </w:r>
    </w:p>
    <w:p>
      <w:pPr>
        <w:spacing w:after="0" w:line="228" w:lineRule="exact"/>
        <w:rPr>
          <w:rFonts w:ascii="Arial" w:cs="Arial" w:eastAsia="Arial" w:hAnsi="Arial"/>
          <w:sz w:val="22"/>
          <w:szCs w:val="22"/>
          <w:u w:val="single" w:color="auto"/>
          <w:color w:val="auto"/>
        </w:rPr>
      </w:pPr>
    </w:p>
    <w:p>
      <w:pPr>
        <w:ind w:left="-40" w:right="40" w:firstLine="1678"/>
        <w:spacing w:after="0" w:line="255" w:lineRule="auto"/>
        <w:tabs>
          <w:tab w:leader="none" w:pos="2753" w:val="left"/>
        </w:tabs>
        <w:numPr>
          <w:ilvl w:val="0"/>
          <w:numId w:val="61"/>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Notwithstanding anything to the contrary in this Agreement, neither this Agreement nor any rights granted herein shall be assignable by the Grantee.</w:t>
      </w:r>
    </w:p>
    <w:p>
      <w:pPr>
        <w:spacing w:after="0" w:line="226" w:lineRule="exact"/>
        <w:rPr>
          <w:rFonts w:ascii="Arial" w:cs="Arial" w:eastAsia="Arial" w:hAnsi="Arial"/>
          <w:sz w:val="22"/>
          <w:szCs w:val="22"/>
          <w:u w:val="single" w:color="auto"/>
          <w:color w:val="auto"/>
        </w:rPr>
      </w:pPr>
    </w:p>
    <w:p>
      <w:pPr>
        <w:ind w:left="-40" w:right="120" w:firstLine="1678"/>
        <w:spacing w:after="0" w:line="258" w:lineRule="auto"/>
        <w:tabs>
          <w:tab w:leader="none" w:pos="2753" w:val="left"/>
        </w:tabs>
        <w:numPr>
          <w:ilvl w:val="0"/>
          <w:numId w:val="61"/>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Necessary Acts</w:t>
      </w:r>
      <w:r>
        <w:rPr>
          <w:rFonts w:ascii="Arial" w:cs="Arial" w:eastAsia="Arial" w:hAnsi="Arial"/>
          <w:sz w:val="18"/>
          <w:szCs w:val="18"/>
          <w:color w:val="auto"/>
        </w:rPr>
        <w:t>. The Grantee hereby agrees to perform all acts, and to execute and deliver any documents that may be reasonably necessary to carry out the provisions of this Agreement, including but not limited to all acts and documents related to compliance with federal and/or state securities and/or tax laws.</w:t>
      </w:r>
    </w:p>
    <w:p>
      <w:pPr>
        <w:spacing w:after="0" w:line="228" w:lineRule="exact"/>
        <w:rPr>
          <w:rFonts w:ascii="Arial" w:cs="Arial" w:eastAsia="Arial" w:hAnsi="Arial"/>
          <w:sz w:val="22"/>
          <w:szCs w:val="22"/>
          <w:u w:val="single" w:color="auto"/>
          <w:color w:val="auto"/>
        </w:rPr>
      </w:pPr>
    </w:p>
    <w:p>
      <w:pPr>
        <w:ind w:left="-40" w:right="40" w:firstLine="1678"/>
        <w:spacing w:after="0" w:line="302" w:lineRule="auto"/>
        <w:tabs>
          <w:tab w:leader="none" w:pos="2753" w:val="left"/>
        </w:tabs>
        <w:numPr>
          <w:ilvl w:val="0"/>
          <w:numId w:val="61"/>
        </w:numPr>
        <w:rPr>
          <w:rFonts w:ascii="Arial" w:cs="Arial" w:eastAsia="Arial" w:hAnsi="Arial"/>
          <w:sz w:val="19"/>
          <w:szCs w:val="19"/>
          <w:u w:val="single" w:color="auto"/>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Should any provision of this Agreement be held by a court of competent jurisdiction to be unenforceable, or enforceable only if modified, such holding shall not affect the validity of the remainder of this Agreement, the balance of which shall continue to be binding upon the parties hereto with any such modification (if any) to become a part hereof and treated as though contained in this original Agreement. Moreover, if one or more of the provisions contained in this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IF 2= 1 "" "2" 4</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if 2= 8 "935567-NYCSR05A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436" w:right="339" w:bottom="1440" w:gutter="0" w:footer="0" w:header="0"/>
        </w:sectPr>
      </w:pPr>
    </w:p>
    <w:bookmarkStart w:id="87" w:name="page88"/>
    <w:bookmarkEnd w:id="87"/>
    <w:p>
      <w:pPr>
        <w:jc w:val="both"/>
        <w:ind w:right="60" w:firstLine="1678"/>
        <w:spacing w:after="0" w:line="258" w:lineRule="auto"/>
        <w:tabs>
          <w:tab w:leader="none" w:pos="2793" w:val="left"/>
        </w:tabs>
        <w:numPr>
          <w:ilvl w:val="0"/>
          <w:numId w:val="62"/>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including the Restrictive Covenants, contain the entire agreement and understanding among the parties as to the subject matter hereof, and supersede, and shall be deemed to be in full satisfaction of, any other agreements or representations, oral or otherwise, express or implied, with respect to the subject matter hereof.</w:t>
      </w:r>
    </w:p>
    <w:p>
      <w:pPr>
        <w:spacing w:after="0" w:line="228" w:lineRule="exact"/>
        <w:rPr>
          <w:rFonts w:ascii="Arial" w:cs="Arial" w:eastAsia="Arial" w:hAnsi="Arial"/>
          <w:sz w:val="22"/>
          <w:szCs w:val="22"/>
          <w:u w:val="single" w:color="auto"/>
          <w:color w:val="auto"/>
        </w:rPr>
      </w:pPr>
    </w:p>
    <w:p>
      <w:pPr>
        <w:ind w:right="260" w:firstLine="1678"/>
        <w:spacing w:after="0" w:line="255" w:lineRule="auto"/>
        <w:tabs>
          <w:tab w:leader="none" w:pos="2793" w:val="left"/>
        </w:tabs>
        <w:numPr>
          <w:ilvl w:val="0"/>
          <w:numId w:val="62"/>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are used solely for the convenience of the parties and shall not be deemed to be a limitation upon or descriptive of the contents of any such Section.</w:t>
      </w:r>
    </w:p>
    <w:p>
      <w:pPr>
        <w:spacing w:after="0" w:line="226" w:lineRule="exact"/>
        <w:rPr>
          <w:rFonts w:ascii="Arial" w:cs="Arial" w:eastAsia="Arial" w:hAnsi="Arial"/>
          <w:sz w:val="22"/>
          <w:szCs w:val="22"/>
          <w:u w:val="single" w:color="auto"/>
          <w:color w:val="auto"/>
        </w:rPr>
      </w:pPr>
    </w:p>
    <w:p>
      <w:pPr>
        <w:ind w:right="20" w:firstLine="1678"/>
        <w:spacing w:after="0" w:line="258" w:lineRule="auto"/>
        <w:tabs>
          <w:tab w:leader="none" w:pos="2793" w:val="left"/>
        </w:tabs>
        <w:numPr>
          <w:ilvl w:val="0"/>
          <w:numId w:val="62"/>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Counterparts; Electronic Signature</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 The Grantee’s electronic signature of this Agreement shall have the same validity and effect as a signature affixed by the Grantee’s hand.</w:t>
      </w:r>
    </w:p>
    <w:p>
      <w:pPr>
        <w:spacing w:after="0" w:line="216" w:lineRule="exact"/>
        <w:rPr>
          <w:rFonts w:ascii="Arial" w:cs="Arial" w:eastAsia="Arial" w:hAnsi="Arial"/>
          <w:sz w:val="22"/>
          <w:szCs w:val="22"/>
          <w:u w:val="single" w:color="auto"/>
          <w:color w:val="auto"/>
        </w:rPr>
      </w:pPr>
    </w:p>
    <w:p>
      <w:pPr>
        <w:ind w:left="2800" w:hanging="1122"/>
        <w:spacing w:after="0"/>
        <w:tabs>
          <w:tab w:leader="none" w:pos="2800" w:val="left"/>
        </w:tabs>
        <w:numPr>
          <w:ilvl w:val="0"/>
          <w:numId w:val="62"/>
        </w:numPr>
        <w:rPr>
          <w:rFonts w:ascii="Arial" w:cs="Arial" w:eastAsia="Arial" w:hAnsi="Arial"/>
          <w:sz w:val="21"/>
          <w:szCs w:val="21"/>
          <w:u w:val="single" w:color="auto"/>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No amendment or modification hereof shall be valid unless it shall be in writing and signed by all</w:t>
      </w:r>
    </w:p>
    <w:p>
      <w:pPr>
        <w:spacing w:after="0" w:line="12" w:lineRule="exact"/>
        <w:rPr>
          <w:rFonts w:ascii="Arial" w:cs="Arial" w:eastAsia="Arial" w:hAnsi="Arial"/>
          <w:sz w:val="21"/>
          <w:szCs w:val="21"/>
          <w:u w:val="single" w:color="auto"/>
          <w:color w:val="auto"/>
        </w:rPr>
      </w:pPr>
    </w:p>
    <w:p>
      <w:pPr>
        <w:spacing w:after="0"/>
        <w:rPr>
          <w:rFonts w:ascii="Arial" w:cs="Arial" w:eastAsia="Arial" w:hAnsi="Arial"/>
          <w:sz w:val="21"/>
          <w:szCs w:val="21"/>
          <w:u w:val="single" w:color="auto"/>
          <w:color w:val="auto"/>
        </w:rPr>
      </w:pPr>
      <w:r>
        <w:rPr>
          <w:rFonts w:ascii="Arial" w:cs="Arial" w:eastAsia="Arial" w:hAnsi="Arial"/>
          <w:sz w:val="18"/>
          <w:szCs w:val="18"/>
          <w:color w:val="auto"/>
        </w:rPr>
        <w:t>parties hereto.</w:t>
      </w:r>
    </w:p>
    <w:p>
      <w:pPr>
        <w:spacing w:after="0" w:line="265" w:lineRule="exact"/>
        <w:rPr>
          <w:rFonts w:ascii="Arial" w:cs="Arial" w:eastAsia="Arial" w:hAnsi="Arial"/>
          <w:sz w:val="21"/>
          <w:szCs w:val="21"/>
          <w:u w:val="single" w:color="auto"/>
          <w:color w:val="auto"/>
        </w:rPr>
      </w:pPr>
    </w:p>
    <w:p>
      <w:pPr>
        <w:ind w:right="80" w:firstLine="1678"/>
        <w:spacing w:after="0" w:line="262" w:lineRule="auto"/>
        <w:tabs>
          <w:tab w:leader="none" w:pos="2793" w:val="left"/>
        </w:tabs>
        <w:numPr>
          <w:ilvl w:val="0"/>
          <w:numId w:val="62"/>
        </w:numPr>
        <w:rPr>
          <w:rFonts w:ascii="Arial" w:cs="Arial" w:eastAsia="Arial" w:hAnsi="Arial"/>
          <w:sz w:val="22"/>
          <w:szCs w:val="22"/>
          <w:u w:val="single" w:color="auto"/>
          <w:color w:val="auto"/>
        </w:rPr>
      </w:pPr>
      <w:r>
        <w:rPr>
          <w:rFonts w:ascii="Arial" w:cs="Arial" w:eastAsia="Arial" w:hAnsi="Arial"/>
          <w:sz w:val="18"/>
          <w:szCs w:val="18"/>
          <w:u w:val="single" w:color="auto"/>
          <w:color w:val="auto"/>
        </w:rPr>
        <w:t>Set-Off</w:t>
      </w:r>
      <w:r>
        <w:rPr>
          <w:rFonts w:ascii="Arial" w:cs="Arial" w:eastAsia="Arial" w:hAnsi="Arial"/>
          <w:sz w:val="18"/>
          <w:szCs w:val="18"/>
          <w:color w:val="auto"/>
        </w:rPr>
        <w:t xml:space="preserve">. The Grantee hereby acknowledges and agrees, without limiting the rights of the Company or any Affiliate thereof otherwise available at law or in equity, that, to the extent permitted by law, the number of Shares due to the Grantee under this Agreement may be reduced by, and set-off against, any or all amounts or other consideration payable by the Grantee to the Company or any of its Affiliates under any other agreement or arrangement between the Grantee and the Company or any of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set-off does not result in a penalty under Section 409A of the Code or applicable law.</w:t>
      </w:r>
    </w:p>
    <w:p>
      <w:pPr>
        <w:spacing w:after="0" w:line="200" w:lineRule="exact"/>
        <w:rPr>
          <w:sz w:val="20"/>
          <w:szCs w:val="20"/>
          <w:color w:val="auto"/>
        </w:rPr>
      </w:pPr>
    </w:p>
    <w:p>
      <w:pPr>
        <w:spacing w:after="0" w:line="227" w:lineRule="exact"/>
        <w:rPr>
          <w:sz w:val="20"/>
          <w:szCs w:val="20"/>
          <w:color w:val="auto"/>
        </w:rPr>
      </w:pPr>
    </w:p>
    <w:p>
      <w:pPr>
        <w:jc w:val="center"/>
        <w:ind w:right="-59"/>
        <w:spacing w:after="0"/>
        <w:tabs>
          <w:tab w:leader="none" w:pos="260" w:val="left"/>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9" w:lineRule="exact"/>
        <w:rPr>
          <w:sz w:val="20"/>
          <w:szCs w:val="20"/>
          <w:color w:val="auto"/>
        </w:rPr>
      </w:pPr>
    </w:p>
    <w:p>
      <w:pPr>
        <w:ind w:firstLine="749"/>
        <w:spacing w:after="0" w:line="288" w:lineRule="auto"/>
        <w:rPr>
          <w:sz w:val="20"/>
          <w:szCs w:val="20"/>
          <w:color w:val="auto"/>
        </w:rPr>
      </w:pPr>
      <w:r>
        <w:rPr>
          <w:rFonts w:ascii="Arial" w:cs="Arial" w:eastAsia="Arial" w:hAnsi="Arial"/>
          <w:sz w:val="17"/>
          <w:szCs w:val="17"/>
          <w:color w:val="auto"/>
        </w:rPr>
        <w:t>By the Grantee’s acceptance hereof (whether written, electronic, or otherwise), the Grantee agrees, to the fullest extent permitted by law, that in lieu of receiving documents in paper format, the Grantee accepts the electronic delivery of any documents that the Company, or any third party involved in administering the Plan which the Company may designate, may deliver in connection with the RSUs granted hereunder (including the Plan, this Agreement, any account statements, or other communications or information) whether via the Company’s intranet or the internet site of such third party administrator or via email or such other means of electronic delivery specified by the Company. The Grantee hereby consents to receive such documents by electronic delivery and agrees to participate in the Plan through an on-line or electronic system established and maintained by the Company or any third party involved in administering the Plan which the Company may designate.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###ACCEPTANCE_DATE### By ###PARTICIPANT_NAME###</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IF 3= 1 "" "3" 4</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if 3= 8 "935567-NYCSR05A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2020" w:right="2020" w:firstLine="63"/>
        <w:spacing w:after="0" w:line="323" w:lineRule="auto"/>
        <w:rPr>
          <w:sz w:val="20"/>
          <w:szCs w:val="20"/>
          <w:color w:val="auto"/>
        </w:rPr>
      </w:pPr>
      <w:r>
        <w:rPr>
          <w:rFonts w:ascii="Arial" w:cs="Arial" w:eastAsia="Arial" w:hAnsi="Arial"/>
          <w:sz w:val="17"/>
          <w:szCs w:val="17"/>
          <w:b w:val="1"/>
          <w:bCs w:val="1"/>
          <w:color w:val="auto"/>
        </w:rPr>
        <w:t>RULES 13a-14(a) AND 15d-14(a) UNDER THE SECURITIES EXCHANGE ACT OF 1934, 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Peter A. Weinberg, certify that:</w:t>
      </w:r>
    </w:p>
    <w:p>
      <w:pPr>
        <w:spacing w:after="0" w:line="360" w:lineRule="exact"/>
        <w:rPr>
          <w:sz w:val="20"/>
          <w:szCs w:val="20"/>
          <w:color w:val="auto"/>
        </w:rPr>
      </w:pPr>
    </w:p>
    <w:p>
      <w:pPr>
        <w:ind w:left="960" w:hanging="443"/>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Perella Weinberg Partners;</w:t>
      </w:r>
    </w:p>
    <w:p>
      <w:pPr>
        <w:spacing w:after="0" w:line="360" w:lineRule="exact"/>
        <w:rPr>
          <w:rFonts w:ascii="Arial" w:cs="Arial" w:eastAsia="Arial" w:hAnsi="Arial"/>
          <w:sz w:val="18"/>
          <w:szCs w:val="18"/>
          <w:color w:val="auto"/>
        </w:rPr>
      </w:pPr>
    </w:p>
    <w:p>
      <w:pPr>
        <w:jc w:val="both"/>
        <w:ind w:left="960" w:right="80" w:hanging="443"/>
        <w:spacing w:after="0" w:line="279"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4" w:lineRule="exact"/>
        <w:rPr>
          <w:rFonts w:ascii="Arial" w:cs="Arial" w:eastAsia="Arial" w:hAnsi="Arial"/>
          <w:sz w:val="18"/>
          <w:szCs w:val="18"/>
          <w:color w:val="auto"/>
        </w:rPr>
      </w:pPr>
    </w:p>
    <w:p>
      <w:pPr>
        <w:ind w:left="960" w:right="40" w:hanging="443"/>
        <w:spacing w:after="0" w:line="324" w:lineRule="auto"/>
        <w:tabs>
          <w:tab w:leader="none" w:pos="9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8" w:lineRule="exact"/>
        <w:rPr>
          <w:rFonts w:ascii="Arial" w:cs="Arial" w:eastAsia="Arial" w:hAnsi="Arial"/>
          <w:sz w:val="17"/>
          <w:szCs w:val="17"/>
          <w:color w:val="auto"/>
        </w:rPr>
      </w:pPr>
    </w:p>
    <w:p>
      <w:pPr>
        <w:ind w:left="960" w:right="20" w:hanging="443"/>
        <w:spacing w:after="0" w:line="293"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91" w:lineRule="exact"/>
        <w:rPr>
          <w:rFonts w:ascii="Arial" w:cs="Arial" w:eastAsia="Arial" w:hAnsi="Arial"/>
          <w:sz w:val="18"/>
          <w:szCs w:val="18"/>
          <w:color w:val="auto"/>
        </w:rPr>
      </w:pPr>
    </w:p>
    <w:p>
      <w:pPr>
        <w:ind w:left="1460" w:right="180" w:hanging="434"/>
        <w:spacing w:after="0" w:line="303" w:lineRule="auto"/>
        <w:tabs>
          <w:tab w:leader="none" w:pos="14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5" w:lineRule="exact"/>
        <w:rPr>
          <w:rFonts w:ascii="Arial" w:cs="Arial" w:eastAsia="Arial" w:hAnsi="Arial"/>
          <w:sz w:val="17"/>
          <w:szCs w:val="17"/>
          <w:color w:val="auto"/>
        </w:rPr>
      </w:pPr>
    </w:p>
    <w:p>
      <w:pPr>
        <w:jc w:val="both"/>
        <w:ind w:left="1460" w:right="40" w:hanging="434"/>
        <w:spacing w:after="0" w:line="359" w:lineRule="auto"/>
        <w:tabs>
          <w:tab w:leader="none" w:pos="14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6" w:lineRule="exact"/>
        <w:rPr>
          <w:rFonts w:ascii="Arial" w:cs="Arial" w:eastAsia="Arial" w:hAnsi="Arial"/>
          <w:sz w:val="16"/>
          <w:szCs w:val="16"/>
          <w:color w:val="auto"/>
        </w:rPr>
      </w:pPr>
    </w:p>
    <w:p>
      <w:pPr>
        <w:ind w:left="1460" w:right="80" w:hanging="434"/>
        <w:spacing w:after="0" w:line="279" w:lineRule="auto"/>
        <w:tabs>
          <w:tab w:leader="none" w:pos="14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4" w:lineRule="exact"/>
        <w:rPr>
          <w:rFonts w:ascii="Arial" w:cs="Arial" w:eastAsia="Arial" w:hAnsi="Arial"/>
          <w:sz w:val="18"/>
          <w:szCs w:val="18"/>
          <w:color w:val="auto"/>
        </w:rPr>
      </w:pPr>
    </w:p>
    <w:p>
      <w:pPr>
        <w:ind w:left="960" w:right="520" w:hanging="443"/>
        <w:spacing w:after="0" w:line="279"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4" w:lineRule="exact"/>
        <w:rPr>
          <w:rFonts w:ascii="Arial" w:cs="Arial" w:eastAsia="Arial" w:hAnsi="Arial"/>
          <w:sz w:val="18"/>
          <w:szCs w:val="18"/>
          <w:color w:val="auto"/>
        </w:rPr>
      </w:pPr>
    </w:p>
    <w:p>
      <w:pPr>
        <w:ind w:left="1460" w:right="280" w:hanging="434"/>
        <w:spacing w:after="0" w:line="359" w:lineRule="auto"/>
        <w:tabs>
          <w:tab w:leader="none" w:pos="14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6" w:lineRule="exact"/>
        <w:rPr>
          <w:rFonts w:ascii="Arial" w:cs="Arial" w:eastAsia="Arial" w:hAnsi="Arial"/>
          <w:sz w:val="16"/>
          <w:szCs w:val="16"/>
          <w:color w:val="auto"/>
        </w:rPr>
      </w:pPr>
    </w:p>
    <w:p>
      <w:pPr>
        <w:ind w:left="1460" w:right="600" w:hanging="434"/>
        <w:spacing w:after="0" w:line="293" w:lineRule="auto"/>
        <w:tabs>
          <w:tab w:leader="none" w:pos="14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7"/>
          <w:szCs w:val="17"/>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Peter A. Weinberg</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2020" w:right="2020" w:firstLine="63"/>
        <w:spacing w:after="0" w:line="323" w:lineRule="auto"/>
        <w:rPr>
          <w:sz w:val="20"/>
          <w:szCs w:val="20"/>
          <w:color w:val="auto"/>
        </w:rPr>
      </w:pPr>
      <w:r>
        <w:rPr>
          <w:rFonts w:ascii="Arial" w:cs="Arial" w:eastAsia="Arial" w:hAnsi="Arial"/>
          <w:sz w:val="17"/>
          <w:szCs w:val="17"/>
          <w:b w:val="1"/>
          <w:bCs w:val="1"/>
          <w:color w:val="auto"/>
        </w:rPr>
        <w:t>RULES 13a-14(a) AND 15d-14(a) UNDER THE SECURITIES EXCHANGE ACT OF 1934, 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Gary S. Barancik, certify that:</w:t>
      </w:r>
    </w:p>
    <w:p>
      <w:pPr>
        <w:spacing w:after="0" w:line="360" w:lineRule="exact"/>
        <w:rPr>
          <w:sz w:val="20"/>
          <w:szCs w:val="20"/>
          <w:color w:val="auto"/>
        </w:rPr>
      </w:pPr>
    </w:p>
    <w:p>
      <w:pPr>
        <w:ind w:left="960" w:hanging="443"/>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Perella Weinberg Partners;</w:t>
      </w:r>
    </w:p>
    <w:p>
      <w:pPr>
        <w:spacing w:after="0" w:line="360" w:lineRule="exact"/>
        <w:rPr>
          <w:rFonts w:ascii="Arial" w:cs="Arial" w:eastAsia="Arial" w:hAnsi="Arial"/>
          <w:sz w:val="18"/>
          <w:szCs w:val="18"/>
          <w:color w:val="auto"/>
        </w:rPr>
      </w:pPr>
    </w:p>
    <w:p>
      <w:pPr>
        <w:jc w:val="both"/>
        <w:ind w:left="960" w:right="80" w:hanging="443"/>
        <w:spacing w:after="0" w:line="279"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4" w:lineRule="exact"/>
        <w:rPr>
          <w:rFonts w:ascii="Arial" w:cs="Arial" w:eastAsia="Arial" w:hAnsi="Arial"/>
          <w:sz w:val="18"/>
          <w:szCs w:val="18"/>
          <w:color w:val="auto"/>
        </w:rPr>
      </w:pPr>
    </w:p>
    <w:p>
      <w:pPr>
        <w:ind w:left="960" w:right="40" w:hanging="443"/>
        <w:spacing w:after="0" w:line="324" w:lineRule="auto"/>
        <w:tabs>
          <w:tab w:leader="none" w:pos="9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8" w:lineRule="exact"/>
        <w:rPr>
          <w:rFonts w:ascii="Arial" w:cs="Arial" w:eastAsia="Arial" w:hAnsi="Arial"/>
          <w:sz w:val="17"/>
          <w:szCs w:val="17"/>
          <w:color w:val="auto"/>
        </w:rPr>
      </w:pPr>
    </w:p>
    <w:p>
      <w:pPr>
        <w:ind w:left="960" w:right="20" w:hanging="443"/>
        <w:spacing w:after="0" w:line="293"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91" w:lineRule="exact"/>
        <w:rPr>
          <w:rFonts w:ascii="Arial" w:cs="Arial" w:eastAsia="Arial" w:hAnsi="Arial"/>
          <w:sz w:val="18"/>
          <w:szCs w:val="18"/>
          <w:color w:val="auto"/>
        </w:rPr>
      </w:pPr>
    </w:p>
    <w:p>
      <w:pPr>
        <w:ind w:left="1460" w:right="180" w:hanging="434"/>
        <w:spacing w:after="0" w:line="303" w:lineRule="auto"/>
        <w:tabs>
          <w:tab w:leader="none" w:pos="14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5" w:lineRule="exact"/>
        <w:rPr>
          <w:rFonts w:ascii="Arial" w:cs="Arial" w:eastAsia="Arial" w:hAnsi="Arial"/>
          <w:sz w:val="17"/>
          <w:szCs w:val="17"/>
          <w:color w:val="auto"/>
        </w:rPr>
      </w:pPr>
    </w:p>
    <w:p>
      <w:pPr>
        <w:jc w:val="both"/>
        <w:ind w:left="1460" w:right="40" w:hanging="434"/>
        <w:spacing w:after="0" w:line="359"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6" w:lineRule="exact"/>
        <w:rPr>
          <w:rFonts w:ascii="Arial" w:cs="Arial" w:eastAsia="Arial" w:hAnsi="Arial"/>
          <w:sz w:val="16"/>
          <w:szCs w:val="16"/>
          <w:color w:val="auto"/>
        </w:rPr>
      </w:pPr>
    </w:p>
    <w:p>
      <w:pPr>
        <w:ind w:left="1460" w:right="80" w:hanging="434"/>
        <w:spacing w:after="0" w:line="279" w:lineRule="auto"/>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4" w:lineRule="exact"/>
        <w:rPr>
          <w:rFonts w:ascii="Arial" w:cs="Arial" w:eastAsia="Arial" w:hAnsi="Arial"/>
          <w:sz w:val="18"/>
          <w:szCs w:val="18"/>
          <w:color w:val="auto"/>
        </w:rPr>
      </w:pPr>
    </w:p>
    <w:p>
      <w:pPr>
        <w:ind w:left="960" w:right="520" w:hanging="443"/>
        <w:spacing w:after="0" w:line="279"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4" w:lineRule="exact"/>
        <w:rPr>
          <w:rFonts w:ascii="Arial" w:cs="Arial" w:eastAsia="Arial" w:hAnsi="Arial"/>
          <w:sz w:val="18"/>
          <w:szCs w:val="18"/>
          <w:color w:val="auto"/>
        </w:rPr>
      </w:pPr>
    </w:p>
    <w:p>
      <w:pPr>
        <w:ind w:left="1460" w:right="280" w:hanging="434"/>
        <w:spacing w:after="0" w:line="359"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6" w:lineRule="exact"/>
        <w:rPr>
          <w:rFonts w:ascii="Arial" w:cs="Arial" w:eastAsia="Arial" w:hAnsi="Arial"/>
          <w:sz w:val="16"/>
          <w:szCs w:val="16"/>
          <w:color w:val="auto"/>
        </w:rPr>
      </w:pPr>
    </w:p>
    <w:p>
      <w:pPr>
        <w:ind w:left="1460" w:right="600" w:hanging="434"/>
        <w:spacing w:after="0" w:line="293" w:lineRule="auto"/>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7"/>
          <w:szCs w:val="17"/>
          <w:color w:val="auto"/>
        </w:rPr>
        <w:t>By: /s/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6"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Gary S. Barancik</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In connection with the Quarterly Report on Form 10-Q for the period ended September 30, 2021,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304" w:lineRule="exact"/>
        <w:rPr>
          <w:sz w:val="20"/>
          <w:szCs w:val="20"/>
          <w:color w:val="auto"/>
        </w:rPr>
      </w:pPr>
    </w:p>
    <w:p>
      <w:pPr>
        <w:ind w:left="960" w:hanging="443"/>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620" w:hanging="443"/>
        <w:spacing w:after="0" w:line="293"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7"/>
          <w:szCs w:val="17"/>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Peter A. Weinberg</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In connection with the Quarterly Report on Form 10-Q for the period ended September 30, 2021,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304" w:lineRule="exact"/>
        <w:rPr>
          <w:sz w:val="20"/>
          <w:szCs w:val="20"/>
          <w:color w:val="auto"/>
        </w:rPr>
      </w:pPr>
    </w:p>
    <w:p>
      <w:pPr>
        <w:ind w:left="960" w:hanging="443"/>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620" w:hanging="443"/>
        <w:spacing w:after="0" w:line="293"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7"/>
          <w:szCs w:val="17"/>
          <w:color w:val="auto"/>
        </w:rPr>
        <w:t>By: /s/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Gary S. Barancik</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o"/>
      <w:numFmt w:val="bullet"/>
      <w:start w:val="1"/>
    </w:lvl>
  </w:abstractNum>
  <w:abstractNum w:abstractNumId="3">
    <w:nsid w:val="5577F8E1"/>
    <w:multiLevelType w:val="hybridMultilevel"/>
    <w:lvl w:ilvl="0">
      <w:lvlJc w:val="left"/>
      <w:lvlText w:val="o"/>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lowerRoman"/>
      <w:start w:val="3"/>
    </w:lvl>
  </w:abstractNum>
  <w:abstractNum w:abstractNumId="6">
    <w:nsid w:val="3804823E"/>
    <w:multiLevelType w:val="hybridMultilevel"/>
    <w:lvl w:ilvl="0">
      <w:lvlJc w:val="left"/>
      <w:lvlText w:val="(%1)"/>
      <w:numFmt w:val="lowerRoman"/>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endash "/>
      <w:numFmt w:val="bullet"/>
      <w:start w:val="1"/>
    </w:lvl>
  </w:abstractNum>
  <w:abstractNum w:abstractNumId="13">
    <w:nsid w:val="2D517796"/>
    <w:multiLevelType w:val="hybridMultilevel"/>
    <w:lvl w:ilvl="0">
      <w:lvlJc w:val="left"/>
      <w:lvlText w:val="*"/>
      <w:numFmt w:val="bullet"/>
      <w:start w:val="1"/>
    </w:lvl>
    <w:lvl w:ilvl="1">
      <w:lvlJc w:val="left"/>
      <w:lvlText w:val="%2"/>
      <w:numFmt w:val="decimal"/>
      <w:start w:val="104"/>
    </w:lvl>
  </w:abstractNum>
  <w:abstractNum w:abstractNumId="14">
    <w:nsid w:val="580BD78F"/>
    <w:multiLevelType w:val="hybridMultilevel"/>
    <w:lvl w:ilvl="0">
      <w:lvlJc w:val="left"/>
      <w:lvlText w:val="**"/>
      <w:numFmt w:val="bullet"/>
      <w:start w:val="1"/>
    </w:lvl>
    <w:lvl w:ilvl="1">
      <w:lvlJc w:val="left"/>
      <w:lvlText w:val="%2"/>
      <w:numFmt w:val="decimal"/>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1."/>
      <w:numFmt w:val="decimal"/>
      <w:start w:val="1"/>
    </w:lvl>
    <w:lvl w:ilvl="1">
      <w:lvlJc w:val="left"/>
      <w:lvlText w:val="(%2)"/>
      <w:numFmt w:val="lowerLetter"/>
      <w:start w:val="1"/>
    </w:lvl>
  </w:abstractNum>
  <w:abstractNum w:abstractNumId="17">
    <w:nsid w:val="70A64E2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
    <w:nsid w:val="6A2342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
    <w:nsid w:val="2A487CB0"/>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0">
    <w:nsid w:val="1D4ED43B"/>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1">
    <w:nsid w:val="725A06FB"/>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22">
    <w:nsid w:val="2CD89A32"/>
    <w:multiLevelType w:val="hybridMultilevel"/>
    <w:lvl w:ilvl="0">
      <w:lvlJc w:val="left"/>
      <w:lvlText w:val="%1"/>
      <w:numFmt w:val="decimal"/>
      <w:start w:val="1"/>
    </w:lvl>
    <w:lvl w:ilvl="1">
      <w:lvlJc w:val="left"/>
      <w:lvlText w:val="(%2)"/>
      <w:numFmt w:val="lowerLetter"/>
      <w:start w:val="2"/>
    </w:lvl>
  </w:abstractNum>
  <w:abstractNum w:abstractNumId="23">
    <w:nsid w:val="57E4CCAF"/>
    <w:multiLevelType w:val="hybridMultilevel"/>
    <w:lvl w:ilvl="0">
      <w:lvlJc w:val="left"/>
      <w:lvlText w:val="%1."/>
      <w:numFmt w:val="decimal"/>
      <w:start w:val="9"/>
    </w:lvl>
    <w:lvl w:ilvl="1">
      <w:lvlJc w:val="left"/>
      <w:lvlText w:val="(%2)"/>
      <w:numFmt w:val="lowerLetter"/>
      <w:start w:val="1"/>
    </w:lvl>
  </w:abstractNum>
  <w:abstractNum w:abstractNumId="24">
    <w:nsid w:val="7A6D8D3C"/>
    <w:multiLevelType w:val="hybridMultilevel"/>
    <w:lvl w:ilvl="0">
      <w:lvlJc w:val="left"/>
      <w:lvlText w:val="(%1)"/>
      <w:numFmt w:val="lowerLetter"/>
      <w:start w:val="2"/>
    </w:lvl>
  </w:abstractNum>
  <w:abstractNum w:abstractNumId="25">
    <w:nsid w:val="4B588F54"/>
    <w:multiLevelType w:val="hybridMultilevel"/>
    <w:lvl w:ilvl="0">
      <w:lvlJc w:val="left"/>
      <w:lvlText w:val="(%1)"/>
      <w:numFmt w:val="lowerLetter"/>
      <w:start w:val="3"/>
    </w:lvl>
  </w:abstractNum>
  <w:abstractNum w:abstractNumId="26">
    <w:nsid w:val="542289EC"/>
    <w:multiLevelType w:val="hybridMultilevel"/>
    <w:lvl w:ilvl="0">
      <w:lvlJc w:val="left"/>
      <w:lvlText w:val="%1."/>
      <w:numFmt w:val="decimal"/>
      <w:start w:val="10"/>
    </w:lvl>
  </w:abstractNum>
  <w:abstractNum w:abstractNumId="27">
    <w:nsid w:val="6DE91B18"/>
    <w:multiLevelType w:val="hybridMultilevel"/>
    <w:lvl w:ilvl="0">
      <w:lvlJc w:val="left"/>
      <w:lvlText w:val="%1."/>
      <w:numFmt w:val="decimal"/>
      <w:start w:val="1"/>
    </w:lvl>
    <w:lvl w:ilvl="1">
      <w:lvlJc w:val="left"/>
      <w:lvlText w:val="(%2)"/>
      <w:numFmt w:val="lowerLetter"/>
      <w:start w:val="1"/>
    </w:lvl>
  </w:abstractNum>
  <w:abstractNum w:abstractNumId="28">
    <w:nsid w:val="38437FD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9">
    <w:nsid w:val="7644A4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0">
    <w:nsid w:val="32FFF902"/>
    <w:multiLevelType w:val="hybridMultilevel"/>
    <w:lvl w:ilvl="0">
      <w:lvlJc w:val="left"/>
      <w:lvlText w:val="%1."/>
      <w:numFmt w:val="decimal"/>
      <w:start w:val="5"/>
    </w:lvl>
  </w:abstractNum>
  <w:abstractNum w:abstractNumId="31">
    <w:nsid w:val="684A481A"/>
    <w:multiLevelType w:val="hybridMultilevel"/>
    <w:lvl w:ilvl="0">
      <w:lvlJc w:val="left"/>
      <w:lvlText w:val="(%1)"/>
      <w:numFmt w:val="lowerLetter"/>
      <w:start w:val="1"/>
    </w:lvl>
  </w:abstractNum>
  <w:abstractNum w:abstractNumId="32">
    <w:nsid w:val="579478F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3">
    <w:nsid w:val="749ABB43"/>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34">
    <w:nsid w:val="3DC240FB"/>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5">
    <w:nsid w:val="1BA026FA"/>
    <w:multiLevelType w:val="hybridMultilevel"/>
    <w:lvl w:ilvl="0">
      <w:lvlJc w:val="left"/>
      <w:lvlText w:val="%1"/>
      <w:numFmt w:val="decimal"/>
      <w:start w:val="1"/>
    </w:lvl>
    <w:lvl w:ilvl="1">
      <w:lvlJc w:val="left"/>
      <w:lvlText w:val="(%2)"/>
      <w:numFmt w:val="lowerLetter"/>
      <w:start w:val="2"/>
    </w:lvl>
  </w:abstractNum>
  <w:abstractNum w:abstractNumId="36">
    <w:nsid w:val="79A1DEAA"/>
    <w:multiLevelType w:val="hybridMultilevel"/>
    <w:lvl w:ilvl="0">
      <w:lvlJc w:val="left"/>
      <w:lvlText w:val="%1."/>
      <w:numFmt w:val="decimal"/>
      <w:start w:val="9"/>
    </w:lvl>
    <w:lvl w:ilvl="1">
      <w:lvlJc w:val="left"/>
      <w:lvlText w:val="(%2)"/>
      <w:numFmt w:val="lowerLetter"/>
      <w:start w:val="1"/>
    </w:lvl>
  </w:abstractNum>
  <w:abstractNum w:abstractNumId="37">
    <w:nsid w:val="75C6C33A"/>
    <w:multiLevelType w:val="hybridMultilevel"/>
    <w:lvl w:ilvl="0">
      <w:lvlJc w:val="left"/>
      <w:lvlText w:val="(%1)"/>
      <w:numFmt w:val="lowerLetter"/>
      <w:start w:val="2"/>
    </w:lvl>
  </w:abstractNum>
  <w:abstractNum w:abstractNumId="38">
    <w:nsid w:val="12E685FB"/>
    <w:multiLevelType w:val="hybridMultilevel"/>
    <w:lvl w:ilvl="0">
      <w:lvlJc w:val="left"/>
      <w:lvlText w:val="(%1)"/>
      <w:numFmt w:val="lowerLetter"/>
      <w:start w:val="3"/>
    </w:lvl>
  </w:abstractNum>
  <w:abstractNum w:abstractNumId="39">
    <w:nsid w:val="70C6A529"/>
    <w:multiLevelType w:val="hybridMultilevel"/>
    <w:lvl w:ilvl="0">
      <w:lvlJc w:val="left"/>
      <w:lvlText w:val="%1."/>
      <w:numFmt w:val="decimal"/>
      <w:start w:val="10"/>
    </w:lvl>
  </w:abstractNum>
  <w:abstractNum w:abstractNumId="40">
    <w:nsid w:val="520EEDD1"/>
    <w:multiLevelType w:val="hybridMultilevel"/>
    <w:lvl w:ilvl="0">
      <w:lvlJc w:val="left"/>
      <w:lvlText w:val="%1."/>
      <w:numFmt w:val="decimal"/>
      <w:start w:val="1"/>
    </w:lvl>
    <w:lvl w:ilvl="1">
      <w:lvlJc w:val="left"/>
      <w:lvlText w:val="(%2)"/>
      <w:numFmt w:val="lowerLetter"/>
      <w:start w:val="1"/>
    </w:lvl>
  </w:abstractNum>
  <w:abstractNum w:abstractNumId="41">
    <w:nsid w:val="374A3FE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2">
    <w:nsid w:val="4F4EF00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3">
    <w:nsid w:val="23F9C13C"/>
    <w:multiLevelType w:val="hybridMultilevel"/>
    <w:lvl w:ilvl="0">
      <w:lvlJc w:val="left"/>
      <w:lvlText w:val="%1."/>
      <w:numFmt w:val="decimal"/>
      <w:start w:val="5"/>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6">
    <w:nsid w:val="39386575"/>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47">
    <w:nsid w:val="1CF10FD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8">
    <w:nsid w:val="180115BE"/>
    <w:multiLevelType w:val="hybridMultilevel"/>
    <w:lvl w:ilvl="0">
      <w:lvlJc w:val="left"/>
      <w:lvlText w:val="(%1)"/>
      <w:numFmt w:val="lowerLetter"/>
      <w:start w:val="3"/>
    </w:lvl>
  </w:abstractNum>
  <w:abstractNum w:abstractNumId="49">
    <w:nsid w:val="235BA861"/>
    <w:multiLevelType w:val="hybridMultilevel"/>
    <w:lvl w:ilvl="0">
      <w:lvlJc w:val="left"/>
      <w:lvlText w:val="%1."/>
      <w:numFmt w:val="decimal"/>
      <w:start w:val="7"/>
    </w:lvl>
  </w:abstractNum>
  <w:abstractNum w:abstractNumId="50">
    <w:nsid w:val="47398C89"/>
    <w:multiLevelType w:val="hybridMultilevel"/>
    <w:lvl w:ilvl="0">
      <w:lvlJc w:val="left"/>
      <w:lvlText w:val="%1."/>
      <w:numFmt w:val="decimal"/>
      <w:start w:val="8"/>
    </w:lvl>
    <w:lvl w:ilvl="1">
      <w:lvlJc w:val="left"/>
      <w:lvlText w:val="(%2)"/>
      <w:numFmt w:val="lowerLetter"/>
      <w:start w:val="1"/>
    </w:lvl>
  </w:abstractNum>
  <w:abstractNum w:abstractNumId="51">
    <w:nsid w:val="354FE9F9"/>
    <w:multiLevelType w:val="hybridMultilevel"/>
    <w:lvl w:ilvl="0">
      <w:lvlJc w:val="left"/>
      <w:lvlText w:val="(%1)"/>
      <w:numFmt w:val="lowerLetter"/>
      <w:start w:val="2"/>
    </w:lvl>
  </w:abstractNum>
  <w:abstractNum w:abstractNumId="52">
    <w:nsid w:val="15B5AF5C"/>
    <w:multiLevelType w:val="hybridMultilevel"/>
    <w:lvl w:ilvl="0">
      <w:lvlJc w:val="left"/>
      <w:lvlText w:val="(%1)"/>
      <w:numFmt w:val="lowerLetter"/>
      <w:start w:val="4"/>
    </w:lvl>
  </w:abstractNum>
  <w:abstractNum w:abstractNumId="53">
    <w:nsid w:val="741226BB"/>
    <w:multiLevelType w:val="hybridMultilevel"/>
    <w:lvl w:ilvl="0">
      <w:lvlJc w:val="left"/>
      <w:lvlText w:val="%1."/>
      <w:numFmt w:val="decimal"/>
      <w:start w:val="10"/>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4"/>
    </w:lvl>
  </w:abstractNum>
  <w:abstractNum w:abstractNumId="56">
    <w:nsid w:val="3F6AB60F"/>
    <w:multiLevelType w:val="hybridMultilevel"/>
    <w:lvl w:ilvl="0">
      <w:lvlJc w:val="left"/>
      <w:lvlText w:val="%1."/>
      <w:numFmt w:val="decimal"/>
      <w:start w:val="6"/>
    </w:lvl>
  </w:abstractNum>
  <w:abstractNum w:abstractNumId="57">
    <w:nsid w:val="61574095"/>
    <w:multiLevelType w:val="hybridMultilevel"/>
    <w:lvl w:ilvl="0">
      <w:lvlJc w:val="left"/>
      <w:lvlText w:val="%1."/>
      <w:numFmt w:val="decimal"/>
      <w:start w:val="15"/>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4"/>
    </w:lvl>
  </w:abstractNum>
  <w:abstractNum w:abstractNumId="60">
    <w:nsid w:val="579BE4F1"/>
    <w:multiLevelType w:val="hybridMultilevel"/>
    <w:lvl w:ilvl="0">
      <w:lvlJc w:val="left"/>
      <w:lvlText w:val="%1."/>
      <w:numFmt w:val="decimal"/>
      <w:start w:val="7"/>
    </w:lvl>
  </w:abstractNum>
  <w:abstractNum w:abstractNumId="61">
    <w:nsid w:val="310C50B3"/>
    <w:multiLevelType w:val="hybridMultilevel"/>
    <w:lvl w:ilvl="0">
      <w:lvlJc w:val="left"/>
      <w:lvlText w:val="%1."/>
      <w:numFmt w:val="decimal"/>
      <w:start w:val="15"/>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2021-11-05T15:33:55Z</dcterms:created>
  <dcterms:modified xsi:type="dcterms:W3CDTF">2021-11-05T15:33:55Z</dcterms:modified>
</cp:coreProperties>
</file>