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15875</wp:posOffset>
            </wp:positionV>
            <wp:extent cx="6993255" cy="6419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198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00"/>
            <w:col w:w="8540"/>
          </w:cols>
          <w:pgMar w:left="460" w:top="221" w:right="359" w:bottom="3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Kohn Laura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2929 ARCH STREET, SUITE 1703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Perella Weinberg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PWP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03" w:space="720"/>
            <w:col w:w="3357"/>
          </w:cols>
          <w:pgMar w:left="460" w:top="221" w:right="359" w:bottom="3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PHILADELPHIA PA</w:t>
            </w:r>
          </w:p>
        </w:tc>
        <w:tc>
          <w:tcPr>
            <w:tcW w:w="1600" w:type="dxa"/>
            <w:vAlign w:val="bottom"/>
          </w:tcPr>
          <w:p>
            <w:pPr>
              <w:jc w:val="right"/>
              <w:ind w:right="666"/>
              <w:spacing w:after="0"/>
              <w:rPr>
                <w:sz w:val="20"/>
                <w:szCs w:val="20"/>
                <w:color w:val="auto"/>
              </w:rPr>
            </w:pPr>
            <w:r>
              <w:rPr>
                <w:rFonts w:ascii="Arial" w:cs="Arial" w:eastAsia="Arial" w:hAnsi="Arial"/>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60"/>
            <w:col w:w="7180"/>
          </w:cols>
          <w:pgMar w:left="460" w:top="221" w:right="359" w:bottom="3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vMerge w:val="restart"/>
          </w:tcPr>
          <w:p>
            <w:pPr>
              <w:ind w:left="900"/>
              <w:spacing w:after="0"/>
              <w:rPr>
                <w:sz w:val="20"/>
                <w:szCs w:val="20"/>
                <w:color w:val="auto"/>
              </w:rPr>
            </w:pPr>
            <w:r>
              <w:rPr>
                <w:rFonts w:ascii="Arial" w:cs="Arial" w:eastAsia="Arial" w:hAnsi="Arial"/>
                <w:sz w:val="17"/>
                <w:szCs w:val="17"/>
                <w:color w:val="0000FF"/>
              </w:rPr>
              <w:t>06/24/2021</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(3)</w:t>
            </w:r>
          </w:p>
        </w:tc>
        <w:tc>
          <w:tcPr>
            <w:tcW w:w="160" w:type="dxa"/>
            <w:vAlign w:val="bottom"/>
          </w:tcPr>
          <w:p>
            <w:pPr>
              <w:spacing w:after="0"/>
              <w:rPr>
                <w:sz w:val="17"/>
                <w:szCs w:val="17"/>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4"/>
              </w:rPr>
              <w:t>20,456</w:t>
            </w: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580" w:type="dxa"/>
            <w:vAlign w:val="bottom"/>
            <w:gridSpan w:val="2"/>
            <w:vMerge w:val="restart"/>
          </w:tcPr>
          <w:p>
            <w:pPr>
              <w:ind w:left="18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00" w:type="dxa"/>
            <w:vAlign w:val="bottom"/>
            <w:gridSpan w:val="3"/>
            <w:vMerge w:val="restart"/>
          </w:tcPr>
          <w:p>
            <w:pPr>
              <w:ind w:left="440"/>
              <w:spacing w:after="0"/>
              <w:rPr>
                <w:sz w:val="20"/>
                <w:szCs w:val="20"/>
                <w:color w:val="auto"/>
              </w:rPr>
            </w:pPr>
            <w:r>
              <w:rPr>
                <w:rFonts w:ascii="Arial" w:cs="Arial" w:eastAsia="Arial" w:hAnsi="Arial"/>
                <w:sz w:val="17"/>
                <w:szCs w:val="17"/>
                <w:color w:val="0000FF"/>
              </w:rPr>
              <w:t>20,456</w:t>
            </w:r>
          </w:p>
        </w:tc>
        <w:tc>
          <w:tcPr>
            <w:tcW w:w="28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ind w:right="95"/>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9"/>
              </w:rPr>
              <w:t>(1)(2)</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w w:val="96"/>
              </w:rPr>
              <w:t>(1)(2)</w:t>
            </w:r>
          </w:p>
        </w:tc>
        <w:tc>
          <w:tcPr>
            <w:tcW w:w="160" w:type="dxa"/>
            <w:vAlign w:val="bottom"/>
          </w:tcPr>
          <w:p>
            <w:pPr>
              <w:spacing w:after="0"/>
              <w:rPr>
                <w:sz w:val="6"/>
                <w:szCs w:val="6"/>
                <w:color w:val="auto"/>
              </w:rPr>
            </w:pPr>
          </w:p>
        </w:tc>
        <w:tc>
          <w:tcPr>
            <w:tcW w:w="540" w:type="dxa"/>
            <w:vAlign w:val="bottom"/>
            <w:vMerge w:val="restart"/>
          </w:tcPr>
          <w:p>
            <w:pPr>
              <w:jc w:val="center"/>
              <w:ind w:right="120"/>
              <w:spacing w:after="0"/>
              <w:rPr>
                <w:sz w:val="20"/>
                <w:szCs w:val="20"/>
                <w:color w:val="auto"/>
              </w:rPr>
            </w:pPr>
            <w:r>
              <w:rPr>
                <w:rFonts w:ascii="Arial" w:cs="Arial" w:eastAsia="Arial" w:hAnsi="Arial"/>
                <w:sz w:val="11"/>
                <w:szCs w:val="11"/>
                <w:color w:val="008000"/>
                <w:w w:val="89"/>
              </w:rPr>
              <w:t>(1)(2)</w:t>
            </w: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3,251</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2"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06/24/2021</w:t>
            </w:r>
          </w:p>
        </w:tc>
        <w:tc>
          <w:tcPr>
            <w:tcW w:w="1140" w:type="dxa"/>
            <w:vAlign w:val="bottom"/>
          </w:tcPr>
          <w:p>
            <w:pPr>
              <w:spacing w:after="0"/>
              <w:rPr>
                <w:sz w:val="5"/>
                <w:szCs w:val="5"/>
                <w:color w:val="auto"/>
              </w:rPr>
            </w:pPr>
          </w:p>
        </w:tc>
        <w:tc>
          <w:tcPr>
            <w:tcW w:w="720" w:type="dxa"/>
            <w:vAlign w:val="bottom"/>
            <w:vMerge w:val="restart"/>
          </w:tcPr>
          <w:p>
            <w:pPr>
              <w:jc w:val="center"/>
              <w:ind w:right="241"/>
              <w:spacing w:after="0"/>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81"/>
              <w:spacing w:after="0"/>
              <w:rPr>
                <w:sz w:val="20"/>
                <w:szCs w:val="20"/>
                <w:color w:val="auto"/>
              </w:rPr>
            </w:pPr>
            <w:r>
              <w:rPr>
                <w:rFonts w:ascii="Arial" w:cs="Arial" w:eastAsia="Arial" w:hAnsi="Arial"/>
                <w:sz w:val="13"/>
                <w:szCs w:val="13"/>
                <w:color w:val="0000FF"/>
                <w:w w:val="92"/>
              </w:rPr>
              <w:t>3,251</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5"/>
              </w:rPr>
              <w:t>21,749</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line="125"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ind w:right="95"/>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restart"/>
          </w:tcPr>
          <w:p>
            <w:pPr>
              <w:jc w:val="center"/>
              <w:ind w:right="241"/>
              <w:spacing w:after="0" w:line="266" w:lineRule="exact"/>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(5)</w:t>
            </w:r>
          </w:p>
        </w:tc>
        <w:tc>
          <w:tcPr>
            <w:tcW w:w="920" w:type="dxa"/>
            <w:vAlign w:val="bottom"/>
          </w:tcPr>
          <w:p>
            <w:pPr>
              <w:spacing w:after="0"/>
              <w:rPr>
                <w:sz w:val="6"/>
                <w:szCs w:val="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6"/>
                <w:szCs w:val="6"/>
                <w:color w:val="auto"/>
              </w:rPr>
            </w:pPr>
          </w:p>
        </w:tc>
        <w:tc>
          <w:tcPr>
            <w:tcW w:w="540" w:type="dxa"/>
            <w:vAlign w:val="bottom"/>
            <w:vMerge w:val="restart"/>
          </w:tcPr>
          <w:p>
            <w:pPr>
              <w:jc w:val="center"/>
              <w:ind w:right="120"/>
              <w:spacing w:after="0"/>
              <w:rPr>
                <w:sz w:val="20"/>
                <w:szCs w:val="20"/>
                <w:color w:val="auto"/>
              </w:rPr>
            </w:pPr>
            <w:r>
              <w:rPr>
                <w:rFonts w:ascii="Arial" w:cs="Arial" w:eastAsia="Arial" w:hAnsi="Arial"/>
                <w:sz w:val="11"/>
                <w:szCs w:val="11"/>
                <w:color w:val="008000"/>
                <w:w w:val="88"/>
              </w:rPr>
              <w:t>(5)</w:t>
            </w: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1,293</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2"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06/24/2021</w:t>
            </w: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restart"/>
          </w:tcPr>
          <w:p>
            <w:pPr>
              <w:jc w:val="center"/>
              <w:ind w:left="281"/>
              <w:spacing w:after="0"/>
              <w:rPr>
                <w:sz w:val="20"/>
                <w:szCs w:val="20"/>
                <w:color w:val="auto"/>
              </w:rPr>
            </w:pPr>
            <w:r>
              <w:rPr>
                <w:rFonts w:ascii="Arial" w:cs="Arial" w:eastAsia="Arial" w:hAnsi="Arial"/>
                <w:sz w:val="13"/>
                <w:szCs w:val="13"/>
                <w:color w:val="0000FF"/>
                <w:w w:val="92"/>
              </w:rPr>
              <w:t>1,293</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0.01</w:t>
            </w: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5"/>
              </w:rPr>
              <w:t>20,456</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ind w:right="95"/>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6"/>
                <w:szCs w:val="6"/>
                <w:color w:val="auto"/>
              </w:rPr>
            </w:pPr>
          </w:p>
        </w:tc>
        <w:tc>
          <w:tcPr>
            <w:tcW w:w="540" w:type="dxa"/>
            <w:vAlign w:val="bottom"/>
            <w:vMerge w:val="restart"/>
          </w:tcPr>
          <w:p>
            <w:pPr>
              <w:jc w:val="center"/>
              <w:ind w:right="120"/>
              <w:spacing w:after="0"/>
              <w:rPr>
                <w:sz w:val="20"/>
                <w:szCs w:val="20"/>
                <w:color w:val="auto"/>
              </w:rPr>
            </w:pPr>
            <w:r>
              <w:rPr>
                <w:rFonts w:ascii="Arial" w:cs="Arial" w:eastAsia="Arial" w:hAnsi="Arial"/>
                <w:sz w:val="11"/>
                <w:szCs w:val="11"/>
                <w:color w:val="008000"/>
                <w:w w:val="88"/>
              </w:rPr>
              <w:t>(3)</w:t>
            </w: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20,456</w:t>
            </w:r>
          </w:p>
        </w:tc>
        <w:tc>
          <w:tcPr>
            <w:tcW w:w="60" w:type="dxa"/>
            <w:vAlign w:val="bottom"/>
          </w:tcPr>
          <w:p>
            <w:pPr>
              <w:spacing w:after="0"/>
              <w:rPr>
                <w:sz w:val="6"/>
                <w:szCs w:val="6"/>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1"/>
                <w:szCs w:val="11"/>
                <w:color w:val="008000"/>
                <w:w w:val="88"/>
              </w:rPr>
              <w:t>(3)</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2"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06/24/2021</w:t>
            </w:r>
          </w:p>
        </w:tc>
        <w:tc>
          <w:tcPr>
            <w:tcW w:w="1140" w:type="dxa"/>
            <w:vAlign w:val="bottom"/>
          </w:tcPr>
          <w:p>
            <w:pPr>
              <w:spacing w:after="0"/>
              <w:rPr>
                <w:sz w:val="5"/>
                <w:szCs w:val="5"/>
                <w:color w:val="auto"/>
              </w:rPr>
            </w:pPr>
          </w:p>
        </w:tc>
        <w:tc>
          <w:tcPr>
            <w:tcW w:w="720" w:type="dxa"/>
            <w:vAlign w:val="bottom"/>
            <w:vMerge w:val="restart"/>
          </w:tcPr>
          <w:p>
            <w:pPr>
              <w:jc w:val="center"/>
              <w:ind w:right="241"/>
              <w:spacing w:after="0"/>
              <w:rPr>
                <w:sz w:val="20"/>
                <w:szCs w:val="20"/>
                <w:color w:val="auto"/>
              </w:rPr>
            </w:pPr>
            <w:r>
              <w:rPr>
                <w:rFonts w:ascii="Arial" w:cs="Arial" w:eastAsia="Arial" w:hAnsi="Arial"/>
                <w:sz w:val="13"/>
                <w:szCs w:val="13"/>
                <w:color w:val="0000FF"/>
                <w:w w:val="91"/>
              </w:rPr>
              <w:t>M</w:t>
            </w:r>
          </w:p>
        </w:tc>
        <w:tc>
          <w:tcPr>
            <w:tcW w:w="920" w:type="dxa"/>
            <w:vAlign w:val="bottom"/>
            <w:vMerge w:val="restart"/>
          </w:tcPr>
          <w:p>
            <w:pPr>
              <w:jc w:val="center"/>
              <w:ind w:left="281"/>
              <w:spacing w:after="0"/>
              <w:rPr>
                <w:sz w:val="20"/>
                <w:szCs w:val="20"/>
                <w:color w:val="auto"/>
              </w:rPr>
            </w:pPr>
            <w:r>
              <w:rPr>
                <w:rFonts w:ascii="Arial" w:cs="Arial" w:eastAsia="Arial" w:hAnsi="Arial"/>
                <w:sz w:val="13"/>
                <w:szCs w:val="13"/>
                <w:color w:val="0000FF"/>
                <w:w w:val="85"/>
              </w:rPr>
              <w:t>20,456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line="125"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-3037205</wp:posOffset>
            </wp:positionV>
            <wp:extent cx="29210" cy="3042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422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6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June 24, 2021 (the "Closing Date"), Perella Weinberg Partners (f/k/a FinTech Acquisition Corp. IV) (the "Issuer") completed the business combination (the "Business Combination") contemplated by that certain Business Combination Agreement, dated as of December 29, 2020, by and among the Issuer, FinTech Investor Holdings IV, LLC ("Holdings"), FinTech Masala Advisors, LLC ("Masala"), PWP Holdings LP ("PWP OpCo"), PWP GP LLC, PWP Professional Partners LP, and Perella Weinberg Partners LLC.</w:t>
      </w:r>
    </w:p>
    <w:p>
      <w:pPr>
        <w:spacing w:after="0" w:line="31" w:lineRule="exact"/>
        <w:rPr>
          <w:rFonts w:ascii="Arial" w:cs="Arial" w:eastAsia="Arial" w:hAnsi="Arial"/>
          <w:sz w:val="13"/>
          <w:szCs w:val="13"/>
          <w:color w:val="008000"/>
        </w:rPr>
      </w:pPr>
    </w:p>
    <w:p>
      <w:pPr>
        <w:ind w:left="40" w:right="180" w:firstLine="2"/>
        <w:spacing w:after="0" w:line="236"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1) In connection with the Business Combination, on the Closing Date, upon consummation of the Business Combination, each of the Issuer's outstanding shares of Class B Common Stock automatically converted into one share of Class A Common Stock. However, pursuant to that certain Sponsor Share Surrender And Share Restriction Agreement, dated as of December 29, 2020, by and among the Issuer, Holdings, Masala, and PWP OpCo, as amended, concurrent with the consummation of the Business Combination, these shares of Class B Common Stock were forfeited to the Issuer immediately prior to the Business Combination.</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 connection with the Business Combination, on the Closing Date, each of the Issuer's outstanding shares of Class B Common Stock automatically converted into one share of Class A Common Stock.</w:t>
      </w:r>
    </w:p>
    <w:p>
      <w:pPr>
        <w:spacing w:after="0" w:line="55" w:lineRule="exact"/>
        <w:rPr>
          <w:rFonts w:ascii="Arial" w:cs="Arial" w:eastAsia="Arial" w:hAnsi="Arial"/>
          <w:sz w:val="12"/>
          <w:szCs w:val="12"/>
          <w:color w:val="008000"/>
        </w:rPr>
      </w:pPr>
    </w:p>
    <w:p>
      <w:pPr>
        <w:ind w:left="40" w:right="300" w:firstLine="2"/>
        <w:spacing w:after="0" w:line="24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held directly by Masala. The reporting person is a member of Masala. The reporting person disclaims beneficial ownership of these securities, except to the extent of his pecuniary interest therein, and this report shall not be deemed an admission that the reporting person is the beneficial owner of such securities for any other purpose.</w:t>
      </w:r>
    </w:p>
    <w:p>
      <w:pPr>
        <w:sectPr>
          <w:pgSz w:w="11900" w:h="16838" w:orient="portrait"/>
          <w:cols w:equalWidth="0" w:num="1">
            <w:col w:w="11080"/>
          </w:cols>
          <w:pgMar w:left="460" w:top="221" w:right="359" w:bottom="3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5. Represents shares transferred to other members of Holdings and Masala pursuant to certain side letters by and among certain members of Holdings and Masala.</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Amanda Abrams,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180" w:firstLine="2"/>
        <w:spacing w:after="0" w:line="335"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5"/>
          <w:szCs w:val="15"/>
          <w:color w:val="0000FF"/>
        </w:rPr>
        <w:t>06/28/2021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3" w:lineRule="exact"/>
        <w:rPr>
          <w:sz w:val="24"/>
          <w:szCs w:val="24"/>
          <w:color w:val="auto"/>
        </w:rPr>
      </w:pPr>
    </w:p>
    <w:p>
      <w:pPr>
        <w:sectPr>
          <w:pgSz w:w="11900" w:h="16838" w:orient="portrait"/>
          <w:cols w:equalWidth="0" w:num="2">
            <w:col w:w="8680" w:space="120"/>
            <w:col w:w="2280"/>
          </w:cols>
          <w:pgMar w:left="460" w:top="221" w:right="359" w:bottom="3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3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1442"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2021-06-28T20:55:51Z</dcterms:created>
  <dcterms:modified xsi:type="dcterms:W3CDTF">2021-06-28T20:55:51Z</dcterms:modified>
</cp:coreProperties>
</file>